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DB" w:rsidRPr="002708DB" w:rsidRDefault="002708DB" w:rsidP="002708DB">
      <w:pPr>
        <w:spacing w:after="150" w:line="312" w:lineRule="atLeast"/>
        <w:outlineLvl w:val="0"/>
        <w:rPr>
          <w:rFonts w:eastAsia="Times New Roman" w:cstheme="minorHAnsi"/>
          <w:b/>
          <w:bCs/>
          <w:color w:val="40454D"/>
          <w:kern w:val="36"/>
        </w:rPr>
      </w:pPr>
      <w:r w:rsidRPr="002708DB">
        <w:rPr>
          <w:rFonts w:eastAsia="Times New Roman" w:cstheme="minorHAnsi"/>
          <w:b/>
          <w:bCs/>
          <w:color w:val="40454D"/>
          <w:kern w:val="36"/>
        </w:rPr>
        <w:t>7099 Sayılı Kanunla Türk Ticaret Kanununun Şirket Kuruluşları İle İlgili Maddelerinde Yapılan Değişiklik – Rüknettin KUMKALE, YMM</w:t>
      </w:r>
    </w:p>
    <w:p w:rsidR="00016310" w:rsidRDefault="00016310" w:rsidP="00501FB5">
      <w:pPr>
        <w:pStyle w:val="Default"/>
        <w:rPr>
          <w:rFonts w:asciiTheme="minorHAnsi" w:hAnsiTheme="minorHAnsi" w:cstheme="minorHAnsi"/>
          <w:b/>
          <w:bCs/>
        </w:rPr>
      </w:pPr>
      <w:bookmarkStart w:id="0" w:name="_GoBack"/>
      <w:bookmarkEnd w:id="0"/>
    </w:p>
    <w:p w:rsidR="00501FB5" w:rsidRPr="00AB5B92" w:rsidRDefault="00501FB5" w:rsidP="00501FB5">
      <w:pPr>
        <w:pStyle w:val="Default"/>
        <w:rPr>
          <w:rFonts w:asciiTheme="minorHAnsi" w:hAnsiTheme="minorHAnsi" w:cstheme="minorHAnsi"/>
        </w:rPr>
      </w:pPr>
      <w:r w:rsidRPr="00AB5B92">
        <w:rPr>
          <w:rFonts w:asciiTheme="minorHAnsi" w:hAnsiTheme="minorHAnsi" w:cstheme="minorHAnsi"/>
          <w:b/>
          <w:bCs/>
        </w:rPr>
        <w:t xml:space="preserve">2. Tescil </w:t>
      </w:r>
    </w:p>
    <w:p w:rsidR="00501FB5" w:rsidRPr="00AB5B92" w:rsidRDefault="00501FB5" w:rsidP="00501FB5">
      <w:pPr>
        <w:pStyle w:val="Default"/>
        <w:rPr>
          <w:rFonts w:asciiTheme="minorHAnsi" w:hAnsiTheme="minorHAnsi" w:cstheme="minorHAnsi"/>
        </w:rPr>
      </w:pPr>
      <w:r w:rsidRPr="00AB5B92">
        <w:rPr>
          <w:rFonts w:asciiTheme="minorHAnsi" w:hAnsiTheme="minorHAnsi" w:cstheme="minorHAnsi"/>
          <w:b/>
          <w:bCs/>
        </w:rPr>
        <w:t>MADDE 40</w:t>
      </w:r>
      <w:r w:rsidRPr="00AB5B92">
        <w:rPr>
          <w:rFonts w:asciiTheme="minorHAnsi" w:hAnsiTheme="minorHAnsi" w:cstheme="minorHAnsi"/>
        </w:rPr>
        <w:t xml:space="preserve">- (1) Her tacir, ticari işletmenin açıldığı günden itibaren </w:t>
      </w:r>
      <w:proofErr w:type="spellStart"/>
      <w:r w:rsidRPr="00AB5B92">
        <w:rPr>
          <w:rFonts w:asciiTheme="minorHAnsi" w:hAnsiTheme="minorHAnsi" w:cstheme="minorHAnsi"/>
        </w:rPr>
        <w:t>onbeş</w:t>
      </w:r>
      <w:proofErr w:type="spellEnd"/>
      <w:r w:rsidRPr="00AB5B92">
        <w:rPr>
          <w:rFonts w:asciiTheme="minorHAnsi" w:hAnsiTheme="minorHAnsi" w:cstheme="minorHAnsi"/>
        </w:rPr>
        <w:t xml:space="preserve"> gün içinde, ticari işletmesini ve seçtiği ticaret unvanını, işletme merkezinin bulunduğu yer ticaret siciline tescil ve ilan ettirir. </w:t>
      </w:r>
    </w:p>
    <w:p w:rsidR="00501FB5" w:rsidRPr="00AB5B92" w:rsidRDefault="00501FB5" w:rsidP="00501FB5">
      <w:pPr>
        <w:pStyle w:val="Default"/>
        <w:rPr>
          <w:rFonts w:asciiTheme="minorHAnsi" w:hAnsiTheme="minorHAnsi" w:cstheme="minorHAnsi"/>
          <w:strike/>
        </w:rPr>
      </w:pPr>
      <w:r w:rsidRPr="00AB5B92">
        <w:rPr>
          <w:rFonts w:asciiTheme="minorHAnsi" w:hAnsiTheme="minorHAnsi" w:cstheme="minorHAnsi"/>
          <w:strike/>
        </w:rPr>
        <w:t xml:space="preserve">(2) Her tacir kullanacağı ticaret unvanını ve bunun altına atacağı imzayı notere onaylattırdıktan sonra sicil müdürlüğüne verir. Tacir tüzel kişi ise, unvanla birlikte onun adına imzaya yetkili kimselerin imzaları da notere onaylattırılarak sicil müdürlüğüne verilir. </w:t>
      </w:r>
      <w:r w:rsidRPr="00AB5B92">
        <w:rPr>
          <w:rFonts w:asciiTheme="minorHAnsi" w:hAnsiTheme="minorHAnsi" w:cstheme="minorHAnsi"/>
          <w:b/>
          <w:bCs/>
          <w:strike/>
        </w:rPr>
        <w:t xml:space="preserve">(Ek cümle: </w:t>
      </w:r>
      <w:proofErr w:type="gramStart"/>
      <w:r w:rsidRPr="00AB5B92">
        <w:rPr>
          <w:rFonts w:asciiTheme="minorHAnsi" w:hAnsiTheme="minorHAnsi" w:cstheme="minorHAnsi"/>
          <w:b/>
          <w:bCs/>
          <w:strike/>
        </w:rPr>
        <w:t>15/7/2016</w:t>
      </w:r>
      <w:proofErr w:type="gramEnd"/>
      <w:r w:rsidRPr="00AB5B92">
        <w:rPr>
          <w:rFonts w:asciiTheme="minorHAnsi" w:hAnsiTheme="minorHAnsi" w:cstheme="minorHAnsi"/>
          <w:b/>
          <w:bCs/>
          <w:strike/>
        </w:rPr>
        <w:t xml:space="preserve">-6728/66 md.) </w:t>
      </w:r>
      <w:r w:rsidRPr="00AB5B92">
        <w:rPr>
          <w:rFonts w:asciiTheme="minorHAnsi" w:hAnsiTheme="minorHAnsi" w:cstheme="minorHAnsi"/>
          <w:strike/>
        </w:rPr>
        <w:t xml:space="preserve">Gerçek kişi tacir ile tüzel kişi tacir adına imza atmaya yetkili kişi, ticaret unvanını ve bunun altına atacağı imzayı, noter onayı şartı aranmaksızın ticaret sicili müdürü yahut yardımcısı huzurunda yazılı beyanda bulunmak suretiyle de verebilir. </w:t>
      </w:r>
    </w:p>
    <w:p w:rsidR="00501FB5" w:rsidRPr="00AB5B92" w:rsidRDefault="00501FB5" w:rsidP="00501FB5">
      <w:pPr>
        <w:pStyle w:val="Default"/>
        <w:rPr>
          <w:rFonts w:asciiTheme="minorHAnsi" w:hAnsiTheme="minorHAnsi" w:cstheme="minorHAnsi"/>
          <w:strike/>
        </w:rPr>
      </w:pPr>
    </w:p>
    <w:p w:rsidR="00501FB5" w:rsidRPr="00B87F92" w:rsidRDefault="00732B76" w:rsidP="00501FB5">
      <w:pPr>
        <w:pStyle w:val="Default"/>
        <w:rPr>
          <w:rFonts w:asciiTheme="minorHAnsi" w:hAnsiTheme="minorHAnsi" w:cstheme="minorHAnsi"/>
          <w:color w:val="FF0000"/>
        </w:rPr>
      </w:pPr>
      <w:r w:rsidRPr="00732B76">
        <w:rPr>
          <w:rFonts w:asciiTheme="minorHAnsi" w:hAnsiTheme="minorHAnsi" w:cstheme="minorHAnsi"/>
          <w:b/>
          <w:i/>
          <w:color w:val="FF0000"/>
        </w:rPr>
        <w:t>(7099 Sayılı Kanun ile değişiklik)</w:t>
      </w:r>
      <w:r>
        <w:rPr>
          <w:rFonts w:asciiTheme="minorHAnsi" w:hAnsiTheme="minorHAnsi" w:cstheme="minorHAnsi"/>
        </w:rPr>
        <w:t xml:space="preserve"> </w:t>
      </w:r>
      <w:r w:rsidR="00501FB5" w:rsidRPr="00B87F92">
        <w:rPr>
          <w:rFonts w:asciiTheme="minorHAnsi" w:hAnsiTheme="minorHAnsi" w:cstheme="minorHAnsi"/>
          <w:color w:val="FF0000"/>
        </w:rPr>
        <w:t xml:space="preserve">(2) Her tacir kullanacağı ticaret unvanını ve bunun altına atacağı imzayı sicil müdürlüğüne verir. Tacir, tüzel kişi ise unvanla birlikte onun adına imzaya yetkili kişilerin imzaları da sicil müdürlüğüne veriler. İmza beyanı, herhangi bir ticaret sicili müdürlüğünde yetkilendirilmiş personelin huzurunda yazılı beyanda bulunmak suretiyle veriler. Bu madenini uygulanmasına ilişkin usul ve esaslar Gümrük ve Ticaret Bakanlığınca çıkarılacak tebliğ ile belirlenir. </w:t>
      </w:r>
    </w:p>
    <w:p w:rsidR="00501FB5" w:rsidRPr="00AB5B92" w:rsidRDefault="00501FB5" w:rsidP="00501FB5">
      <w:pPr>
        <w:pStyle w:val="Default"/>
        <w:rPr>
          <w:rFonts w:asciiTheme="minorHAnsi" w:hAnsiTheme="minorHAnsi" w:cstheme="minorHAnsi"/>
          <w:strike/>
        </w:rPr>
      </w:pPr>
    </w:p>
    <w:p w:rsidR="00501FB5" w:rsidRPr="00AB5B92" w:rsidRDefault="00501FB5" w:rsidP="00501FB5">
      <w:pPr>
        <w:pStyle w:val="Default"/>
        <w:rPr>
          <w:rFonts w:asciiTheme="minorHAnsi" w:hAnsiTheme="minorHAnsi" w:cstheme="minorHAnsi"/>
        </w:rPr>
      </w:pPr>
      <w:r w:rsidRPr="00AB5B92">
        <w:rPr>
          <w:rFonts w:asciiTheme="minorHAnsi" w:hAnsiTheme="minorHAnsi" w:cstheme="minorHAnsi"/>
        </w:rPr>
        <w:t xml:space="preserve">(3) Merkezi Türkiye’de bulunan ticari işletmelerin şubeleri de bulundukları yerin ticaret siciline tescil ve ilan olunur. Ticaret unvanına ve imza örneklerine ilişkin birinci ve ikinci fıkra hükümleri bu işletmelere de uygulanır. Kanunda aksine hüküm bulunmadıkça merkezin bağlı olduğu sicile geçirilen kayıtlar şubenin bağlı bulunduğu sicile de tescil olunur. Ancak, bu hususta şubenin bulunduğu yer sicil müdürlüğünün ayrı bir inceleme zorunluluğu yoktur. </w:t>
      </w:r>
    </w:p>
    <w:p w:rsidR="00AB5B92" w:rsidRPr="00B10F04" w:rsidRDefault="00501FB5" w:rsidP="00501FB5">
      <w:pPr>
        <w:rPr>
          <w:rFonts w:cstheme="minorHAnsi"/>
          <w:sz w:val="24"/>
          <w:szCs w:val="24"/>
        </w:rPr>
      </w:pPr>
      <w:r w:rsidRPr="00AB5B92">
        <w:rPr>
          <w:rFonts w:cstheme="minorHAnsi"/>
          <w:sz w:val="24"/>
          <w:szCs w:val="24"/>
        </w:rPr>
        <w:t>(4) Merkezleri Türkiye dışında bulunan ticari işletmelerin Türkiye’deki şubeleri, kendi ülkelerinin kanunlarının ticaret unvanına ilişkin hükümleri saklı kalmak şartıyla, yerli ticari işletmeler gibi tescil olunur. Bu şubeler için yerleşim yeri Türkiye’de bulunan tam yetkili bir ticari mümessil atanır. Ticari işletmenin birden çok şubesi varsa, ilk şubenin tescilinden sonra açılacak şubeler yerli ticari işletmelerin şubeleri gibi tescil olunur.</w:t>
      </w:r>
    </w:p>
    <w:p w:rsidR="00AB5B92" w:rsidRPr="00AB5B92" w:rsidRDefault="00AB5B92" w:rsidP="002D5198">
      <w:pPr>
        <w:pStyle w:val="Default"/>
        <w:jc w:val="center"/>
        <w:rPr>
          <w:rFonts w:asciiTheme="minorHAnsi" w:hAnsiTheme="minorHAnsi" w:cstheme="minorHAnsi"/>
        </w:rPr>
      </w:pPr>
      <w:r w:rsidRPr="00AB5B92">
        <w:rPr>
          <w:rFonts w:asciiTheme="minorHAnsi" w:hAnsiTheme="minorHAnsi" w:cstheme="minorHAnsi"/>
          <w:b/>
          <w:bCs/>
        </w:rPr>
        <w:t>BEŞİNCİ KISIM</w:t>
      </w:r>
    </w:p>
    <w:p w:rsidR="00AB5B92" w:rsidRPr="00AB5B92" w:rsidRDefault="00AB5B92" w:rsidP="002D5198">
      <w:pPr>
        <w:jc w:val="center"/>
        <w:rPr>
          <w:rFonts w:cstheme="minorHAnsi"/>
          <w:sz w:val="24"/>
          <w:szCs w:val="24"/>
        </w:rPr>
      </w:pPr>
      <w:r w:rsidRPr="00AB5B92">
        <w:rPr>
          <w:rFonts w:cstheme="minorHAnsi"/>
          <w:b/>
          <w:bCs/>
          <w:sz w:val="24"/>
          <w:szCs w:val="24"/>
        </w:rPr>
        <w:t>Ticari Defterler</w:t>
      </w:r>
    </w:p>
    <w:p w:rsidR="00AB5B92" w:rsidRPr="00AB5B92" w:rsidRDefault="00AB5B92" w:rsidP="00AB5B92">
      <w:pPr>
        <w:pStyle w:val="Default"/>
        <w:rPr>
          <w:rFonts w:asciiTheme="minorHAnsi" w:hAnsiTheme="minorHAnsi" w:cstheme="minorHAnsi"/>
        </w:rPr>
      </w:pPr>
      <w:r w:rsidRPr="00AB5B92">
        <w:rPr>
          <w:rFonts w:asciiTheme="minorHAnsi" w:hAnsiTheme="minorHAnsi" w:cstheme="minorHAnsi"/>
          <w:b/>
          <w:bCs/>
        </w:rPr>
        <w:t xml:space="preserve">A) Defter tutma ve envanter </w:t>
      </w:r>
    </w:p>
    <w:p w:rsidR="00AB5B92" w:rsidRPr="00AB5B92" w:rsidRDefault="00AB5B92" w:rsidP="00AB5B92">
      <w:pPr>
        <w:pStyle w:val="Default"/>
        <w:rPr>
          <w:rFonts w:asciiTheme="minorHAnsi" w:hAnsiTheme="minorHAnsi" w:cstheme="minorHAnsi"/>
        </w:rPr>
      </w:pPr>
      <w:r w:rsidRPr="00AB5B92">
        <w:rPr>
          <w:rFonts w:asciiTheme="minorHAnsi" w:hAnsiTheme="minorHAnsi" w:cstheme="minorHAnsi"/>
          <w:b/>
          <w:bCs/>
        </w:rPr>
        <w:t xml:space="preserve">I - Defter tutma yükümlülüğü </w:t>
      </w:r>
    </w:p>
    <w:p w:rsidR="00AB5B92" w:rsidRPr="00AB5B92" w:rsidRDefault="00AB5B92" w:rsidP="00AB5B92">
      <w:pPr>
        <w:pStyle w:val="Default"/>
        <w:rPr>
          <w:rFonts w:asciiTheme="minorHAnsi" w:hAnsiTheme="minorHAnsi" w:cstheme="minorHAnsi"/>
        </w:rPr>
      </w:pPr>
      <w:r w:rsidRPr="00AB5B92">
        <w:rPr>
          <w:rFonts w:asciiTheme="minorHAnsi" w:hAnsiTheme="minorHAnsi" w:cstheme="minorHAnsi"/>
          <w:b/>
          <w:bCs/>
        </w:rPr>
        <w:t>MADDE 64</w:t>
      </w:r>
      <w:r w:rsidRPr="00AB5B92">
        <w:rPr>
          <w:rFonts w:asciiTheme="minorHAnsi" w:hAnsiTheme="minorHAnsi" w:cstheme="minorHAnsi"/>
        </w:rPr>
        <w:t xml:space="preserve">- (1) </w:t>
      </w:r>
      <w:r w:rsidRPr="00AB5B92">
        <w:rPr>
          <w:rFonts w:asciiTheme="minorHAnsi" w:hAnsiTheme="minorHAnsi" w:cstheme="minorHAnsi"/>
          <w:b/>
          <w:bCs/>
        </w:rPr>
        <w:t xml:space="preserve">(Değişik: </w:t>
      </w:r>
      <w:proofErr w:type="gramStart"/>
      <w:r w:rsidRPr="00AB5B92">
        <w:rPr>
          <w:rFonts w:asciiTheme="minorHAnsi" w:hAnsiTheme="minorHAnsi" w:cstheme="minorHAnsi"/>
          <w:b/>
          <w:bCs/>
        </w:rPr>
        <w:t>26/6/2012</w:t>
      </w:r>
      <w:proofErr w:type="gramEnd"/>
      <w:r w:rsidRPr="00AB5B92">
        <w:rPr>
          <w:rFonts w:asciiTheme="minorHAnsi" w:hAnsiTheme="minorHAnsi" w:cstheme="minorHAnsi"/>
          <w:b/>
          <w:bCs/>
        </w:rPr>
        <w:t xml:space="preserve">-6335/8 md.) </w:t>
      </w:r>
      <w:r w:rsidRPr="00AB5B92">
        <w:rPr>
          <w:rFonts w:asciiTheme="minorHAnsi" w:hAnsiTheme="minorHAnsi" w:cstheme="minorHAnsi"/>
        </w:rPr>
        <w:t>Her tacir, ticari defterleri tutmak ve defterlerinde, ticari işlemleriyle ticari işletmesinin iktisadi ve mali durumunu, borç ve alacak ilişkilerini ve her hesap dönemi içinde elde edilen neticeleri, bu Kanuna göre açıkça görülebilir bir şekilde ortaya koymak zorundadır. Defterler, üçüncü kişi uzmanlara, makul bir süre içinde yapacakları incelemede işletmenin faaliyetleri ve finansal durumu hakkında fikir verebilecek şekilde tutulur. İşletme faaliyetlerinin oluşumu ve gelişmesi defterlerden izlenebilmelidir.</w:t>
      </w:r>
    </w:p>
    <w:p w:rsidR="00AB5B92" w:rsidRPr="00AB5B92" w:rsidRDefault="00AB5B92" w:rsidP="00AB5B92">
      <w:pPr>
        <w:pStyle w:val="Default"/>
        <w:rPr>
          <w:rFonts w:asciiTheme="minorHAnsi" w:hAnsiTheme="minorHAnsi" w:cstheme="minorHAnsi"/>
        </w:rPr>
      </w:pPr>
      <w:r w:rsidRPr="00AB5B92">
        <w:rPr>
          <w:rFonts w:asciiTheme="minorHAnsi" w:hAnsiTheme="minorHAnsi" w:cstheme="minorHAnsi"/>
        </w:rPr>
        <w:lastRenderedPageBreak/>
        <w:t xml:space="preserve">(2) Tacir, işletmesiyle ilgili olarak gönderilmiş bulunan her türlü belgenin, fotokopi, karbonlu kopya, </w:t>
      </w:r>
      <w:proofErr w:type="spellStart"/>
      <w:r w:rsidRPr="00AB5B92">
        <w:rPr>
          <w:rFonts w:asciiTheme="minorHAnsi" w:hAnsiTheme="minorHAnsi" w:cstheme="minorHAnsi"/>
        </w:rPr>
        <w:t>mikrofiş</w:t>
      </w:r>
      <w:proofErr w:type="spellEnd"/>
      <w:r w:rsidRPr="00AB5B92">
        <w:rPr>
          <w:rFonts w:asciiTheme="minorHAnsi" w:hAnsiTheme="minorHAnsi" w:cstheme="minorHAnsi"/>
        </w:rPr>
        <w:t xml:space="preserve">, bilgisayar kaydı veya benzer şekildeki bir kopyasını, yazılı, görsel veya elektronik ortamda saklamakla yükümlüdür. </w:t>
      </w:r>
    </w:p>
    <w:p w:rsidR="00AB5B92" w:rsidRPr="00AB5B92" w:rsidRDefault="00AB5B92" w:rsidP="00AB5B92">
      <w:pPr>
        <w:pStyle w:val="Default"/>
        <w:rPr>
          <w:rFonts w:asciiTheme="minorHAnsi" w:hAnsiTheme="minorHAnsi" w:cstheme="minorHAnsi"/>
        </w:rPr>
      </w:pPr>
      <w:r w:rsidRPr="00AB5B92">
        <w:rPr>
          <w:rFonts w:asciiTheme="minorHAnsi" w:hAnsiTheme="minorHAnsi" w:cstheme="minorHAnsi"/>
        </w:rPr>
        <w:t xml:space="preserve">(3) </w:t>
      </w:r>
      <w:r w:rsidRPr="00AB5B92">
        <w:rPr>
          <w:rFonts w:asciiTheme="minorHAnsi" w:hAnsiTheme="minorHAnsi" w:cstheme="minorHAnsi"/>
          <w:b/>
          <w:bCs/>
        </w:rPr>
        <w:t xml:space="preserve">(Değişik: 26/6/2012-6335/8 md.) </w:t>
      </w:r>
      <w:r w:rsidRPr="00AB5B92">
        <w:rPr>
          <w:rFonts w:asciiTheme="minorHAnsi" w:hAnsiTheme="minorHAnsi" w:cstheme="minorHAnsi"/>
        </w:rPr>
        <w:t xml:space="preserve">Fiziki ortamda tutulan yevmiye defteri, defteri kebir ve </w:t>
      </w:r>
      <w:proofErr w:type="gramStart"/>
      <w:r w:rsidRPr="00AB5B92">
        <w:rPr>
          <w:rFonts w:asciiTheme="minorHAnsi" w:hAnsiTheme="minorHAnsi" w:cstheme="minorHAnsi"/>
        </w:rPr>
        <w:t>envanter</w:t>
      </w:r>
      <w:proofErr w:type="gramEnd"/>
      <w:r w:rsidRPr="00AB5B92">
        <w:rPr>
          <w:rFonts w:asciiTheme="minorHAnsi" w:hAnsiTheme="minorHAnsi" w:cstheme="minorHAnsi"/>
        </w:rPr>
        <w:t xml:space="preserve"> defteri ile dördüncü fıkrada sayılan defterlerin açılış onayları, kuruluş sırasında ve kullanılmaya başlanmadan önce noter tarafından yapılır. Bu defterlerin izleyen faaliyet dönemlerindeki açılış onayları, defterlerin kullanılacağı faaliyet döneminin ilk ayından önceki ayın sonuna kadar notere yaptırılır. Pay defteri ile genel kurul toplantı ve müzakere defteri yeterli yaprakları bulunmak kaydıyla izleyen faaliyet dönemlerinde de açılış onayı yaptırılmaksızın kullanılmaya devam edilebilir. </w:t>
      </w:r>
      <w:r w:rsidRPr="00AB5B92">
        <w:rPr>
          <w:rFonts w:asciiTheme="minorHAnsi" w:hAnsiTheme="minorHAnsi" w:cstheme="minorHAnsi"/>
          <w:b/>
          <w:bCs/>
        </w:rPr>
        <w:t xml:space="preserve">(Değişik dördüncü cümle: 28/3/2013-6455/78 md.) </w:t>
      </w:r>
      <w:r w:rsidRPr="00AB5B92">
        <w:rPr>
          <w:rFonts w:asciiTheme="minorHAnsi" w:hAnsiTheme="minorHAnsi" w:cstheme="minorHAnsi"/>
        </w:rPr>
        <w:t xml:space="preserve">Yevmiye defterinin kapanış onayı, izleyen faaliyet döneminin altıncı ayının sonuna kadar, yönetim kurulu karar defterinin kapanış onayı ise izleyen faaliyet döneminin birinci ayının sonuna kadar notere </w:t>
      </w:r>
      <w:proofErr w:type="gramStart"/>
      <w:r w:rsidRPr="00AB5B92">
        <w:rPr>
          <w:rFonts w:asciiTheme="minorHAnsi" w:hAnsiTheme="minorHAnsi" w:cstheme="minorHAnsi"/>
        </w:rPr>
        <w:t>yaptırılır.</w:t>
      </w:r>
      <w:r w:rsidRPr="00B87F92">
        <w:rPr>
          <w:rFonts w:asciiTheme="minorHAnsi" w:hAnsiTheme="minorHAnsi" w:cstheme="minorHAnsi"/>
          <w:strike/>
        </w:rPr>
        <w:t>Ticaret</w:t>
      </w:r>
      <w:proofErr w:type="gramEnd"/>
      <w:r w:rsidRPr="00B87F92">
        <w:rPr>
          <w:rFonts w:asciiTheme="minorHAnsi" w:hAnsiTheme="minorHAnsi" w:cstheme="minorHAnsi"/>
          <w:strike/>
        </w:rPr>
        <w:t xml:space="preserve"> şirketlerinin ticaret siciline tescili sırasında defterlerin açılışı ticaret sicili müdürlükleri tarafından da onaylanabilir</w:t>
      </w:r>
      <w:r w:rsidRPr="00AB5B92">
        <w:rPr>
          <w:rFonts w:asciiTheme="minorHAnsi" w:hAnsiTheme="minorHAnsi" w:cstheme="minorHAnsi"/>
        </w:rPr>
        <w:t xml:space="preserve">. Açılış onayının noter tarafından yapıldığı hâllerde noter, ticaret sicili tasdiknamesini aramak zorundadır. </w:t>
      </w:r>
      <w:r w:rsidR="00732B76" w:rsidRPr="00732B76">
        <w:rPr>
          <w:rFonts w:asciiTheme="minorHAnsi" w:hAnsiTheme="minorHAnsi" w:cstheme="minorHAnsi"/>
          <w:b/>
          <w:i/>
          <w:color w:val="FF0000"/>
        </w:rPr>
        <w:t>(7099 Sayılı Kanun ile değişiklik)</w:t>
      </w:r>
      <w:r w:rsidR="00732B76">
        <w:rPr>
          <w:rFonts w:asciiTheme="minorHAnsi" w:hAnsiTheme="minorHAnsi" w:cstheme="minorHAnsi"/>
        </w:rPr>
        <w:t xml:space="preserve"> </w:t>
      </w:r>
      <w:r w:rsidR="00B87F92" w:rsidRPr="00B87F92">
        <w:rPr>
          <w:rFonts w:asciiTheme="minorHAnsi" w:hAnsiTheme="minorHAnsi" w:cstheme="minorHAnsi"/>
          <w:color w:val="FF0000"/>
        </w:rPr>
        <w:t>Ancak</w:t>
      </w:r>
      <w:r w:rsidR="002622A4">
        <w:rPr>
          <w:rFonts w:asciiTheme="minorHAnsi" w:hAnsiTheme="minorHAnsi" w:cstheme="minorHAnsi"/>
          <w:color w:val="FF0000"/>
        </w:rPr>
        <w:t xml:space="preserve"> anonim ve </w:t>
      </w:r>
      <w:proofErr w:type="spellStart"/>
      <w:r w:rsidR="002622A4">
        <w:rPr>
          <w:rFonts w:asciiTheme="minorHAnsi" w:hAnsiTheme="minorHAnsi" w:cstheme="minorHAnsi"/>
          <w:color w:val="FF0000"/>
        </w:rPr>
        <w:t>limited</w:t>
      </w:r>
      <w:proofErr w:type="spellEnd"/>
      <w:r w:rsidR="002622A4">
        <w:rPr>
          <w:rFonts w:asciiTheme="minorHAnsi" w:hAnsiTheme="minorHAnsi" w:cstheme="minorHAnsi"/>
          <w:color w:val="FF0000"/>
        </w:rPr>
        <w:t xml:space="preserve"> şirketlerin t</w:t>
      </w:r>
      <w:r w:rsidR="00B87F92" w:rsidRPr="00B87F92">
        <w:rPr>
          <w:rFonts w:asciiTheme="minorHAnsi" w:hAnsiTheme="minorHAnsi" w:cstheme="minorHAnsi"/>
          <w:color w:val="FF0000"/>
        </w:rPr>
        <w:t>icaret siciline tescili sırasında defterlerin açılış onayları ticaret sicili müdürlükleri tarafından yapılır.</w:t>
      </w:r>
      <w:r w:rsidR="00B87F92">
        <w:rPr>
          <w:rFonts w:asciiTheme="minorHAnsi" w:hAnsiTheme="minorHAnsi" w:cstheme="minorHAnsi"/>
        </w:rPr>
        <w:t xml:space="preserve">  </w:t>
      </w:r>
      <w:r w:rsidRPr="00AB5B92">
        <w:rPr>
          <w:rFonts w:asciiTheme="minorHAnsi" w:hAnsiTheme="minorHAnsi" w:cstheme="minorHAnsi"/>
        </w:rPr>
        <w:t xml:space="preserve">Ticari defterlerin elektronik ortamda tutulması hâlinde bu defterlerin açılışlarında ve yevmiye defteri ile yönetim kurulu karar defterinin kapanışında noter </w:t>
      </w:r>
      <w:r w:rsidR="00B87F92">
        <w:rPr>
          <w:rFonts w:asciiTheme="minorHAnsi" w:hAnsiTheme="minorHAnsi" w:cstheme="minorHAnsi"/>
        </w:rPr>
        <w:t>veya</w:t>
      </w:r>
      <w:r w:rsidR="00732B76">
        <w:rPr>
          <w:rFonts w:asciiTheme="minorHAnsi" w:hAnsiTheme="minorHAnsi" w:cstheme="minorHAnsi"/>
        </w:rPr>
        <w:t xml:space="preserve"> </w:t>
      </w:r>
      <w:r w:rsidR="00732B76" w:rsidRPr="00732B76">
        <w:rPr>
          <w:rFonts w:asciiTheme="minorHAnsi" w:hAnsiTheme="minorHAnsi" w:cstheme="minorHAnsi"/>
          <w:b/>
          <w:i/>
          <w:color w:val="FF0000"/>
        </w:rPr>
        <w:t>(7099 Sayılı Kanun ile değişiklik)</w:t>
      </w:r>
      <w:r w:rsidR="00732B76">
        <w:rPr>
          <w:rFonts w:asciiTheme="minorHAnsi" w:hAnsiTheme="minorHAnsi" w:cstheme="minorHAnsi"/>
        </w:rPr>
        <w:t xml:space="preserve"> </w:t>
      </w:r>
      <w:r w:rsidR="00B87F92">
        <w:rPr>
          <w:rFonts w:asciiTheme="minorHAnsi" w:hAnsiTheme="minorHAnsi" w:cstheme="minorHAnsi"/>
        </w:rPr>
        <w:t xml:space="preserve"> </w:t>
      </w:r>
      <w:r w:rsidR="00B87F92" w:rsidRPr="00B87F92">
        <w:rPr>
          <w:rFonts w:asciiTheme="minorHAnsi" w:hAnsiTheme="minorHAnsi" w:cstheme="minorHAnsi"/>
          <w:color w:val="FF0000"/>
        </w:rPr>
        <w:t>ticaret sicili müdürlüğü</w:t>
      </w:r>
      <w:r w:rsidR="00B87F92">
        <w:rPr>
          <w:rFonts w:asciiTheme="minorHAnsi" w:hAnsiTheme="minorHAnsi" w:cstheme="minorHAnsi"/>
        </w:rPr>
        <w:t xml:space="preserve"> </w:t>
      </w:r>
      <w:r w:rsidRPr="00AB5B92">
        <w:rPr>
          <w:rFonts w:asciiTheme="minorHAnsi" w:hAnsiTheme="minorHAnsi" w:cstheme="minorHAnsi"/>
        </w:rPr>
        <w:t xml:space="preserve">onayı aranmaz. Fiziki ortamda veya elektronik ortamda tutulan ticari defterlerin nasıl tutulacağı, defterlere kayıt zamanı, onay yenileme ile açılış ve kapanış onaylarının şekli ve esasları Gümrük ve Ticaret Bakanlığı ile Maliye Bakanlığınca müştereken çıkarılan tebliğle belirlenir. </w:t>
      </w:r>
    </w:p>
    <w:p w:rsidR="00AB5B92" w:rsidRPr="00AB5B92" w:rsidRDefault="00AB5B92" w:rsidP="00AB5B92">
      <w:pPr>
        <w:pStyle w:val="Default"/>
        <w:rPr>
          <w:rFonts w:asciiTheme="minorHAnsi" w:hAnsiTheme="minorHAnsi" w:cstheme="minorHAnsi"/>
        </w:rPr>
      </w:pPr>
      <w:r w:rsidRPr="00AB5B92">
        <w:rPr>
          <w:rFonts w:asciiTheme="minorHAnsi" w:hAnsiTheme="minorHAnsi" w:cstheme="minorHAnsi"/>
        </w:rPr>
        <w:t xml:space="preserve">(4) Pay defteri, yönetim kurulu karar defteri ve genel kurul toplantı ve müzakere defteri gibi işletmenin muhasebesiyle ilgili olmayan defterler de ticari defterlerdir. </w:t>
      </w:r>
    </w:p>
    <w:p w:rsidR="00E212F1" w:rsidRDefault="00AB5B92" w:rsidP="00AB5B92">
      <w:pPr>
        <w:rPr>
          <w:rFonts w:cstheme="minorHAnsi"/>
          <w:sz w:val="24"/>
          <w:szCs w:val="24"/>
        </w:rPr>
      </w:pPr>
      <w:r w:rsidRPr="00AB5B92">
        <w:rPr>
          <w:rFonts w:cstheme="minorHAnsi"/>
          <w:sz w:val="24"/>
          <w:szCs w:val="24"/>
        </w:rPr>
        <w:t xml:space="preserve">(5) </w:t>
      </w:r>
      <w:r w:rsidRPr="00AB5B92">
        <w:rPr>
          <w:rFonts w:cstheme="minorHAnsi"/>
          <w:b/>
          <w:bCs/>
          <w:sz w:val="24"/>
          <w:szCs w:val="24"/>
        </w:rPr>
        <w:t xml:space="preserve">(Değişik: </w:t>
      </w:r>
      <w:proofErr w:type="gramStart"/>
      <w:r w:rsidRPr="00AB5B92">
        <w:rPr>
          <w:rFonts w:cstheme="minorHAnsi"/>
          <w:b/>
          <w:bCs/>
          <w:sz w:val="24"/>
          <w:szCs w:val="24"/>
        </w:rPr>
        <w:t>26/6/2012</w:t>
      </w:r>
      <w:proofErr w:type="gramEnd"/>
      <w:r w:rsidRPr="00AB5B92">
        <w:rPr>
          <w:rFonts w:cstheme="minorHAnsi"/>
          <w:b/>
          <w:bCs/>
          <w:sz w:val="24"/>
          <w:szCs w:val="24"/>
        </w:rPr>
        <w:t xml:space="preserve">-6335/8 md.) </w:t>
      </w:r>
      <w:r w:rsidRPr="00AB5B92">
        <w:rPr>
          <w:rFonts w:cstheme="minorHAnsi"/>
          <w:sz w:val="24"/>
          <w:szCs w:val="24"/>
        </w:rPr>
        <w:t xml:space="preserve">Bu Kanuna tabi gerçek ve tüzel kişiler, 4/1/1961 tarihli ve 213 sayılı Vergi Usul Kanununun defter tutma ve kayıt zamanıyla ilgili hükümleri ile aynı Kanunun 175 inci ve mükerrer 257 </w:t>
      </w:r>
      <w:proofErr w:type="spellStart"/>
      <w:r w:rsidRPr="00AB5B92">
        <w:rPr>
          <w:rFonts w:cstheme="minorHAnsi"/>
          <w:sz w:val="24"/>
          <w:szCs w:val="24"/>
        </w:rPr>
        <w:t>nci</w:t>
      </w:r>
      <w:proofErr w:type="spellEnd"/>
      <w:r w:rsidRPr="00AB5B92">
        <w:rPr>
          <w:rFonts w:cstheme="minorHAnsi"/>
          <w:sz w:val="24"/>
          <w:szCs w:val="24"/>
        </w:rPr>
        <w:t xml:space="preserve"> maddelerinde yer alan yetkiye istinaden yapılan düzenlemelere uymak zorundadır. Bu Kanunun defter tutma, envanter, mali tabloların düzenlenmesi, aktifleştirme, karşılıklar, hesaplar, değerleme, saklama ve ibraz hükümleri 213 sayılı Kanun ile diğer vergi kanunlarının aynı hususları düzenleyen hükümlerinin uygulanmasına, vergi kanunlarına uygun olarak vergi matrahının tespit edilmesine ve buna yönelik mali tabloların hazırlanmasına engel teşkil etmez.</w:t>
      </w:r>
    </w:p>
    <w:p w:rsidR="00732B76" w:rsidRDefault="00732B76" w:rsidP="00A4163A">
      <w:pPr>
        <w:pStyle w:val="Default"/>
        <w:rPr>
          <w:rFonts w:asciiTheme="minorHAnsi" w:hAnsiTheme="minorHAnsi" w:cstheme="minorHAnsi"/>
        </w:rPr>
      </w:pPr>
      <w:r w:rsidRPr="00732B76">
        <w:rPr>
          <w:rFonts w:asciiTheme="minorHAnsi" w:hAnsiTheme="minorHAnsi" w:cstheme="minorHAnsi"/>
          <w:b/>
          <w:i/>
          <w:color w:val="FF0000"/>
        </w:rPr>
        <w:t xml:space="preserve">(7099 Sayılı Kanun ile </w:t>
      </w:r>
      <w:r>
        <w:rPr>
          <w:rFonts w:asciiTheme="minorHAnsi" w:hAnsiTheme="minorHAnsi" w:cstheme="minorHAnsi"/>
          <w:b/>
          <w:i/>
          <w:color w:val="FF0000"/>
        </w:rPr>
        <w:t xml:space="preserve">kaldırılmıştır </w:t>
      </w:r>
      <w:r w:rsidRPr="00732B76">
        <w:rPr>
          <w:rFonts w:asciiTheme="minorHAnsi" w:hAnsiTheme="minorHAnsi" w:cstheme="minorHAnsi"/>
          <w:b/>
          <w:i/>
          <w:color w:val="FF0000"/>
        </w:rPr>
        <w:t>)</w:t>
      </w:r>
      <w:r>
        <w:rPr>
          <w:rFonts w:asciiTheme="minorHAnsi" w:hAnsiTheme="minorHAnsi" w:cstheme="minorHAnsi"/>
        </w:rPr>
        <w:t xml:space="preserve"> </w:t>
      </w:r>
    </w:p>
    <w:p w:rsidR="00A4163A" w:rsidRPr="00A818FF" w:rsidRDefault="00A4163A" w:rsidP="00A4163A">
      <w:pPr>
        <w:pStyle w:val="Default"/>
        <w:rPr>
          <w:rFonts w:asciiTheme="minorHAnsi" w:hAnsiTheme="minorHAnsi" w:cstheme="minorHAnsi"/>
          <w:strike/>
        </w:rPr>
      </w:pPr>
      <w:r w:rsidRPr="00A818FF">
        <w:rPr>
          <w:rFonts w:asciiTheme="minorHAnsi" w:hAnsiTheme="minorHAnsi" w:cstheme="minorHAnsi"/>
          <w:b/>
          <w:bCs/>
          <w:strike/>
        </w:rPr>
        <w:t xml:space="preserve">b) Organın temsilcisi, bağımsız temsilci ve kurumsal temsilci </w:t>
      </w:r>
    </w:p>
    <w:p w:rsidR="00A4163A" w:rsidRPr="00A818FF" w:rsidRDefault="00A4163A" w:rsidP="00A4163A">
      <w:pPr>
        <w:pStyle w:val="Default"/>
        <w:rPr>
          <w:rFonts w:asciiTheme="minorHAnsi" w:hAnsiTheme="minorHAnsi" w:cstheme="minorHAnsi"/>
          <w:strike/>
        </w:rPr>
      </w:pPr>
      <w:proofErr w:type="gramStart"/>
      <w:r w:rsidRPr="00A818FF">
        <w:rPr>
          <w:rFonts w:asciiTheme="minorHAnsi" w:hAnsiTheme="minorHAnsi" w:cstheme="minorHAnsi"/>
          <w:b/>
          <w:bCs/>
          <w:strike/>
        </w:rPr>
        <w:t>MADDE 428</w:t>
      </w:r>
      <w:r w:rsidRPr="00A818FF">
        <w:rPr>
          <w:rFonts w:asciiTheme="minorHAnsi" w:hAnsiTheme="minorHAnsi" w:cstheme="minorHAnsi"/>
          <w:strike/>
        </w:rPr>
        <w:t xml:space="preserve">- (1) Şirket, kendisiyle herhangi bir şekilde ilişkisi bulunan bir kişiyi, genel kurul toplantısında kendileri adına oy kullanıp ilgili diğer işlemleri yapması için yetkili temsilcileri olarak atamaları amacıyla pay sahiplerine tavsiye edecekse, bununla birlikte şirketten tamamen bağımsız ve tarafsız bir diğer kişiyi de aynı görev için önermeye ve bu iki kişiyi esas sözleşme hükmüne göre ilan edip şirketin internet sitesine koymaya mecburdur. </w:t>
      </w:r>
      <w:proofErr w:type="gramEnd"/>
    </w:p>
    <w:p w:rsidR="00A4163A" w:rsidRPr="00A818FF" w:rsidRDefault="00A4163A" w:rsidP="00A4163A">
      <w:pPr>
        <w:rPr>
          <w:rFonts w:cstheme="minorHAnsi"/>
          <w:strike/>
          <w:sz w:val="24"/>
          <w:szCs w:val="24"/>
        </w:rPr>
      </w:pPr>
      <w:proofErr w:type="gramStart"/>
      <w:r w:rsidRPr="00A818FF">
        <w:rPr>
          <w:rFonts w:cstheme="minorHAnsi"/>
          <w:strike/>
          <w:sz w:val="24"/>
          <w:szCs w:val="24"/>
        </w:rPr>
        <w:t xml:space="preserve">(2) Bundan başka, yönetim kurulu, genel kurul toplantısına çağrı ilanının Türkiye Ticaret Sicili Gazetesinde yayımlanacağı ve şirket internet sitesinde yer alacağı tarihten en az </w:t>
      </w:r>
      <w:proofErr w:type="spellStart"/>
      <w:r w:rsidRPr="00A818FF">
        <w:rPr>
          <w:rFonts w:cstheme="minorHAnsi"/>
          <w:strike/>
          <w:sz w:val="24"/>
          <w:szCs w:val="24"/>
        </w:rPr>
        <w:t>kırkbeş</w:t>
      </w:r>
      <w:proofErr w:type="spellEnd"/>
      <w:r w:rsidRPr="00A818FF">
        <w:rPr>
          <w:rFonts w:cstheme="minorHAnsi"/>
          <w:strike/>
          <w:sz w:val="24"/>
          <w:szCs w:val="24"/>
        </w:rPr>
        <w:t xml:space="preserve"> gün önce, yapacağı bir ilan ve internet sitesine koyacağı yönlendirilmiş bir mesajla, pay sahiplerini, önerdikleri kurumsal temsilcilerin kimliklerini ve bunlara ulaşılabilecek adres ve elektronik posta adresi ile telefon ve </w:t>
      </w:r>
      <w:proofErr w:type="spellStart"/>
      <w:r w:rsidRPr="00A818FF">
        <w:rPr>
          <w:rFonts w:cstheme="minorHAnsi"/>
          <w:strike/>
          <w:sz w:val="24"/>
          <w:szCs w:val="24"/>
        </w:rPr>
        <w:t>telefaks</w:t>
      </w:r>
      <w:proofErr w:type="spellEnd"/>
      <w:r w:rsidRPr="00A818FF">
        <w:rPr>
          <w:rFonts w:cstheme="minorHAnsi"/>
          <w:strike/>
          <w:sz w:val="24"/>
          <w:szCs w:val="24"/>
        </w:rPr>
        <w:t xml:space="preserve"> numaralarını en çok yedi gün içinde şirkete bildirmeye çağırır. </w:t>
      </w:r>
      <w:proofErr w:type="gramEnd"/>
      <w:r w:rsidRPr="00A818FF">
        <w:rPr>
          <w:rFonts w:cstheme="minorHAnsi"/>
          <w:strike/>
          <w:sz w:val="24"/>
          <w:szCs w:val="24"/>
        </w:rPr>
        <w:t>Aynı çağrıda kurumsal temsilciliğe istekli olanların da şirkete başvurmaları istenir. Yönetim kurulu, bildirilen kişileri, birinci fıkradaki kişilerle birlikte, genel kurul toplantısına ilişkin çağrısında, adreslerini ve onlara ulaşma numaralarını da belirterek, ilan eder ve internet sitesinde yayımlar. Bu fıkranın gerekleri yerine getirilmeden, kurumsal temsilci olarak vekâlet toplanamaz.</w:t>
      </w:r>
    </w:p>
    <w:p w:rsidR="00A4163A" w:rsidRPr="00A818FF" w:rsidRDefault="00A4163A" w:rsidP="00A4163A">
      <w:pPr>
        <w:pStyle w:val="Default"/>
        <w:rPr>
          <w:rFonts w:asciiTheme="minorHAnsi" w:hAnsiTheme="minorHAnsi" w:cstheme="minorHAnsi"/>
          <w:strike/>
        </w:rPr>
      </w:pPr>
      <w:r w:rsidRPr="00A818FF">
        <w:rPr>
          <w:rFonts w:asciiTheme="minorHAnsi" w:hAnsiTheme="minorHAnsi" w:cstheme="minorHAnsi"/>
          <w:strike/>
        </w:rPr>
        <w:t xml:space="preserve">(3) Kurumsal temsilcilik, bir pay sahipliği girişimidir; meslek olarak ve ivaz karşılığı yürütülemez. Kurumsal temsilci Türk Borçlar Kanununun 510 uncu maddesini ileri sürerek temsil ettiği pay sahiplerinden herhangi bir talepte bulunamaz. </w:t>
      </w:r>
    </w:p>
    <w:p w:rsidR="00A4163A" w:rsidRPr="00A818FF" w:rsidRDefault="00A4163A" w:rsidP="00A4163A">
      <w:pPr>
        <w:pStyle w:val="Default"/>
        <w:rPr>
          <w:rFonts w:asciiTheme="minorHAnsi" w:hAnsiTheme="minorHAnsi" w:cstheme="minorHAnsi"/>
          <w:strike/>
        </w:rPr>
      </w:pPr>
      <w:r w:rsidRPr="00A818FF">
        <w:rPr>
          <w:rFonts w:asciiTheme="minorHAnsi" w:hAnsiTheme="minorHAnsi" w:cstheme="minorHAnsi"/>
          <w:strike/>
        </w:rPr>
        <w:t xml:space="preserve">(4) Bildirge, pay sahipleri tarafından kurumsal temsilciye verilmiş talimat yerine geçer. </w:t>
      </w:r>
    </w:p>
    <w:p w:rsidR="00A4163A" w:rsidRPr="00A818FF" w:rsidRDefault="00A4163A" w:rsidP="00A4163A">
      <w:pPr>
        <w:pStyle w:val="Default"/>
        <w:rPr>
          <w:rFonts w:asciiTheme="minorHAnsi" w:hAnsiTheme="minorHAnsi" w:cstheme="minorHAnsi"/>
          <w:strike/>
        </w:rPr>
      </w:pPr>
      <w:r w:rsidRPr="00A818FF">
        <w:rPr>
          <w:rFonts w:asciiTheme="minorHAnsi" w:hAnsiTheme="minorHAnsi" w:cstheme="minorHAnsi"/>
          <w:strike/>
        </w:rPr>
        <w:t xml:space="preserve">(5) Kusurlu olarak bildirgesine veya kanuna aykırı hareket eden veya hileli işlemler yapan kurumsal temsilci bu fiil ve kararlarının sonuçlarından Türk Borçlar Kanununun 506 </w:t>
      </w:r>
      <w:proofErr w:type="spellStart"/>
      <w:r w:rsidRPr="00A818FF">
        <w:rPr>
          <w:rFonts w:asciiTheme="minorHAnsi" w:hAnsiTheme="minorHAnsi" w:cstheme="minorHAnsi"/>
          <w:strike/>
        </w:rPr>
        <w:t>ncı</w:t>
      </w:r>
      <w:proofErr w:type="spellEnd"/>
      <w:r w:rsidRPr="00A818FF">
        <w:rPr>
          <w:rFonts w:asciiTheme="minorHAnsi" w:hAnsiTheme="minorHAnsi" w:cstheme="minorHAnsi"/>
          <w:strike/>
        </w:rPr>
        <w:t xml:space="preserve"> maddesinin birinci ve ikinci fıkraları uyarınca sorumlu olur; sorumluluğu kaldıran veya sınırlayan sözleşmeler geçersizdir. </w:t>
      </w:r>
    </w:p>
    <w:p w:rsidR="00A4163A" w:rsidRPr="00A818FF" w:rsidRDefault="00A4163A" w:rsidP="00A4163A">
      <w:pPr>
        <w:rPr>
          <w:rFonts w:cstheme="minorHAnsi"/>
          <w:strike/>
          <w:sz w:val="24"/>
          <w:szCs w:val="24"/>
        </w:rPr>
      </w:pPr>
      <w:r w:rsidRPr="00A818FF">
        <w:rPr>
          <w:rFonts w:cstheme="minorHAnsi"/>
          <w:strike/>
          <w:sz w:val="24"/>
          <w:szCs w:val="24"/>
        </w:rPr>
        <w:t xml:space="preserve">(6) Bu maddenin birinci fıkrası uyarınca kendisine temsil yetkisi verilenler ile pay sahibinin Türk Borçlar Kanununun temsile ilişkin hükümleri uyarınca yetkilendirdiği temsilci 429 ilâ 431 inci madde hükümlerine </w:t>
      </w:r>
      <w:proofErr w:type="spellStart"/>
      <w:r w:rsidRPr="00A818FF">
        <w:rPr>
          <w:rFonts w:cstheme="minorHAnsi"/>
          <w:strike/>
          <w:sz w:val="24"/>
          <w:szCs w:val="24"/>
        </w:rPr>
        <w:t>tabî</w:t>
      </w:r>
      <w:proofErr w:type="spellEnd"/>
      <w:r w:rsidRPr="00A818FF">
        <w:rPr>
          <w:rFonts w:cstheme="minorHAnsi"/>
          <w:strike/>
          <w:sz w:val="24"/>
          <w:szCs w:val="24"/>
        </w:rPr>
        <w:t xml:space="preserve"> değildir.</w:t>
      </w:r>
    </w:p>
    <w:p w:rsidR="00A4163A" w:rsidRDefault="00A4163A" w:rsidP="00A4163A">
      <w:pPr>
        <w:pStyle w:val="Default"/>
        <w:rPr>
          <w:b/>
          <w:bCs/>
          <w:sz w:val="18"/>
          <w:szCs w:val="18"/>
        </w:rPr>
      </w:pPr>
    </w:p>
    <w:p w:rsidR="00732B76" w:rsidRDefault="00732B76" w:rsidP="00732B76">
      <w:pPr>
        <w:pStyle w:val="Default"/>
        <w:rPr>
          <w:rFonts w:asciiTheme="minorHAnsi" w:hAnsiTheme="minorHAnsi" w:cstheme="minorHAnsi"/>
        </w:rPr>
      </w:pPr>
      <w:r w:rsidRPr="00732B76">
        <w:rPr>
          <w:rFonts w:asciiTheme="minorHAnsi" w:hAnsiTheme="minorHAnsi" w:cstheme="minorHAnsi"/>
          <w:b/>
          <w:i/>
          <w:color w:val="FF0000"/>
        </w:rPr>
        <w:t xml:space="preserve">(7099 Sayılı Kanun ile </w:t>
      </w:r>
      <w:r>
        <w:rPr>
          <w:rFonts w:asciiTheme="minorHAnsi" w:hAnsiTheme="minorHAnsi" w:cstheme="minorHAnsi"/>
          <w:b/>
          <w:i/>
          <w:color w:val="FF0000"/>
        </w:rPr>
        <w:t xml:space="preserve">kaldırılmıştır </w:t>
      </w:r>
      <w:r w:rsidRPr="00732B76">
        <w:rPr>
          <w:rFonts w:asciiTheme="minorHAnsi" w:hAnsiTheme="minorHAnsi" w:cstheme="minorHAnsi"/>
          <w:b/>
          <w:i/>
          <w:color w:val="FF0000"/>
        </w:rPr>
        <w:t>)</w:t>
      </w:r>
      <w:r>
        <w:rPr>
          <w:rFonts w:asciiTheme="minorHAnsi" w:hAnsiTheme="minorHAnsi" w:cstheme="minorHAnsi"/>
        </w:rPr>
        <w:t xml:space="preserve"> </w:t>
      </w:r>
    </w:p>
    <w:p w:rsidR="00A4163A" w:rsidRPr="00A818FF" w:rsidRDefault="00A4163A" w:rsidP="00A4163A">
      <w:pPr>
        <w:pStyle w:val="Default"/>
        <w:rPr>
          <w:rFonts w:asciiTheme="minorHAnsi" w:hAnsiTheme="minorHAnsi" w:cstheme="minorHAnsi"/>
          <w:strike/>
        </w:rPr>
      </w:pPr>
      <w:r w:rsidRPr="00A818FF">
        <w:rPr>
          <w:rFonts w:asciiTheme="minorHAnsi" w:hAnsiTheme="minorHAnsi" w:cstheme="minorHAnsi"/>
          <w:b/>
          <w:bCs/>
          <w:strike/>
        </w:rPr>
        <w:t xml:space="preserve">d) Bildirge </w:t>
      </w:r>
    </w:p>
    <w:p w:rsidR="009156B5" w:rsidRPr="00B10F04" w:rsidRDefault="00A4163A" w:rsidP="00A4163A">
      <w:pPr>
        <w:rPr>
          <w:rFonts w:cstheme="minorHAnsi"/>
          <w:strike/>
          <w:sz w:val="24"/>
          <w:szCs w:val="24"/>
        </w:rPr>
      </w:pPr>
      <w:r w:rsidRPr="00A818FF">
        <w:rPr>
          <w:rFonts w:cstheme="minorHAnsi"/>
          <w:b/>
          <w:bCs/>
          <w:strike/>
          <w:sz w:val="24"/>
          <w:szCs w:val="24"/>
        </w:rPr>
        <w:t>MADDE 430</w:t>
      </w:r>
      <w:r w:rsidRPr="00A818FF">
        <w:rPr>
          <w:rFonts w:cstheme="minorHAnsi"/>
          <w:strike/>
          <w:sz w:val="24"/>
          <w:szCs w:val="24"/>
        </w:rPr>
        <w:t>- (1) 428 inci maddenin birinci ve ikinci fıkrasında öngörülen temsilciler, temsil belgelerinin içeriğini ve oylarını hangi yönde kullanacaklarını, radyo, televizyon, gazete veya diğer araçlarla ve gerekçeleriyle birlikte açıklarlar.</w:t>
      </w:r>
    </w:p>
    <w:p w:rsidR="00732B76" w:rsidRDefault="00732B76" w:rsidP="00732B76">
      <w:pPr>
        <w:pStyle w:val="Default"/>
        <w:rPr>
          <w:rFonts w:asciiTheme="minorHAnsi" w:hAnsiTheme="minorHAnsi" w:cstheme="minorHAnsi"/>
        </w:rPr>
      </w:pPr>
      <w:r w:rsidRPr="00732B76">
        <w:rPr>
          <w:rFonts w:asciiTheme="minorHAnsi" w:hAnsiTheme="minorHAnsi" w:cstheme="minorHAnsi"/>
          <w:b/>
          <w:i/>
          <w:color w:val="FF0000"/>
        </w:rPr>
        <w:t xml:space="preserve">(7099 Sayılı Kanun ile </w:t>
      </w:r>
      <w:r>
        <w:rPr>
          <w:rFonts w:asciiTheme="minorHAnsi" w:hAnsiTheme="minorHAnsi" w:cstheme="minorHAnsi"/>
          <w:b/>
          <w:i/>
          <w:color w:val="FF0000"/>
        </w:rPr>
        <w:t xml:space="preserve">kaldırılmıştır </w:t>
      </w:r>
      <w:r w:rsidRPr="00732B76">
        <w:rPr>
          <w:rFonts w:asciiTheme="minorHAnsi" w:hAnsiTheme="minorHAnsi" w:cstheme="minorHAnsi"/>
          <w:b/>
          <w:i/>
          <w:color w:val="FF0000"/>
        </w:rPr>
        <w:t>)</w:t>
      </w:r>
      <w:r>
        <w:rPr>
          <w:rFonts w:asciiTheme="minorHAnsi" w:hAnsiTheme="minorHAnsi" w:cstheme="minorHAnsi"/>
        </w:rPr>
        <w:t xml:space="preserve"> </w:t>
      </w:r>
    </w:p>
    <w:p w:rsidR="009156B5" w:rsidRPr="00A818FF" w:rsidRDefault="009156B5" w:rsidP="009156B5">
      <w:pPr>
        <w:pStyle w:val="Default"/>
        <w:rPr>
          <w:rFonts w:asciiTheme="minorHAnsi" w:hAnsiTheme="minorHAnsi" w:cstheme="minorHAnsi"/>
          <w:strike/>
        </w:rPr>
      </w:pPr>
      <w:r w:rsidRPr="00A818FF">
        <w:rPr>
          <w:rFonts w:asciiTheme="minorHAnsi" w:hAnsiTheme="minorHAnsi" w:cstheme="minorHAnsi"/>
          <w:b/>
          <w:bCs/>
          <w:strike/>
        </w:rPr>
        <w:t xml:space="preserve">e) Bildirim </w:t>
      </w:r>
    </w:p>
    <w:p w:rsidR="009156B5" w:rsidRPr="00A818FF" w:rsidRDefault="009156B5" w:rsidP="009156B5">
      <w:pPr>
        <w:pStyle w:val="Default"/>
        <w:rPr>
          <w:rFonts w:asciiTheme="minorHAnsi" w:hAnsiTheme="minorHAnsi" w:cstheme="minorHAnsi"/>
          <w:strike/>
        </w:rPr>
      </w:pPr>
      <w:r w:rsidRPr="00A818FF">
        <w:rPr>
          <w:rFonts w:asciiTheme="minorHAnsi" w:hAnsiTheme="minorHAnsi" w:cstheme="minorHAnsi"/>
          <w:b/>
          <w:bCs/>
          <w:strike/>
        </w:rPr>
        <w:t>MADDE 431</w:t>
      </w:r>
      <w:r w:rsidRPr="00A818FF">
        <w:rPr>
          <w:rFonts w:asciiTheme="minorHAnsi" w:hAnsiTheme="minorHAnsi" w:cstheme="minorHAnsi"/>
          <w:strike/>
        </w:rPr>
        <w:t xml:space="preserve">- (1) 428 inci maddenin birinci ve ikinci fıkralarında öngörülen temsilciler ile tevdi eden temsilcileri, kendileri tarafından temsil olunacak payların sayılarını, çeşitlerini, itibarî değerlerini ve gruplarını şirkete bildirirler. Bu bildirimde, Sermaye Piyasası Kanununun 10/A maddesi uyarınca </w:t>
      </w:r>
      <w:proofErr w:type="spellStart"/>
      <w:r w:rsidRPr="00A818FF">
        <w:rPr>
          <w:rFonts w:asciiTheme="minorHAnsi" w:hAnsiTheme="minorHAnsi" w:cstheme="minorHAnsi"/>
          <w:strike/>
        </w:rPr>
        <w:t>kayden</w:t>
      </w:r>
      <w:proofErr w:type="spellEnd"/>
      <w:r w:rsidRPr="00A818FF">
        <w:rPr>
          <w:rFonts w:asciiTheme="minorHAnsi" w:hAnsiTheme="minorHAnsi" w:cstheme="minorHAnsi"/>
          <w:strike/>
        </w:rPr>
        <w:t xml:space="preserve"> izlenen paylarla ilgili olarak bu Kanunun 417 </w:t>
      </w:r>
      <w:proofErr w:type="spellStart"/>
      <w:r w:rsidRPr="00A818FF">
        <w:rPr>
          <w:rFonts w:asciiTheme="minorHAnsi" w:hAnsiTheme="minorHAnsi" w:cstheme="minorHAnsi"/>
          <w:strike/>
        </w:rPr>
        <w:t>nci</w:t>
      </w:r>
      <w:proofErr w:type="spellEnd"/>
      <w:r w:rsidRPr="00A818FF">
        <w:rPr>
          <w:rFonts w:asciiTheme="minorHAnsi" w:hAnsiTheme="minorHAnsi" w:cstheme="minorHAnsi"/>
          <w:strike/>
        </w:rPr>
        <w:t xml:space="preserve"> maddesinin beşinci fıkrasındaki tebliğ hükümleri de uygulanır. Aksi hâlde, o genel kurulda alınan kararlar, genel kurula yetkisiz katılmaya dair hükümler çerçevesinde iptal edilebilir. (1) </w:t>
      </w:r>
    </w:p>
    <w:p w:rsidR="009156B5" w:rsidRPr="00B10F04" w:rsidRDefault="009156B5" w:rsidP="009156B5">
      <w:pPr>
        <w:rPr>
          <w:rFonts w:cstheme="minorHAnsi"/>
          <w:strike/>
          <w:sz w:val="24"/>
          <w:szCs w:val="24"/>
        </w:rPr>
      </w:pPr>
      <w:r w:rsidRPr="00A818FF">
        <w:rPr>
          <w:rFonts w:cstheme="minorHAnsi"/>
          <w:strike/>
          <w:sz w:val="24"/>
          <w:szCs w:val="24"/>
        </w:rPr>
        <w:t>(2) Toplantı başkanı bu bildirimleri açıklar. Bir pay sahibinin istemine rağmen toplantı başkanı açıklamayı yapmamışsa her pay sahibi şirkete karşı açacağı dava ile genel kurul kararlarının iptalini isteyebilir.</w:t>
      </w:r>
    </w:p>
    <w:p w:rsidR="009156B5" w:rsidRPr="009156B5" w:rsidRDefault="009156B5" w:rsidP="009156B5">
      <w:pPr>
        <w:pStyle w:val="Default"/>
        <w:rPr>
          <w:rFonts w:asciiTheme="minorHAnsi" w:hAnsiTheme="minorHAnsi" w:cstheme="minorHAnsi"/>
        </w:rPr>
      </w:pPr>
      <w:r w:rsidRPr="009156B5">
        <w:rPr>
          <w:rFonts w:asciiTheme="minorHAnsi" w:hAnsiTheme="minorHAnsi" w:cstheme="minorHAnsi"/>
          <w:b/>
          <w:bCs/>
        </w:rPr>
        <w:t xml:space="preserve">C) Şirket sözleşmesi </w:t>
      </w:r>
    </w:p>
    <w:p w:rsidR="009156B5" w:rsidRPr="009156B5" w:rsidRDefault="009156B5" w:rsidP="009156B5">
      <w:pPr>
        <w:pStyle w:val="Default"/>
        <w:rPr>
          <w:rFonts w:asciiTheme="minorHAnsi" w:hAnsiTheme="minorHAnsi" w:cstheme="minorHAnsi"/>
        </w:rPr>
      </w:pPr>
      <w:r w:rsidRPr="009156B5">
        <w:rPr>
          <w:rFonts w:asciiTheme="minorHAnsi" w:hAnsiTheme="minorHAnsi" w:cstheme="minorHAnsi"/>
          <w:b/>
          <w:bCs/>
        </w:rPr>
        <w:t xml:space="preserve">I - Şekil </w:t>
      </w:r>
    </w:p>
    <w:p w:rsidR="009156B5" w:rsidRDefault="009156B5" w:rsidP="009156B5">
      <w:pPr>
        <w:rPr>
          <w:rFonts w:cstheme="minorHAnsi"/>
          <w:sz w:val="24"/>
          <w:szCs w:val="24"/>
        </w:rPr>
      </w:pPr>
      <w:r w:rsidRPr="009156B5">
        <w:rPr>
          <w:rFonts w:cstheme="minorHAnsi"/>
          <w:b/>
          <w:bCs/>
          <w:sz w:val="24"/>
          <w:szCs w:val="24"/>
        </w:rPr>
        <w:t>MADDE 575</w:t>
      </w:r>
      <w:r w:rsidRPr="009156B5">
        <w:rPr>
          <w:rFonts w:cstheme="minorHAnsi"/>
          <w:sz w:val="24"/>
          <w:szCs w:val="24"/>
        </w:rPr>
        <w:t xml:space="preserve">- (1) Şirket sözleşmesinin yazılı şekilde yapılması ve </w:t>
      </w:r>
      <w:r w:rsidRPr="009156B5">
        <w:rPr>
          <w:rFonts w:cstheme="minorHAnsi"/>
          <w:strike/>
          <w:sz w:val="24"/>
          <w:szCs w:val="24"/>
        </w:rPr>
        <w:t xml:space="preserve">kurucuların imzalarının noterce onaylanması veya şirket sözleşmesinin ticaret sicili müdürü yahut </w:t>
      </w:r>
      <w:proofErr w:type="gramStart"/>
      <w:r w:rsidRPr="009156B5">
        <w:rPr>
          <w:rFonts w:cstheme="minorHAnsi"/>
          <w:strike/>
          <w:sz w:val="24"/>
          <w:szCs w:val="24"/>
        </w:rPr>
        <w:t>yardımcısı</w:t>
      </w:r>
      <w:r w:rsidRPr="009156B5">
        <w:rPr>
          <w:rFonts w:cstheme="minorHAnsi"/>
          <w:sz w:val="24"/>
          <w:szCs w:val="24"/>
        </w:rPr>
        <w:t xml:space="preserve"> </w:t>
      </w:r>
      <w:r>
        <w:rPr>
          <w:rFonts w:cstheme="minorHAnsi"/>
          <w:sz w:val="24"/>
          <w:szCs w:val="24"/>
        </w:rPr>
        <w:t xml:space="preserve"> </w:t>
      </w:r>
      <w:r w:rsidRPr="009156B5">
        <w:rPr>
          <w:rFonts w:cstheme="minorHAnsi"/>
          <w:color w:val="FF0000"/>
          <w:sz w:val="24"/>
          <w:szCs w:val="24"/>
        </w:rPr>
        <w:t>kurucular</w:t>
      </w:r>
      <w:proofErr w:type="gramEnd"/>
      <w:r w:rsidRPr="009156B5">
        <w:rPr>
          <w:rFonts w:cstheme="minorHAnsi"/>
          <w:color w:val="FF0000"/>
          <w:sz w:val="24"/>
          <w:szCs w:val="24"/>
        </w:rPr>
        <w:t xml:space="preserve"> tarafından ticaret sicil müdürlüğünde yetkilendirilmiş personelin</w:t>
      </w:r>
      <w:r>
        <w:rPr>
          <w:rFonts w:cstheme="minorHAnsi"/>
          <w:sz w:val="24"/>
          <w:szCs w:val="24"/>
        </w:rPr>
        <w:t xml:space="preserve"> </w:t>
      </w:r>
      <w:r w:rsidRPr="009156B5">
        <w:rPr>
          <w:rFonts w:cstheme="minorHAnsi"/>
          <w:sz w:val="24"/>
          <w:szCs w:val="24"/>
        </w:rPr>
        <w:t xml:space="preserve">huzurunda imzalanması şarttır. </w:t>
      </w:r>
      <w:r w:rsidRPr="009156B5">
        <w:rPr>
          <w:rFonts w:cstheme="minorHAnsi"/>
          <w:b/>
          <w:bCs/>
          <w:sz w:val="24"/>
          <w:szCs w:val="24"/>
        </w:rPr>
        <w:t xml:space="preserve">(Ek cümle: </w:t>
      </w:r>
      <w:proofErr w:type="gramStart"/>
      <w:r w:rsidRPr="009156B5">
        <w:rPr>
          <w:rFonts w:cstheme="minorHAnsi"/>
          <w:b/>
          <w:bCs/>
          <w:sz w:val="24"/>
          <w:szCs w:val="24"/>
        </w:rPr>
        <w:t>15/7/2016</w:t>
      </w:r>
      <w:proofErr w:type="gramEnd"/>
      <w:r w:rsidRPr="009156B5">
        <w:rPr>
          <w:rFonts w:cstheme="minorHAnsi"/>
          <w:b/>
          <w:bCs/>
          <w:sz w:val="24"/>
          <w:szCs w:val="24"/>
        </w:rPr>
        <w:t xml:space="preserve">-6728/67 md.) </w:t>
      </w:r>
      <w:r w:rsidRPr="009156B5">
        <w:rPr>
          <w:rFonts w:cstheme="minorHAnsi"/>
          <w:sz w:val="24"/>
          <w:szCs w:val="24"/>
        </w:rPr>
        <w:t>Şirketin kuruluşunda, şirket sözleşmesini ihtiva eden kâğıtlardan değerli kâğıt bedeli alınmaz.</w:t>
      </w:r>
    </w:p>
    <w:p w:rsidR="009156B5" w:rsidRPr="009156B5" w:rsidRDefault="009156B5" w:rsidP="009156B5">
      <w:pPr>
        <w:pStyle w:val="Default"/>
        <w:rPr>
          <w:rFonts w:asciiTheme="minorHAnsi" w:hAnsiTheme="minorHAnsi" w:cstheme="minorHAnsi"/>
        </w:rPr>
      </w:pPr>
      <w:r w:rsidRPr="009156B5">
        <w:rPr>
          <w:rFonts w:asciiTheme="minorHAnsi" w:hAnsiTheme="minorHAnsi" w:cstheme="minorHAnsi"/>
          <w:b/>
          <w:bCs/>
        </w:rPr>
        <w:t xml:space="preserve">G) Kuruluş </w:t>
      </w:r>
    </w:p>
    <w:p w:rsidR="009156B5" w:rsidRPr="009156B5" w:rsidRDefault="009156B5" w:rsidP="009156B5">
      <w:pPr>
        <w:pStyle w:val="Default"/>
        <w:rPr>
          <w:rFonts w:asciiTheme="minorHAnsi" w:hAnsiTheme="minorHAnsi" w:cstheme="minorHAnsi"/>
        </w:rPr>
      </w:pPr>
      <w:r w:rsidRPr="009156B5">
        <w:rPr>
          <w:rFonts w:asciiTheme="minorHAnsi" w:hAnsiTheme="minorHAnsi" w:cstheme="minorHAnsi"/>
          <w:b/>
          <w:bCs/>
        </w:rPr>
        <w:t xml:space="preserve">I - Kurulma anı </w:t>
      </w:r>
    </w:p>
    <w:p w:rsidR="009156B5" w:rsidRPr="009156B5" w:rsidRDefault="009156B5" w:rsidP="009156B5">
      <w:pPr>
        <w:pStyle w:val="Default"/>
        <w:rPr>
          <w:rFonts w:asciiTheme="minorHAnsi" w:hAnsiTheme="minorHAnsi" w:cstheme="minorHAnsi"/>
        </w:rPr>
      </w:pPr>
      <w:r w:rsidRPr="009156B5">
        <w:rPr>
          <w:rFonts w:asciiTheme="minorHAnsi" w:hAnsiTheme="minorHAnsi" w:cstheme="minorHAnsi"/>
          <w:b/>
          <w:bCs/>
        </w:rPr>
        <w:t>MADDE 585</w:t>
      </w:r>
      <w:r w:rsidRPr="009156B5">
        <w:rPr>
          <w:rFonts w:asciiTheme="minorHAnsi" w:hAnsiTheme="minorHAnsi" w:cstheme="minorHAnsi"/>
        </w:rPr>
        <w:t xml:space="preserve">- </w:t>
      </w:r>
      <w:r w:rsidRPr="009156B5">
        <w:rPr>
          <w:rFonts w:asciiTheme="minorHAnsi" w:hAnsiTheme="minorHAnsi" w:cstheme="minorHAnsi"/>
          <w:b/>
          <w:bCs/>
        </w:rPr>
        <w:t xml:space="preserve">(Değişik: </w:t>
      </w:r>
      <w:proofErr w:type="gramStart"/>
      <w:r w:rsidRPr="009156B5">
        <w:rPr>
          <w:rFonts w:asciiTheme="minorHAnsi" w:hAnsiTheme="minorHAnsi" w:cstheme="minorHAnsi"/>
          <w:b/>
          <w:bCs/>
        </w:rPr>
        <w:t>26/6/2012</w:t>
      </w:r>
      <w:proofErr w:type="gramEnd"/>
      <w:r w:rsidRPr="009156B5">
        <w:rPr>
          <w:rFonts w:asciiTheme="minorHAnsi" w:hAnsiTheme="minorHAnsi" w:cstheme="minorHAnsi"/>
          <w:b/>
          <w:bCs/>
        </w:rPr>
        <w:t xml:space="preserve">-6335/31 md.) </w:t>
      </w:r>
    </w:p>
    <w:p w:rsidR="00A818FF" w:rsidRPr="00B10F04" w:rsidRDefault="009156B5" w:rsidP="00A818FF">
      <w:pPr>
        <w:pStyle w:val="ListeParagraf"/>
        <w:numPr>
          <w:ilvl w:val="0"/>
          <w:numId w:val="1"/>
        </w:numPr>
        <w:rPr>
          <w:rFonts w:cstheme="minorHAnsi"/>
          <w:color w:val="FF0000"/>
          <w:sz w:val="24"/>
          <w:szCs w:val="24"/>
        </w:rPr>
      </w:pPr>
      <w:r w:rsidRPr="00A818FF">
        <w:rPr>
          <w:rFonts w:cstheme="minorHAnsi"/>
          <w:sz w:val="24"/>
          <w:szCs w:val="24"/>
        </w:rPr>
        <w:t xml:space="preserve">Şirket, kurucuların, kanuna uygun olarak düzenlenmiş bulunan, sermayenin tamamını ödemeyi şartsız olarak taahhüt ettikleri, </w:t>
      </w:r>
      <w:r w:rsidRPr="00A818FF">
        <w:rPr>
          <w:rFonts w:cstheme="minorHAnsi"/>
          <w:strike/>
          <w:sz w:val="24"/>
          <w:szCs w:val="24"/>
        </w:rPr>
        <w:t>imzalarının noterce onaylandığı veya ticaret sicili müdürü yahut yardımcısı</w:t>
      </w:r>
      <w:r w:rsidRPr="00A818FF">
        <w:rPr>
          <w:rFonts w:cstheme="minorHAnsi"/>
          <w:sz w:val="24"/>
          <w:szCs w:val="24"/>
        </w:rPr>
        <w:t xml:space="preserve"> </w:t>
      </w:r>
      <w:r w:rsidRPr="00A818FF">
        <w:rPr>
          <w:rFonts w:cstheme="minorHAnsi"/>
          <w:color w:val="FF0000"/>
          <w:sz w:val="24"/>
          <w:szCs w:val="24"/>
        </w:rPr>
        <w:t>ticaret sicil müdürlüğünde yetkilendirilmiş personelin</w:t>
      </w:r>
      <w:r w:rsidRPr="00A818FF">
        <w:rPr>
          <w:rFonts w:cstheme="minorHAnsi"/>
          <w:sz w:val="24"/>
          <w:szCs w:val="24"/>
        </w:rPr>
        <w:t xml:space="preserve"> huzurunda imzaladığı şirket sözleşmesinde </w:t>
      </w:r>
      <w:proofErr w:type="spellStart"/>
      <w:r w:rsidRPr="00A818FF">
        <w:rPr>
          <w:rFonts w:cstheme="minorHAnsi"/>
          <w:sz w:val="24"/>
          <w:szCs w:val="24"/>
        </w:rPr>
        <w:t>limited</w:t>
      </w:r>
      <w:proofErr w:type="spellEnd"/>
      <w:r w:rsidRPr="00A818FF">
        <w:rPr>
          <w:rFonts w:cstheme="minorHAnsi"/>
          <w:sz w:val="24"/>
          <w:szCs w:val="24"/>
        </w:rPr>
        <w:t xml:space="preserve"> şirket kurma iradelerini açıklamalarıyla kurulur. Esas sermaye pay bedellerinin ödenmesi, ödeme yeri, ifa borcu, ifa etmemenin sonuçları, bedelleri tamamen ödenmemiş payların devri hususlarında bu Kanunun anonim şirketlere ilişkin hükümleri kıyasen uygulanır. 588 inci maddenin birinci fıkra hükümleri saklıdır.  </w:t>
      </w:r>
      <w:r w:rsidRPr="00A818FF">
        <w:rPr>
          <w:rFonts w:cstheme="minorHAnsi"/>
          <w:color w:val="FF0000"/>
          <w:sz w:val="24"/>
          <w:szCs w:val="24"/>
        </w:rPr>
        <w:t xml:space="preserve">Ancak nakden taahhüt edilen payların itibari değerlerinin en az yüzde </w:t>
      </w:r>
      <w:proofErr w:type="spellStart"/>
      <w:r w:rsidRPr="00A818FF">
        <w:rPr>
          <w:rFonts w:cstheme="minorHAnsi"/>
          <w:color w:val="FF0000"/>
          <w:sz w:val="24"/>
          <w:szCs w:val="24"/>
        </w:rPr>
        <w:t>yirmibeşinin</w:t>
      </w:r>
      <w:proofErr w:type="spellEnd"/>
      <w:r w:rsidRPr="00A818FF">
        <w:rPr>
          <w:rFonts w:cstheme="minorHAnsi"/>
          <w:color w:val="FF0000"/>
          <w:sz w:val="24"/>
          <w:szCs w:val="24"/>
        </w:rPr>
        <w:t xml:space="preserve"> tescilden önce ödenmesi şartı </w:t>
      </w:r>
      <w:proofErr w:type="spellStart"/>
      <w:r w:rsidR="00A818FF" w:rsidRPr="00A818FF">
        <w:rPr>
          <w:rFonts w:cstheme="minorHAnsi"/>
          <w:color w:val="FF0000"/>
          <w:sz w:val="24"/>
          <w:szCs w:val="24"/>
        </w:rPr>
        <w:t>limited</w:t>
      </w:r>
      <w:proofErr w:type="spellEnd"/>
      <w:r w:rsidR="00A818FF" w:rsidRPr="00A818FF">
        <w:rPr>
          <w:rFonts w:cstheme="minorHAnsi"/>
          <w:color w:val="FF0000"/>
          <w:sz w:val="24"/>
          <w:szCs w:val="24"/>
        </w:rPr>
        <w:t xml:space="preserve"> şirketler bakımından uygulanmaz.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b/>
          <w:bCs/>
        </w:rPr>
        <w:t xml:space="preserve">2. Tescil ve ilan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b/>
          <w:bCs/>
        </w:rPr>
        <w:t>MADDE 587</w:t>
      </w:r>
      <w:r w:rsidRPr="00A818FF">
        <w:rPr>
          <w:rFonts w:asciiTheme="minorHAnsi" w:hAnsiTheme="minorHAnsi" w:cstheme="minorHAnsi"/>
        </w:rPr>
        <w:t xml:space="preserve">- (1) Şirket sözleşmesinin tamamı, kurucuların imzalarının </w:t>
      </w:r>
      <w:r w:rsidRPr="00A818FF">
        <w:rPr>
          <w:rFonts w:asciiTheme="minorHAnsi" w:hAnsiTheme="minorHAnsi" w:cstheme="minorHAnsi"/>
          <w:strike/>
        </w:rPr>
        <w:t>noterce onaylanmasını veya şirket sözleşmesinin ticaret sicili müdürü yahut yardımcısı</w:t>
      </w:r>
      <w:r w:rsidRPr="00A818FF">
        <w:rPr>
          <w:rFonts w:asciiTheme="minorHAnsi" w:hAnsiTheme="minorHAnsi" w:cstheme="minorHAnsi"/>
        </w:rPr>
        <w:t xml:space="preserve"> </w:t>
      </w:r>
      <w:r w:rsidRPr="00A818FF">
        <w:rPr>
          <w:rFonts w:cstheme="minorHAnsi"/>
          <w:color w:val="FF0000"/>
        </w:rPr>
        <w:t>ticaret sicil müdürlüğünde yetkilendirilmiş personelin</w:t>
      </w:r>
      <w:r w:rsidRPr="00A818FF">
        <w:rPr>
          <w:rFonts w:cstheme="minorHAnsi"/>
        </w:rPr>
        <w:t xml:space="preserve"> </w:t>
      </w:r>
      <w:r w:rsidRPr="00A818FF">
        <w:rPr>
          <w:rFonts w:asciiTheme="minorHAnsi" w:hAnsiTheme="minorHAnsi" w:cstheme="minorHAnsi"/>
        </w:rPr>
        <w:t xml:space="preserve">huzurunda imzalandığı tarihi izleyen otuz gün içinde, şirketin merkezinin bulunduğu yer ticaret siciline tescil ve Türkiye Ticaret Sicili Gazetesinde ilan olunur. Tescil ve ilan edilen şirket sözleşmesine, aşağıda sayılanlar dışında, 36 </w:t>
      </w:r>
      <w:proofErr w:type="spellStart"/>
      <w:r w:rsidRPr="00A818FF">
        <w:rPr>
          <w:rFonts w:asciiTheme="minorHAnsi" w:hAnsiTheme="minorHAnsi" w:cstheme="minorHAnsi"/>
        </w:rPr>
        <w:t>ncı</w:t>
      </w:r>
      <w:proofErr w:type="spellEnd"/>
      <w:r w:rsidRPr="00A818FF">
        <w:rPr>
          <w:rFonts w:asciiTheme="minorHAnsi" w:hAnsiTheme="minorHAnsi" w:cstheme="minorHAnsi"/>
        </w:rPr>
        <w:t xml:space="preserve"> maddenin birinci fıkrası hükmü uygulanmaz: (1)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a) Şirket sözleşmesinin tarihi.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b) Şirketin ticaret unvanı ve merkezi.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c) Esas noktaları belirtilmiş ve tanımlanmış şekilde şirketin işletme konusu; şirket sözleşmesinde bu konuda bir hüküm varsa, şirketin süresi.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d) Esas sermayenin itibarî değeri.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e) Gerçek kişi ortağın adı ve soyadı, yerleşim yeri, tüzel kişi ortakların unvanı, merkezleri ve her ortağın üstlendiği esas sermaye payları.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f) Ayni sermayenin konusu ve bu tür sermayenin karşılığında verilecek esas sermaye payları; bir aynın devralınması hâlinde ilgili sözleşmenin konusu, sözleşmenin karşı tarafı, şirketin borçlandığı karşı edim; özel menfaatlerin içerik ve değeri.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g) Öngörülmüş ise, intifa senetlerinin sayısı ve bunlara sağlanan hakların içeriği.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h) Müdürlerin ve şirketi temsile yetkili diğer kişilerin adları, soyadları veya unvanları ve yerleşim yerleri.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ı) Temsil yetkisinin kullanılma şekli.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i) Denetçinin yerleşim yeri, merkezi, varsa ticaret siciline tescil edilmiş şubesi (…)(2) . </w:t>
      </w:r>
    </w:p>
    <w:p w:rsidR="00A818FF" w:rsidRPr="00A818FF" w:rsidRDefault="00A818FF" w:rsidP="00A818FF">
      <w:pPr>
        <w:pStyle w:val="Default"/>
        <w:rPr>
          <w:rFonts w:asciiTheme="minorHAnsi" w:hAnsiTheme="minorHAnsi" w:cstheme="minorHAnsi"/>
        </w:rPr>
      </w:pPr>
      <w:r w:rsidRPr="00A818FF">
        <w:rPr>
          <w:rFonts w:asciiTheme="minorHAnsi" w:hAnsiTheme="minorHAnsi" w:cstheme="minorHAnsi"/>
        </w:rPr>
        <w:t xml:space="preserve">j) Şirket sözleşmesinde öngörülmüş bulunan imtiyaz, ek yükümlülük veya yan edim yükümlülükleri, esas sermaye payları ile ilgili önerilmeye muhatap olma, önalım, geri alım ve alım hakları. </w:t>
      </w:r>
    </w:p>
    <w:p w:rsidR="00A818FF" w:rsidRPr="00B10F04" w:rsidRDefault="00A818FF" w:rsidP="00A818FF">
      <w:pPr>
        <w:rPr>
          <w:rFonts w:cstheme="minorHAnsi"/>
          <w:sz w:val="24"/>
          <w:szCs w:val="24"/>
        </w:rPr>
      </w:pPr>
      <w:r w:rsidRPr="00A818FF">
        <w:rPr>
          <w:rFonts w:cstheme="minorHAnsi"/>
          <w:sz w:val="24"/>
          <w:szCs w:val="24"/>
        </w:rPr>
        <w:t>k) Şirket tarafından yapılacak olan ilanların şekli, türü ve şirket sözleşmesinde bu konuda bir hüküm bulunduğu takdirde, müdürlerin ortaklara ne şekilde bildirimde bulunacakları.</w:t>
      </w:r>
    </w:p>
    <w:sectPr w:rsidR="00A818FF" w:rsidRPr="00B10F04" w:rsidSect="00D0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BCE"/>
    <w:multiLevelType w:val="hybridMultilevel"/>
    <w:tmpl w:val="C7A0E138"/>
    <w:lvl w:ilvl="0" w:tplc="7232416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501FB5"/>
    <w:rsid w:val="00016310"/>
    <w:rsid w:val="002622A4"/>
    <w:rsid w:val="002708DB"/>
    <w:rsid w:val="002D5198"/>
    <w:rsid w:val="0043755A"/>
    <w:rsid w:val="00501FB5"/>
    <w:rsid w:val="00732B76"/>
    <w:rsid w:val="00734AD2"/>
    <w:rsid w:val="009156B5"/>
    <w:rsid w:val="00A4163A"/>
    <w:rsid w:val="00A818FF"/>
    <w:rsid w:val="00AB5B92"/>
    <w:rsid w:val="00B01493"/>
    <w:rsid w:val="00B10F04"/>
    <w:rsid w:val="00B87F92"/>
    <w:rsid w:val="00C2132B"/>
    <w:rsid w:val="00D031E0"/>
    <w:rsid w:val="00E212F1"/>
    <w:rsid w:val="00F71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01EF8-9640-4D31-BB4B-504DC12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1E0"/>
  </w:style>
  <w:style w:type="paragraph" w:styleId="Balk1">
    <w:name w:val="heading 1"/>
    <w:basedOn w:val="Normal"/>
    <w:link w:val="Balk1Char"/>
    <w:uiPriority w:val="9"/>
    <w:qFormat/>
    <w:rsid w:val="00270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FB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818FF"/>
    <w:pPr>
      <w:ind w:left="720"/>
      <w:contextualSpacing/>
    </w:pPr>
  </w:style>
  <w:style w:type="character" w:customStyle="1" w:styleId="Balk1Char">
    <w:name w:val="Başlık 1 Char"/>
    <w:basedOn w:val="VarsaylanParagrafYazTipi"/>
    <w:link w:val="Balk1"/>
    <w:uiPriority w:val="9"/>
    <w:rsid w:val="002708D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1850</Words>
  <Characters>10551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Şaban ABACI</cp:lastModifiedBy>
  <cp:revision>11</cp:revision>
  <dcterms:created xsi:type="dcterms:W3CDTF">2018-03-10T18:30:00Z</dcterms:created>
  <dcterms:modified xsi:type="dcterms:W3CDTF">2018-03-12T02:27:00Z</dcterms:modified>
</cp:coreProperties>
</file>