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A58" w:rsidRPr="00B10D90" w:rsidRDefault="0079339A" w:rsidP="004406AC">
      <w:pPr>
        <w:jc w:val="center"/>
        <w:rPr>
          <w:rFonts w:ascii="Century" w:hAnsi="Century"/>
          <w:b/>
          <w:color w:val="002060"/>
          <w:sz w:val="28"/>
          <w:szCs w:val="28"/>
        </w:rPr>
      </w:pPr>
      <w:bookmarkStart w:id="0" w:name="_Toc296364715"/>
      <w:bookmarkStart w:id="1" w:name="_Toc296371924"/>
      <w:bookmarkStart w:id="2" w:name="_Toc296807831"/>
      <w:bookmarkStart w:id="3" w:name="_Toc296808103"/>
      <w:bookmarkStart w:id="4" w:name="_Toc296940783"/>
      <w:bookmarkStart w:id="5" w:name="_Toc297120941"/>
      <w:bookmarkStart w:id="6" w:name="_Toc297121368"/>
      <w:bookmarkStart w:id="7" w:name="_Toc297202361"/>
      <w:bookmarkStart w:id="8" w:name="_Toc297302672"/>
      <w:bookmarkStart w:id="9" w:name="_Toc297302740"/>
      <w:bookmarkStart w:id="10" w:name="_Toc297309757"/>
      <w:bookmarkStart w:id="11" w:name="_Toc297441005"/>
      <w:bookmarkStart w:id="12" w:name="_Toc297441085"/>
      <w:bookmarkStart w:id="13" w:name="_Toc297441667"/>
      <w:proofErr w:type="gramStart"/>
      <w:r w:rsidRPr="00B10D90">
        <w:rPr>
          <w:rFonts w:ascii="Century" w:hAnsi="Century"/>
          <w:b/>
          <w:color w:val="002060"/>
          <w:sz w:val="28"/>
          <w:szCs w:val="28"/>
        </w:rPr>
        <w:t>T.C.</w:t>
      </w:r>
      <w:bookmarkEnd w:id="0"/>
      <w:bookmarkEnd w:id="1"/>
      <w:bookmarkEnd w:id="2"/>
      <w:bookmarkEnd w:id="3"/>
      <w:bookmarkEnd w:id="4"/>
      <w:bookmarkEnd w:id="5"/>
      <w:bookmarkEnd w:id="6"/>
      <w:bookmarkEnd w:id="7"/>
      <w:bookmarkEnd w:id="8"/>
      <w:bookmarkEnd w:id="9"/>
      <w:bookmarkEnd w:id="10"/>
      <w:bookmarkEnd w:id="11"/>
      <w:bookmarkEnd w:id="12"/>
      <w:bookmarkEnd w:id="13"/>
      <w:proofErr w:type="gramEnd"/>
    </w:p>
    <w:p w:rsidR="00885A58" w:rsidRPr="00B10D90" w:rsidRDefault="00885A58" w:rsidP="004406AC">
      <w:pPr>
        <w:jc w:val="center"/>
        <w:rPr>
          <w:rFonts w:ascii="Century" w:hAnsi="Century"/>
          <w:b/>
          <w:color w:val="002060"/>
          <w:sz w:val="28"/>
          <w:szCs w:val="28"/>
        </w:rPr>
      </w:pPr>
      <w:bookmarkStart w:id="14" w:name="_Toc296364717"/>
      <w:bookmarkStart w:id="15" w:name="_Toc296371926"/>
      <w:bookmarkStart w:id="16" w:name="_Toc296807833"/>
      <w:bookmarkStart w:id="17" w:name="_Toc296808105"/>
      <w:bookmarkStart w:id="18" w:name="_Toc296940785"/>
      <w:bookmarkStart w:id="19" w:name="_Toc297120943"/>
      <w:bookmarkStart w:id="20" w:name="_Toc297121370"/>
      <w:bookmarkStart w:id="21" w:name="_Toc297202363"/>
      <w:bookmarkStart w:id="22" w:name="_Toc297302674"/>
      <w:bookmarkStart w:id="23" w:name="_Toc297302742"/>
      <w:bookmarkStart w:id="24" w:name="_Toc297309759"/>
      <w:bookmarkStart w:id="25" w:name="_Toc297441007"/>
      <w:bookmarkStart w:id="26" w:name="_Toc297441087"/>
      <w:bookmarkStart w:id="27" w:name="_Toc297441669"/>
      <w:r w:rsidRPr="00B10D90">
        <w:rPr>
          <w:rFonts w:ascii="Century" w:hAnsi="Century"/>
          <w:b/>
          <w:color w:val="002060"/>
          <w:sz w:val="28"/>
          <w:szCs w:val="28"/>
        </w:rPr>
        <w:t xml:space="preserve">HAZİNE </w:t>
      </w:r>
      <w:r w:rsidR="00B10D90">
        <w:rPr>
          <w:rFonts w:ascii="Century" w:hAnsi="Century"/>
          <w:b/>
          <w:color w:val="002060"/>
          <w:sz w:val="28"/>
          <w:szCs w:val="28"/>
        </w:rPr>
        <w:t xml:space="preserve">VE MALİYE </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B10D90">
        <w:rPr>
          <w:rFonts w:ascii="Century" w:hAnsi="Century"/>
          <w:b/>
          <w:color w:val="002060"/>
          <w:sz w:val="28"/>
          <w:szCs w:val="28"/>
        </w:rPr>
        <w:t>BAKANLIĞI</w:t>
      </w:r>
    </w:p>
    <w:p w:rsidR="00885A58" w:rsidRPr="00B10D90" w:rsidRDefault="00885A58" w:rsidP="004406AC">
      <w:pPr>
        <w:jc w:val="center"/>
        <w:rPr>
          <w:rFonts w:ascii="Century" w:hAnsi="Century"/>
          <w:b/>
          <w:color w:val="002060"/>
          <w:sz w:val="28"/>
          <w:szCs w:val="28"/>
        </w:rPr>
      </w:pPr>
      <w:bookmarkStart w:id="28" w:name="_Toc296364718"/>
      <w:bookmarkStart w:id="29" w:name="_Toc296371927"/>
      <w:bookmarkStart w:id="30" w:name="_Toc296807834"/>
      <w:bookmarkStart w:id="31" w:name="_Toc296808106"/>
      <w:bookmarkStart w:id="32" w:name="_Toc296940786"/>
      <w:bookmarkStart w:id="33" w:name="_Toc297120944"/>
      <w:bookmarkStart w:id="34" w:name="_Toc297121371"/>
      <w:bookmarkStart w:id="35" w:name="_Toc297202364"/>
      <w:bookmarkStart w:id="36" w:name="_Toc297302675"/>
      <w:bookmarkStart w:id="37" w:name="_Toc297302743"/>
      <w:bookmarkStart w:id="38" w:name="_Toc297309760"/>
      <w:bookmarkStart w:id="39" w:name="_Toc297441008"/>
      <w:bookmarkStart w:id="40" w:name="_Toc297441088"/>
      <w:bookmarkStart w:id="41" w:name="_Toc297441670"/>
      <w:r w:rsidRPr="00B10D90">
        <w:rPr>
          <w:rFonts w:ascii="Century" w:hAnsi="Century"/>
          <w:b/>
          <w:color w:val="002060"/>
          <w:sz w:val="28"/>
          <w:szCs w:val="28"/>
        </w:rPr>
        <w:t>S</w:t>
      </w:r>
      <w:r w:rsidR="00A14141">
        <w:rPr>
          <w:rFonts w:ascii="Century" w:hAnsi="Century"/>
          <w:b/>
          <w:color w:val="002060"/>
          <w:sz w:val="28"/>
          <w:szCs w:val="28"/>
        </w:rPr>
        <w:t>igor</w:t>
      </w:r>
      <w:r w:rsidR="00A0574A" w:rsidRPr="00B10D90">
        <w:rPr>
          <w:rFonts w:ascii="Century" w:hAnsi="Century"/>
          <w:b/>
          <w:color w:val="002060"/>
          <w:sz w:val="28"/>
          <w:szCs w:val="28"/>
        </w:rPr>
        <w:t>ta</w:t>
      </w:r>
      <w:r w:rsidR="00A0574A" w:rsidRPr="00B10D90">
        <w:rPr>
          <w:rFonts w:ascii="Century" w:hAnsi="Century"/>
          <w:b/>
          <w:color w:val="002060"/>
          <w:sz w:val="28"/>
          <w:szCs w:val="28"/>
          <w:lang w:val="tr-TR"/>
        </w:rPr>
        <w:t xml:space="preserve"> Denetleme</w:t>
      </w:r>
      <w:r w:rsidR="00A0574A" w:rsidRPr="00B10D90">
        <w:rPr>
          <w:rFonts w:ascii="Century" w:hAnsi="Century"/>
          <w:b/>
          <w:color w:val="002060"/>
          <w:sz w:val="28"/>
          <w:szCs w:val="28"/>
        </w:rPr>
        <w:t xml:space="preserve"> Kurulu</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885A58" w:rsidRPr="00B10D90" w:rsidRDefault="00885A58" w:rsidP="00885A58">
      <w:pPr>
        <w:autoSpaceDE w:val="0"/>
        <w:autoSpaceDN w:val="0"/>
        <w:adjustRightInd w:val="0"/>
        <w:jc w:val="center"/>
        <w:rPr>
          <w:rFonts w:ascii="Century" w:hAnsi="Century" w:cs="Arial"/>
          <w:color w:val="002060"/>
        </w:rPr>
      </w:pPr>
    </w:p>
    <w:p w:rsidR="00885A58" w:rsidRPr="00B10D90" w:rsidRDefault="00885A58" w:rsidP="00885A58">
      <w:pPr>
        <w:autoSpaceDE w:val="0"/>
        <w:autoSpaceDN w:val="0"/>
        <w:adjustRightInd w:val="0"/>
        <w:jc w:val="center"/>
        <w:rPr>
          <w:rFonts w:ascii="Century" w:hAnsi="Century" w:cs="Arial"/>
          <w:color w:val="002060"/>
        </w:rPr>
      </w:pP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7425C2">
      <w:pPr>
        <w:autoSpaceDE w:val="0"/>
        <w:autoSpaceDN w:val="0"/>
        <w:adjustRightInd w:val="0"/>
        <w:jc w:val="center"/>
        <w:rPr>
          <w:rFonts w:ascii="Century" w:hAnsi="Century"/>
          <w:b/>
          <w:color w:val="002060"/>
          <w:sz w:val="22"/>
        </w:rPr>
      </w:pPr>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SİGORTACILIK VE BİREYSEL EMEKLİLİK</w:t>
      </w:r>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FAALİYETLERİ</w:t>
      </w:r>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HAKKINDA RAPOR</w:t>
      </w:r>
    </w:p>
    <w:p w:rsidR="00885A58" w:rsidRPr="00B10D90" w:rsidRDefault="00885A58" w:rsidP="00885A58">
      <w:pPr>
        <w:autoSpaceDE w:val="0"/>
        <w:autoSpaceDN w:val="0"/>
        <w:adjustRightInd w:val="0"/>
        <w:jc w:val="center"/>
        <w:rPr>
          <w:rFonts w:ascii="Century" w:hAnsi="Century" w:cs="Arial,Bold"/>
          <w:b/>
          <w:bCs/>
          <w:color w:val="002060"/>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3374E3" w:rsidP="004406AC">
      <w:pPr>
        <w:jc w:val="center"/>
        <w:rPr>
          <w:rFonts w:ascii="Century" w:hAnsi="Century"/>
          <w:b/>
          <w:color w:val="002060"/>
          <w:sz w:val="80"/>
          <w:szCs w:val="80"/>
        </w:rPr>
      </w:pPr>
      <w:r w:rsidRPr="00B10D90">
        <w:rPr>
          <w:rFonts w:ascii="Century" w:hAnsi="Century"/>
          <w:b/>
          <w:color w:val="002060"/>
          <w:sz w:val="80"/>
          <w:szCs w:val="80"/>
        </w:rPr>
        <w:t>20</w:t>
      </w:r>
      <w:r w:rsidR="00621C73" w:rsidRPr="00B10D90">
        <w:rPr>
          <w:rFonts w:ascii="Century" w:hAnsi="Century"/>
          <w:b/>
          <w:color w:val="002060"/>
          <w:sz w:val="80"/>
          <w:szCs w:val="80"/>
        </w:rPr>
        <w:t>1</w:t>
      </w:r>
      <w:r w:rsidR="00B10D90" w:rsidRPr="00B10D90">
        <w:rPr>
          <w:rFonts w:ascii="Century" w:hAnsi="Century"/>
          <w:b/>
          <w:color w:val="002060"/>
          <w:sz w:val="80"/>
          <w:szCs w:val="80"/>
        </w:rPr>
        <w:t>8</w:t>
      </w: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885A58">
      <w:pPr>
        <w:autoSpaceDE w:val="0"/>
        <w:autoSpaceDN w:val="0"/>
        <w:adjustRightInd w:val="0"/>
        <w:jc w:val="center"/>
        <w:rPr>
          <w:rFonts w:ascii="Century" w:hAnsi="Century" w:cs="Arial,Bold"/>
          <w:b/>
          <w:bCs/>
          <w:sz w:val="22"/>
          <w:szCs w:val="22"/>
        </w:rPr>
      </w:pPr>
    </w:p>
    <w:p w:rsidR="00885A58" w:rsidRPr="00B10D90" w:rsidRDefault="00885A58" w:rsidP="004406AC">
      <w:pPr>
        <w:jc w:val="center"/>
        <w:rPr>
          <w:rFonts w:ascii="Century" w:hAnsi="Century"/>
          <w:b/>
          <w:color w:val="002060"/>
          <w:sz w:val="36"/>
          <w:szCs w:val="36"/>
        </w:rPr>
      </w:pPr>
      <w:bookmarkStart w:id="42" w:name="_Toc296364720"/>
      <w:bookmarkStart w:id="43" w:name="_Toc296371929"/>
      <w:bookmarkStart w:id="44" w:name="_Toc296807836"/>
      <w:bookmarkStart w:id="45" w:name="_Toc296808108"/>
      <w:bookmarkStart w:id="46" w:name="_Toc296940788"/>
      <w:bookmarkStart w:id="47" w:name="_Toc297120946"/>
      <w:bookmarkStart w:id="48" w:name="_Toc297121373"/>
      <w:bookmarkStart w:id="49" w:name="_Toc297202366"/>
      <w:bookmarkStart w:id="50" w:name="_Toc297302677"/>
      <w:bookmarkStart w:id="51" w:name="_Toc297302745"/>
      <w:bookmarkStart w:id="52" w:name="_Toc297309762"/>
      <w:bookmarkStart w:id="53" w:name="_Toc297441010"/>
      <w:bookmarkStart w:id="54" w:name="_Toc297441090"/>
      <w:bookmarkStart w:id="55" w:name="_Toc297441672"/>
      <w:r w:rsidRPr="00B10D90">
        <w:rPr>
          <w:rFonts w:ascii="Century" w:hAnsi="Century"/>
          <w:b/>
          <w:color w:val="002060"/>
          <w:sz w:val="36"/>
          <w:szCs w:val="36"/>
        </w:rPr>
        <w:t>ANNUAL REPORT</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ABOUT</w:t>
      </w:r>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 xml:space="preserve">INSURANCE AND </w:t>
      </w:r>
      <w:r w:rsidR="00CA747D" w:rsidRPr="00B10D90">
        <w:rPr>
          <w:rFonts w:ascii="Century" w:hAnsi="Century"/>
          <w:b/>
          <w:color w:val="002060"/>
          <w:sz w:val="36"/>
          <w:szCs w:val="36"/>
        </w:rPr>
        <w:t>PRIVATE</w:t>
      </w:r>
      <w:r w:rsidRPr="00B10D90">
        <w:rPr>
          <w:rFonts w:ascii="Century" w:hAnsi="Century"/>
          <w:b/>
          <w:color w:val="002060"/>
          <w:sz w:val="36"/>
          <w:szCs w:val="36"/>
        </w:rPr>
        <w:t xml:space="preserve"> PENSION</w:t>
      </w:r>
    </w:p>
    <w:p w:rsidR="00885A58" w:rsidRPr="00B10D90" w:rsidRDefault="00885A58" w:rsidP="004406AC">
      <w:pPr>
        <w:jc w:val="center"/>
        <w:rPr>
          <w:rFonts w:ascii="Century" w:hAnsi="Century"/>
          <w:b/>
          <w:color w:val="002060"/>
          <w:sz w:val="36"/>
          <w:szCs w:val="36"/>
        </w:rPr>
      </w:pPr>
      <w:r w:rsidRPr="00B10D90">
        <w:rPr>
          <w:rFonts w:ascii="Century" w:hAnsi="Century"/>
          <w:b/>
          <w:color w:val="002060"/>
          <w:sz w:val="36"/>
          <w:szCs w:val="36"/>
        </w:rPr>
        <w:t>ACTIVITIES</w:t>
      </w:r>
    </w:p>
    <w:p w:rsidR="00885A58" w:rsidRPr="00B10D90" w:rsidRDefault="00885A58" w:rsidP="00885A58">
      <w:pPr>
        <w:autoSpaceDE w:val="0"/>
        <w:autoSpaceDN w:val="0"/>
        <w:adjustRightInd w:val="0"/>
        <w:jc w:val="center"/>
        <w:rPr>
          <w:rFonts w:ascii="Century" w:hAnsi="Century" w:cs="Arial,Bold"/>
          <w:bCs/>
          <w:i/>
          <w:color w:val="002060"/>
          <w:sz w:val="22"/>
          <w:szCs w:val="22"/>
        </w:rPr>
      </w:pPr>
    </w:p>
    <w:p w:rsidR="00885A58" w:rsidRPr="00B10D90" w:rsidRDefault="00885A58" w:rsidP="00885A58">
      <w:pPr>
        <w:autoSpaceDE w:val="0"/>
        <w:autoSpaceDN w:val="0"/>
        <w:adjustRightInd w:val="0"/>
        <w:jc w:val="center"/>
        <w:rPr>
          <w:rFonts w:ascii="Century" w:hAnsi="Century" w:cs="Arial,Bold"/>
          <w:bCs/>
          <w:sz w:val="22"/>
          <w:szCs w:val="22"/>
        </w:rPr>
      </w:pPr>
    </w:p>
    <w:p w:rsidR="00885A58" w:rsidRPr="00B10D90" w:rsidRDefault="00885A58" w:rsidP="00885A58">
      <w:pPr>
        <w:autoSpaceDE w:val="0"/>
        <w:autoSpaceDN w:val="0"/>
        <w:adjustRightInd w:val="0"/>
        <w:jc w:val="center"/>
        <w:rPr>
          <w:rFonts w:ascii="Century" w:hAnsi="Century" w:cs="Arial,Bold"/>
          <w:bCs/>
          <w:sz w:val="22"/>
          <w:szCs w:val="22"/>
        </w:rPr>
      </w:pPr>
    </w:p>
    <w:p w:rsidR="00885A58" w:rsidRPr="00B10D90" w:rsidRDefault="00885A58" w:rsidP="00885A58">
      <w:pPr>
        <w:autoSpaceDE w:val="0"/>
        <w:autoSpaceDN w:val="0"/>
        <w:adjustRightInd w:val="0"/>
        <w:jc w:val="center"/>
        <w:rPr>
          <w:rFonts w:ascii="Century" w:hAnsi="Century" w:cs="Arial,Bold"/>
          <w:bCs/>
          <w:sz w:val="22"/>
          <w:szCs w:val="22"/>
        </w:rPr>
      </w:pPr>
    </w:p>
    <w:p w:rsidR="00885A58" w:rsidRPr="00B10D90" w:rsidRDefault="00885A58" w:rsidP="00885A58">
      <w:pPr>
        <w:autoSpaceDE w:val="0"/>
        <w:autoSpaceDN w:val="0"/>
        <w:adjustRightInd w:val="0"/>
        <w:jc w:val="center"/>
        <w:rPr>
          <w:rFonts w:ascii="Century" w:hAnsi="Century" w:cs="Arial,Bold"/>
          <w:bCs/>
          <w:sz w:val="22"/>
          <w:szCs w:val="22"/>
        </w:rPr>
      </w:pPr>
    </w:p>
    <w:p w:rsidR="00885A58" w:rsidRPr="00B10D90" w:rsidRDefault="00885A58" w:rsidP="00885A58">
      <w:pPr>
        <w:autoSpaceDE w:val="0"/>
        <w:autoSpaceDN w:val="0"/>
        <w:adjustRightInd w:val="0"/>
        <w:jc w:val="center"/>
        <w:rPr>
          <w:rFonts w:ascii="Century" w:hAnsi="Century" w:cs="Arial,Bold"/>
          <w:bCs/>
          <w:sz w:val="22"/>
          <w:szCs w:val="22"/>
        </w:rPr>
      </w:pPr>
    </w:p>
    <w:p w:rsidR="00885A58" w:rsidRPr="00C50E31" w:rsidRDefault="00885A58" w:rsidP="004406AC">
      <w:pPr>
        <w:jc w:val="center"/>
        <w:rPr>
          <w:rFonts w:ascii="Century" w:hAnsi="Century"/>
          <w:color w:val="002060"/>
        </w:rPr>
      </w:pPr>
      <w:bookmarkStart w:id="56" w:name="_Toc296364721"/>
      <w:bookmarkStart w:id="57" w:name="_Toc296371930"/>
      <w:bookmarkStart w:id="58" w:name="_Toc296807837"/>
      <w:bookmarkStart w:id="59" w:name="_Toc296808109"/>
      <w:bookmarkStart w:id="60" w:name="_Toc296940789"/>
      <w:bookmarkStart w:id="61" w:name="_Toc297120947"/>
      <w:bookmarkStart w:id="62" w:name="_Toc297121374"/>
      <w:bookmarkStart w:id="63" w:name="_Toc297202367"/>
      <w:bookmarkStart w:id="64" w:name="_Toc297302678"/>
      <w:bookmarkStart w:id="65" w:name="_Toc297302746"/>
      <w:bookmarkStart w:id="66" w:name="_Toc297309763"/>
      <w:bookmarkStart w:id="67" w:name="_Toc297441011"/>
      <w:bookmarkStart w:id="68" w:name="_Toc297441091"/>
      <w:bookmarkStart w:id="69" w:name="_Toc297441673"/>
      <w:r w:rsidRPr="00C50E31">
        <w:rPr>
          <w:rFonts w:ascii="Century" w:hAnsi="Century"/>
          <w:color w:val="002060"/>
        </w:rPr>
        <w:t xml:space="preserve">REPUBLIC OF </w:t>
      </w:r>
      <w:r w:rsidR="00C50E31" w:rsidRPr="00C50E31">
        <w:rPr>
          <w:rFonts w:ascii="Century" w:hAnsi="Century"/>
          <w:color w:val="002060"/>
        </w:rPr>
        <w:t>TURKEY</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85A58" w:rsidRPr="00C50E31" w:rsidRDefault="00C50E31" w:rsidP="004406AC">
      <w:pPr>
        <w:jc w:val="center"/>
        <w:rPr>
          <w:rFonts w:ascii="Century" w:hAnsi="Century"/>
          <w:color w:val="002060"/>
        </w:rPr>
      </w:pPr>
      <w:r w:rsidRPr="00C50E31">
        <w:rPr>
          <w:rFonts w:ascii="Century" w:hAnsi="Century"/>
          <w:color w:val="002060"/>
        </w:rPr>
        <w:t>MINISTRY OF TREASURY AND FINANCE</w:t>
      </w:r>
    </w:p>
    <w:p w:rsidR="00885A58" w:rsidRPr="00C50E31" w:rsidRDefault="00885A58" w:rsidP="004406AC">
      <w:pPr>
        <w:jc w:val="center"/>
        <w:rPr>
          <w:rFonts w:ascii="Century" w:hAnsi="Century"/>
          <w:color w:val="002060"/>
        </w:rPr>
      </w:pPr>
      <w:r w:rsidRPr="00C50E31">
        <w:rPr>
          <w:rFonts w:ascii="Century" w:hAnsi="Century"/>
          <w:color w:val="002060"/>
        </w:rPr>
        <w:t>I</w:t>
      </w:r>
      <w:r w:rsidR="000969B8" w:rsidRPr="00C50E31">
        <w:rPr>
          <w:rFonts w:ascii="Century" w:hAnsi="Century"/>
          <w:color w:val="002060"/>
        </w:rPr>
        <w:t>nsurance Supervision Board</w:t>
      </w:r>
    </w:p>
    <w:p w:rsidR="00DA0FC8" w:rsidRPr="00B10D90" w:rsidRDefault="00DA0FC8">
      <w:pPr>
        <w:rPr>
          <w:rFonts w:ascii="Century" w:hAnsi="Century" w:cs="Arial,Bold"/>
          <w:bCs/>
        </w:rPr>
      </w:pPr>
      <w:r w:rsidRPr="00B10D90">
        <w:rPr>
          <w:rFonts w:ascii="Century" w:hAnsi="Century" w:cs="Arial,Bold"/>
          <w:bCs/>
        </w:rPr>
        <w:br w:type="page"/>
      </w:r>
      <w:bookmarkStart w:id="70" w:name="_GoBack"/>
      <w:bookmarkEnd w:id="70"/>
    </w:p>
    <w:p w:rsidR="0090061C" w:rsidRPr="00B10D90" w:rsidRDefault="0090061C" w:rsidP="00885A58">
      <w:pPr>
        <w:autoSpaceDE w:val="0"/>
        <w:autoSpaceDN w:val="0"/>
        <w:adjustRightInd w:val="0"/>
        <w:jc w:val="center"/>
        <w:rPr>
          <w:rFonts w:ascii="Century" w:hAnsi="Century" w:cs="Arial,Bold"/>
          <w:bCs/>
          <w:highlight w:val="yellow"/>
        </w:rPr>
      </w:pPr>
    </w:p>
    <w:p w:rsidR="0090061C" w:rsidRPr="00B10D90" w:rsidRDefault="0090061C" w:rsidP="00885A58">
      <w:pPr>
        <w:autoSpaceDE w:val="0"/>
        <w:autoSpaceDN w:val="0"/>
        <w:adjustRightInd w:val="0"/>
        <w:jc w:val="center"/>
        <w:rPr>
          <w:rFonts w:ascii="Century" w:hAnsi="Century" w:cs="Arial,Bold"/>
          <w:bCs/>
          <w:highlight w:val="yellow"/>
        </w:rPr>
      </w:pPr>
    </w:p>
    <w:p w:rsidR="001B3384" w:rsidRPr="00B10D90" w:rsidRDefault="001B3384" w:rsidP="008D17FE">
      <w:pPr>
        <w:rPr>
          <w:rFonts w:ascii="Century" w:hAnsi="Century"/>
          <w:highlight w:val="yellow"/>
        </w:rPr>
        <w:sectPr w:rsidR="001B3384" w:rsidRPr="00B10D90" w:rsidSect="00713394">
          <w:headerReference w:type="default" r:id="rId9"/>
          <w:footerReference w:type="even" r:id="rId10"/>
          <w:footerReference w:type="default" r:id="rId11"/>
          <w:footerReference w:type="first" r:id="rId12"/>
          <w:pgSz w:w="11906" w:h="16838"/>
          <w:pgMar w:top="1440" w:right="1440" w:bottom="1440" w:left="1440" w:header="708" w:footer="708" w:gutter="0"/>
          <w:pgNumType w:fmt="lowerRoman" w:start="1"/>
          <w:cols w:space="708"/>
          <w:titlePg/>
          <w:docGrid w:linePitch="360"/>
        </w:sectPr>
      </w:pPr>
    </w:p>
    <w:tbl>
      <w:tblPr>
        <w:tblW w:w="9855" w:type="dxa"/>
        <w:tblInd w:w="-252" w:type="dxa"/>
        <w:tblLayout w:type="fixed"/>
        <w:tblLook w:val="04A0" w:firstRow="1" w:lastRow="0" w:firstColumn="1" w:lastColumn="0" w:noHBand="0" w:noVBand="1"/>
      </w:tblPr>
      <w:tblGrid>
        <w:gridCol w:w="4815"/>
        <w:gridCol w:w="236"/>
        <w:gridCol w:w="4804"/>
      </w:tblGrid>
      <w:tr w:rsidR="006D748E" w:rsidRPr="00B10D90" w:rsidTr="009C5ACE">
        <w:tc>
          <w:tcPr>
            <w:tcW w:w="4815" w:type="dxa"/>
          </w:tcPr>
          <w:p w:rsidR="006D748E" w:rsidRPr="006B605D" w:rsidRDefault="006D748E" w:rsidP="00B976EA">
            <w:pPr>
              <w:jc w:val="center"/>
              <w:rPr>
                <w:rFonts w:ascii="Century" w:hAnsi="Century"/>
                <w:b/>
                <w:sz w:val="21"/>
                <w:szCs w:val="21"/>
              </w:rPr>
            </w:pPr>
            <w:bookmarkStart w:id="71" w:name="_Hlk487453354"/>
            <w:bookmarkStart w:id="72" w:name="_Toc296364722"/>
            <w:bookmarkStart w:id="73" w:name="_Toc296371931"/>
            <w:bookmarkStart w:id="74" w:name="_Toc296807838"/>
            <w:bookmarkStart w:id="75" w:name="_Toc296808110"/>
            <w:bookmarkStart w:id="76" w:name="_Toc296940790"/>
            <w:bookmarkStart w:id="77" w:name="_Toc297120948"/>
            <w:bookmarkStart w:id="78" w:name="_Toc297121375"/>
            <w:bookmarkStart w:id="79" w:name="_Toc297202368"/>
            <w:bookmarkStart w:id="80" w:name="_Toc297302679"/>
            <w:bookmarkStart w:id="81" w:name="_Toc297302747"/>
            <w:bookmarkStart w:id="82" w:name="_Toc297309764"/>
            <w:bookmarkStart w:id="83" w:name="_Toc297441012"/>
            <w:bookmarkStart w:id="84" w:name="_Toc297441092"/>
            <w:bookmarkStart w:id="85" w:name="_Toc297441674"/>
            <w:r w:rsidRPr="00F636FD">
              <w:rPr>
                <w:rFonts w:ascii="Century" w:hAnsi="Century"/>
                <w:b/>
                <w:color w:val="000080"/>
                <w:sz w:val="21"/>
                <w:szCs w:val="21"/>
              </w:rPr>
              <w:lastRenderedPageBreak/>
              <w:t>ÖNSÖZ</w:t>
            </w:r>
          </w:p>
          <w:p w:rsidR="006D748E" w:rsidRPr="006B605D" w:rsidRDefault="006D748E" w:rsidP="00B976EA">
            <w:pPr>
              <w:spacing w:line="256" w:lineRule="auto"/>
              <w:jc w:val="both"/>
              <w:rPr>
                <w:rFonts w:ascii="Century" w:hAnsi="Century"/>
                <w:sz w:val="21"/>
                <w:szCs w:val="21"/>
                <w:lang w:val="tr-TR"/>
              </w:rPr>
            </w:pPr>
          </w:p>
          <w:p w:rsidR="006D748E" w:rsidRPr="00B10D90" w:rsidRDefault="006B605D" w:rsidP="00B976EA">
            <w:pPr>
              <w:spacing w:line="256" w:lineRule="auto"/>
              <w:jc w:val="both"/>
              <w:rPr>
                <w:rFonts w:ascii="Century" w:hAnsi="Century"/>
                <w:sz w:val="21"/>
                <w:szCs w:val="21"/>
                <w:highlight w:val="yellow"/>
                <w:lang w:val="tr-TR"/>
              </w:rPr>
            </w:pPr>
            <w:r w:rsidRPr="006B605D">
              <w:rPr>
                <w:rFonts w:ascii="Century" w:hAnsi="Century"/>
                <w:sz w:val="21"/>
                <w:szCs w:val="21"/>
                <w:lang w:val="tr-TR"/>
              </w:rPr>
              <w:t>2018</w:t>
            </w:r>
            <w:r w:rsidR="006D748E" w:rsidRPr="006B605D">
              <w:rPr>
                <w:rFonts w:ascii="Century" w:hAnsi="Century"/>
                <w:sz w:val="21"/>
                <w:szCs w:val="21"/>
                <w:lang w:val="tr-TR"/>
              </w:rPr>
              <w:t xml:space="preserve"> y</w:t>
            </w:r>
            <w:r w:rsidR="006D748E" w:rsidRPr="006B605D">
              <w:rPr>
                <w:rFonts w:ascii="Century" w:hAnsi="Century" w:hint="eastAsia"/>
                <w:sz w:val="21"/>
                <w:szCs w:val="21"/>
                <w:lang w:val="tr-TR"/>
              </w:rPr>
              <w:t>ı</w:t>
            </w:r>
            <w:r w:rsidR="006D748E" w:rsidRPr="006B605D">
              <w:rPr>
                <w:rFonts w:ascii="Century" w:hAnsi="Century"/>
                <w:sz w:val="21"/>
                <w:szCs w:val="21"/>
                <w:lang w:val="tr-TR"/>
              </w:rPr>
              <w:t>l</w:t>
            </w:r>
            <w:r w:rsidR="006D748E" w:rsidRPr="006B605D">
              <w:rPr>
                <w:rFonts w:ascii="Century" w:hAnsi="Century" w:hint="eastAsia"/>
                <w:sz w:val="21"/>
                <w:szCs w:val="21"/>
                <w:lang w:val="tr-TR"/>
              </w:rPr>
              <w:t>ı</w:t>
            </w:r>
            <w:r w:rsidR="006D748E" w:rsidRPr="006B605D">
              <w:rPr>
                <w:rFonts w:ascii="Century" w:hAnsi="Century"/>
                <w:sz w:val="21"/>
                <w:szCs w:val="21"/>
                <w:lang w:val="tr-TR"/>
              </w:rPr>
              <w:t xml:space="preserve"> ülkemiz sigortac</w:t>
            </w:r>
            <w:r w:rsidR="006D748E" w:rsidRPr="006B605D">
              <w:rPr>
                <w:rFonts w:ascii="Century" w:hAnsi="Century" w:hint="eastAsia"/>
                <w:sz w:val="21"/>
                <w:szCs w:val="21"/>
                <w:lang w:val="tr-TR"/>
              </w:rPr>
              <w:t>ı</w:t>
            </w:r>
            <w:r w:rsidR="006D748E" w:rsidRPr="006B605D">
              <w:rPr>
                <w:rFonts w:ascii="Century" w:hAnsi="Century"/>
                <w:sz w:val="21"/>
                <w:szCs w:val="21"/>
                <w:lang w:val="tr-TR"/>
              </w:rPr>
              <w:t>l</w:t>
            </w:r>
            <w:r w:rsidR="006D748E" w:rsidRPr="006B605D">
              <w:rPr>
                <w:rFonts w:ascii="Century" w:hAnsi="Century" w:hint="eastAsia"/>
                <w:sz w:val="21"/>
                <w:szCs w:val="21"/>
                <w:lang w:val="tr-TR"/>
              </w:rPr>
              <w:t>ı</w:t>
            </w:r>
            <w:r w:rsidR="006D748E" w:rsidRPr="006B605D">
              <w:rPr>
                <w:rFonts w:ascii="Century" w:hAnsi="Century"/>
                <w:sz w:val="21"/>
                <w:szCs w:val="21"/>
                <w:lang w:val="tr-TR"/>
              </w:rPr>
              <w:t>k ve özel emeklilik sektörleri için istikrarını sürdürdüğü önemli bir y</w:t>
            </w:r>
            <w:r w:rsidR="006D748E" w:rsidRPr="006B605D">
              <w:rPr>
                <w:rFonts w:ascii="Century" w:hAnsi="Century" w:hint="eastAsia"/>
                <w:sz w:val="21"/>
                <w:szCs w:val="21"/>
                <w:lang w:val="tr-TR"/>
              </w:rPr>
              <w:t>ı</w:t>
            </w:r>
            <w:r w:rsidR="006D748E" w:rsidRPr="006B605D">
              <w:rPr>
                <w:rFonts w:ascii="Century" w:hAnsi="Century"/>
                <w:sz w:val="21"/>
                <w:szCs w:val="21"/>
                <w:lang w:val="tr-TR"/>
              </w:rPr>
              <w:t>l olmu</w:t>
            </w:r>
            <w:r w:rsidR="006D748E" w:rsidRPr="006B605D">
              <w:rPr>
                <w:rFonts w:ascii="Century" w:hAnsi="Century" w:hint="eastAsia"/>
                <w:sz w:val="21"/>
                <w:szCs w:val="21"/>
                <w:lang w:val="tr-TR"/>
              </w:rPr>
              <w:t>ş</w:t>
            </w:r>
            <w:r w:rsidR="006D748E" w:rsidRPr="006B605D">
              <w:rPr>
                <w:rFonts w:ascii="Century" w:hAnsi="Century"/>
                <w:sz w:val="21"/>
                <w:szCs w:val="21"/>
                <w:lang w:val="tr-TR"/>
              </w:rPr>
              <w:t xml:space="preserve">tur. Yıl içinde sigortacılık sektöründe toplam </w:t>
            </w:r>
            <w:r w:rsidRPr="00CB12D6">
              <w:rPr>
                <w:rFonts w:ascii="Century" w:hAnsi="Century"/>
                <w:sz w:val="21"/>
                <w:szCs w:val="21"/>
                <w:lang w:val="tr-TR"/>
              </w:rPr>
              <w:t xml:space="preserve">54,6 </w:t>
            </w:r>
            <w:r w:rsidR="006D748E" w:rsidRPr="00CB12D6">
              <w:rPr>
                <w:rFonts w:ascii="Century" w:hAnsi="Century"/>
                <w:sz w:val="21"/>
                <w:szCs w:val="21"/>
                <w:lang w:val="tr-TR"/>
              </w:rPr>
              <w:t>milyar TL prim üretimi gerçekleştirilmiş,</w:t>
            </w:r>
            <w:r w:rsidR="006D748E" w:rsidRPr="006B605D">
              <w:rPr>
                <w:rFonts w:ascii="Century" w:hAnsi="Century"/>
                <w:sz w:val="21"/>
                <w:szCs w:val="21"/>
                <w:lang w:val="tr-TR"/>
              </w:rPr>
              <w:t xml:space="preserve"> bir önceki yıla göre brüt %1</w:t>
            </w:r>
            <w:r w:rsidRPr="006B605D">
              <w:rPr>
                <w:rFonts w:ascii="Century" w:hAnsi="Century"/>
                <w:sz w:val="21"/>
                <w:szCs w:val="21"/>
                <w:lang w:val="tr-TR"/>
              </w:rPr>
              <w:t>7</w:t>
            </w:r>
            <w:r w:rsidR="006D748E" w:rsidRPr="006B605D">
              <w:rPr>
                <w:rFonts w:ascii="Century" w:hAnsi="Century"/>
                <w:sz w:val="21"/>
                <w:szCs w:val="21"/>
                <w:lang w:val="tr-TR"/>
              </w:rPr>
              <w:t xml:space="preserve"> </w:t>
            </w:r>
            <w:r w:rsidR="00C27D1E">
              <w:rPr>
                <w:rFonts w:ascii="Century" w:hAnsi="Century"/>
                <w:sz w:val="21"/>
                <w:szCs w:val="21"/>
                <w:lang w:val="tr-TR"/>
              </w:rPr>
              <w:t xml:space="preserve">oranında büyüme </w:t>
            </w:r>
            <w:r w:rsidR="006D748E" w:rsidRPr="00D8354D">
              <w:rPr>
                <w:rFonts w:ascii="Century" w:hAnsi="Century"/>
                <w:sz w:val="21"/>
                <w:szCs w:val="21"/>
                <w:lang w:val="tr-TR"/>
              </w:rPr>
              <w:t>sağlanmıştır. Sigorta şirketleri</w:t>
            </w:r>
            <w:r w:rsidR="00D8354D" w:rsidRPr="00D8354D">
              <w:rPr>
                <w:rFonts w:ascii="Century" w:hAnsi="Century"/>
                <w:sz w:val="21"/>
                <w:szCs w:val="21"/>
                <w:lang w:val="tr-TR"/>
              </w:rPr>
              <w:t xml:space="preserve"> tarafından yıl içinde toplam 85,9</w:t>
            </w:r>
            <w:r w:rsidR="006D748E" w:rsidRPr="00D8354D">
              <w:rPr>
                <w:rFonts w:ascii="Century" w:hAnsi="Century"/>
                <w:sz w:val="21"/>
                <w:szCs w:val="21"/>
                <w:lang w:val="tr-TR"/>
              </w:rPr>
              <w:t xml:space="preserve"> milyon adet poliçe tanzim edilmiş ve karş</w:t>
            </w:r>
            <w:r w:rsidR="00D8354D" w:rsidRPr="00D8354D">
              <w:rPr>
                <w:rFonts w:ascii="Century" w:hAnsi="Century"/>
                <w:sz w:val="21"/>
                <w:szCs w:val="21"/>
                <w:lang w:val="tr-TR"/>
              </w:rPr>
              <w:t>ılığında sigorta ettirenlere 126,9</w:t>
            </w:r>
            <w:r w:rsidR="006D748E" w:rsidRPr="00D8354D">
              <w:rPr>
                <w:rFonts w:ascii="Century" w:hAnsi="Century"/>
                <w:sz w:val="21"/>
                <w:szCs w:val="21"/>
                <w:lang w:val="tr-TR"/>
              </w:rPr>
              <w:t xml:space="preserve"> trilyon TL </w:t>
            </w:r>
            <w:r w:rsidR="00D8354D" w:rsidRPr="00D8354D">
              <w:rPr>
                <w:rFonts w:ascii="Century" w:hAnsi="Century"/>
                <w:sz w:val="21"/>
                <w:szCs w:val="21"/>
                <w:lang w:val="tr-TR"/>
              </w:rPr>
              <w:t>teminat verilmiştir. GSYH’nin 34</w:t>
            </w:r>
            <w:r w:rsidR="006D748E" w:rsidRPr="00D8354D">
              <w:rPr>
                <w:rFonts w:ascii="Century" w:hAnsi="Century"/>
                <w:sz w:val="21"/>
                <w:szCs w:val="21"/>
                <w:lang w:val="tr-TR"/>
              </w:rPr>
              <w:t xml:space="preserve"> katına tekabül eden bu tutar, sigortacılığın ülkemiz ekonomisi ve istikrarlı bir büyüme için önemini ortaya koymaktadır. </w:t>
            </w:r>
          </w:p>
          <w:p w:rsidR="006D748E" w:rsidRPr="00B10D90" w:rsidRDefault="006D748E" w:rsidP="00B976EA">
            <w:pPr>
              <w:spacing w:line="256" w:lineRule="auto"/>
              <w:jc w:val="both"/>
              <w:rPr>
                <w:rFonts w:ascii="Century" w:hAnsi="Century"/>
                <w:sz w:val="21"/>
                <w:szCs w:val="21"/>
                <w:highlight w:val="yellow"/>
                <w:lang w:val="tr-TR"/>
              </w:rPr>
            </w:pPr>
          </w:p>
          <w:p w:rsidR="006D748E" w:rsidRPr="00614E0E" w:rsidRDefault="006D748E" w:rsidP="00B976EA">
            <w:pPr>
              <w:spacing w:line="256" w:lineRule="auto"/>
              <w:jc w:val="both"/>
              <w:rPr>
                <w:rFonts w:ascii="Century" w:hAnsi="Century"/>
                <w:sz w:val="21"/>
                <w:szCs w:val="21"/>
                <w:lang w:val="tr-TR"/>
              </w:rPr>
            </w:pPr>
            <w:r w:rsidRPr="00A672FC">
              <w:rPr>
                <w:rFonts w:ascii="Century" w:hAnsi="Century"/>
                <w:sz w:val="21"/>
                <w:szCs w:val="21"/>
                <w:lang w:val="tr-TR"/>
              </w:rPr>
              <w:t>Bireysel emeklilik sistemi de 2013 yılı başında devlet katkısı ile yakalamış o</w:t>
            </w:r>
            <w:r w:rsidR="003F3F50" w:rsidRPr="00A672FC">
              <w:rPr>
                <w:rFonts w:ascii="Century" w:hAnsi="Century"/>
                <w:sz w:val="21"/>
                <w:szCs w:val="21"/>
                <w:lang w:val="tr-TR"/>
              </w:rPr>
              <w:t xml:space="preserve">lduğu hızlı büyüme </w:t>
            </w:r>
            <w:proofErr w:type="gramStart"/>
            <w:r w:rsidR="003F3F50" w:rsidRPr="00A672FC">
              <w:rPr>
                <w:rFonts w:ascii="Century" w:hAnsi="Century"/>
                <w:sz w:val="21"/>
                <w:szCs w:val="21"/>
                <w:lang w:val="tr-TR"/>
              </w:rPr>
              <w:t>trendini</w:t>
            </w:r>
            <w:proofErr w:type="gramEnd"/>
            <w:r w:rsidR="003F3F50" w:rsidRPr="00A672FC">
              <w:rPr>
                <w:rFonts w:ascii="Century" w:hAnsi="Century"/>
                <w:sz w:val="21"/>
                <w:szCs w:val="21"/>
                <w:lang w:val="tr-TR"/>
              </w:rPr>
              <w:t xml:space="preserve"> 2018</w:t>
            </w:r>
            <w:r w:rsidRPr="00A672FC">
              <w:rPr>
                <w:rFonts w:ascii="Century" w:hAnsi="Century"/>
                <w:sz w:val="21"/>
                <w:szCs w:val="21"/>
                <w:lang w:val="tr-TR"/>
              </w:rPr>
              <w:t xml:space="preserve"> yılında da devam ettirmiştir. Sistemdeki katılımcı sayısı 201</w:t>
            </w:r>
            <w:r w:rsidR="00A672FC" w:rsidRPr="00A672FC">
              <w:rPr>
                <w:rFonts w:ascii="Century" w:hAnsi="Century"/>
                <w:sz w:val="21"/>
                <w:szCs w:val="21"/>
                <w:lang w:val="tr-TR"/>
              </w:rPr>
              <w:t>8</w:t>
            </w:r>
            <w:r w:rsidRPr="00A672FC">
              <w:rPr>
                <w:rFonts w:ascii="Century" w:hAnsi="Century"/>
                <w:sz w:val="21"/>
                <w:szCs w:val="21"/>
                <w:lang w:val="tr-TR"/>
              </w:rPr>
              <w:t xml:space="preserve"> </w:t>
            </w:r>
            <w:proofErr w:type="gramStart"/>
            <w:r w:rsidRPr="00A672FC">
              <w:rPr>
                <w:rFonts w:ascii="Century" w:hAnsi="Century"/>
                <w:sz w:val="21"/>
                <w:szCs w:val="21"/>
                <w:lang w:val="tr-TR"/>
              </w:rPr>
              <w:t>yıl</w:t>
            </w:r>
            <w:r w:rsidR="00542223">
              <w:rPr>
                <w:rFonts w:ascii="Century" w:hAnsi="Century"/>
                <w:sz w:val="21"/>
                <w:szCs w:val="21"/>
                <w:lang w:val="tr-TR"/>
              </w:rPr>
              <w:t xml:space="preserve"> </w:t>
            </w:r>
            <w:r w:rsidRPr="00A672FC">
              <w:rPr>
                <w:rFonts w:ascii="Century" w:hAnsi="Century"/>
                <w:sz w:val="21"/>
                <w:szCs w:val="21"/>
                <w:lang w:val="tr-TR"/>
              </w:rPr>
              <w:t>sonun</w:t>
            </w:r>
            <w:r w:rsidR="00C27D1E">
              <w:rPr>
                <w:rFonts w:ascii="Century" w:hAnsi="Century"/>
                <w:sz w:val="21"/>
                <w:szCs w:val="21"/>
                <w:lang w:val="tr-TR"/>
              </w:rPr>
              <w:t>d</w:t>
            </w:r>
            <w:r w:rsidRPr="00A672FC">
              <w:rPr>
                <w:rFonts w:ascii="Century" w:hAnsi="Century"/>
                <w:sz w:val="21"/>
                <w:szCs w:val="21"/>
                <w:lang w:val="tr-TR"/>
              </w:rPr>
              <w:t>a</w:t>
            </w:r>
            <w:proofErr w:type="gramEnd"/>
            <w:r w:rsidRPr="00A672FC">
              <w:rPr>
                <w:rFonts w:ascii="Century" w:hAnsi="Century"/>
                <w:sz w:val="21"/>
                <w:szCs w:val="21"/>
                <w:lang w:val="tr-TR"/>
              </w:rPr>
              <w:t xml:space="preserve"> 6,9</w:t>
            </w:r>
            <w:r w:rsidR="00A672FC" w:rsidRPr="00A672FC">
              <w:rPr>
                <w:rFonts w:ascii="Century" w:hAnsi="Century"/>
                <w:sz w:val="21"/>
                <w:szCs w:val="21"/>
                <w:lang w:val="tr-TR"/>
              </w:rPr>
              <w:t xml:space="preserve"> milyon adet olmuş</w:t>
            </w:r>
            <w:r w:rsidRPr="00A672FC">
              <w:rPr>
                <w:rFonts w:ascii="Century" w:hAnsi="Century"/>
                <w:sz w:val="21"/>
                <w:szCs w:val="21"/>
                <w:lang w:val="tr-TR"/>
              </w:rPr>
              <w:t xml:space="preserve">, katılımcılara ait fon tutarı da devlet katkısı ile birlikte </w:t>
            </w:r>
            <w:r w:rsidR="00A672FC" w:rsidRPr="00A672FC">
              <w:rPr>
                <w:rFonts w:ascii="Century" w:hAnsi="Century"/>
                <w:sz w:val="21"/>
                <w:szCs w:val="21"/>
                <w:lang w:val="tr-TR"/>
              </w:rPr>
              <w:t>88,4</w:t>
            </w:r>
            <w:r w:rsidRPr="00A672FC">
              <w:rPr>
                <w:rFonts w:ascii="Century" w:hAnsi="Century"/>
                <w:sz w:val="21"/>
                <w:szCs w:val="21"/>
                <w:lang w:val="tr-TR"/>
              </w:rPr>
              <w:t xml:space="preserve"> milyar TL’ye yükselmiştir. Ayrıca orta ve uzun vadeli yurtiçi tasarruf oranlarının artırılarak çalışanların, emeklilik dönemlerindeki refah düzeylerinin yükseltilmesi amacıyla 1 Ocak 2017 tarihi itibarıyla bireysel emeklilik sisteminde otomatik katılım uygulaması </w:t>
            </w:r>
            <w:r w:rsidRPr="00614E0E">
              <w:rPr>
                <w:rFonts w:ascii="Century" w:hAnsi="Century"/>
                <w:sz w:val="21"/>
                <w:szCs w:val="21"/>
                <w:lang w:val="tr-TR"/>
              </w:rPr>
              <w:t xml:space="preserve">başlamıştır. </w:t>
            </w:r>
            <w:r w:rsidR="00542223">
              <w:rPr>
                <w:rFonts w:ascii="Century" w:hAnsi="Century"/>
                <w:sz w:val="21"/>
                <w:szCs w:val="21"/>
                <w:lang w:val="tr-TR"/>
              </w:rPr>
              <w:t>O</w:t>
            </w:r>
            <w:r w:rsidRPr="00614E0E">
              <w:rPr>
                <w:rFonts w:ascii="Century" w:hAnsi="Century"/>
                <w:sz w:val="21"/>
                <w:szCs w:val="21"/>
                <w:lang w:val="tr-TR"/>
              </w:rPr>
              <w:t xml:space="preserve">tomatik katılım </w:t>
            </w:r>
            <w:r w:rsidR="00C063F9" w:rsidRPr="00614E0E">
              <w:rPr>
                <w:rFonts w:ascii="Century" w:hAnsi="Century"/>
                <w:sz w:val="21"/>
                <w:szCs w:val="21"/>
                <w:lang w:val="tr-TR"/>
              </w:rPr>
              <w:t xml:space="preserve">sisteminde 2018 yılı sonunda </w:t>
            </w:r>
            <w:r w:rsidR="00614E0E" w:rsidRPr="00614E0E">
              <w:rPr>
                <w:rFonts w:ascii="Century" w:hAnsi="Century"/>
                <w:sz w:val="21"/>
                <w:szCs w:val="21"/>
                <w:lang w:val="tr-TR"/>
              </w:rPr>
              <w:t>yaklaşık 5</w:t>
            </w:r>
            <w:r w:rsidRPr="00614E0E">
              <w:rPr>
                <w:rFonts w:ascii="Century" w:hAnsi="Century"/>
                <w:sz w:val="21"/>
                <w:szCs w:val="21"/>
                <w:lang w:val="tr-TR"/>
              </w:rPr>
              <w:t>,</w:t>
            </w:r>
            <w:r w:rsidR="00614E0E" w:rsidRPr="00614E0E">
              <w:rPr>
                <w:rFonts w:ascii="Century" w:hAnsi="Century"/>
                <w:sz w:val="21"/>
                <w:szCs w:val="21"/>
                <w:lang w:val="tr-TR"/>
              </w:rPr>
              <w:t>0</w:t>
            </w:r>
            <w:r w:rsidRPr="00614E0E">
              <w:rPr>
                <w:rFonts w:ascii="Century" w:hAnsi="Century"/>
                <w:sz w:val="21"/>
                <w:szCs w:val="21"/>
                <w:lang w:val="tr-TR"/>
              </w:rPr>
              <w:t xml:space="preserve"> milyon çalışan sisteme </w:t>
            </w:r>
            <w:proofErr w:type="gramStart"/>
            <w:r w:rsidRPr="00614E0E">
              <w:rPr>
                <w:rFonts w:ascii="Century" w:hAnsi="Century"/>
                <w:sz w:val="21"/>
                <w:szCs w:val="21"/>
                <w:lang w:val="tr-TR"/>
              </w:rPr>
              <w:t>dahil</w:t>
            </w:r>
            <w:proofErr w:type="gramEnd"/>
            <w:r w:rsidRPr="00614E0E">
              <w:rPr>
                <w:rFonts w:ascii="Century" w:hAnsi="Century"/>
                <w:sz w:val="21"/>
                <w:szCs w:val="21"/>
                <w:lang w:val="tr-TR"/>
              </w:rPr>
              <w:t xml:space="preserve"> edi</w:t>
            </w:r>
            <w:r w:rsidR="00614E0E" w:rsidRPr="00614E0E">
              <w:rPr>
                <w:rFonts w:ascii="Century" w:hAnsi="Century"/>
                <w:sz w:val="21"/>
                <w:szCs w:val="21"/>
                <w:lang w:val="tr-TR"/>
              </w:rPr>
              <w:t>lmiş olup toplam fon büyüklüğü 4</w:t>
            </w:r>
            <w:r w:rsidRPr="00614E0E">
              <w:rPr>
                <w:rFonts w:ascii="Century" w:hAnsi="Century"/>
                <w:sz w:val="21"/>
                <w:szCs w:val="21"/>
                <w:lang w:val="tr-TR"/>
              </w:rPr>
              <w:t>,</w:t>
            </w:r>
            <w:r w:rsidR="00614E0E" w:rsidRPr="00614E0E">
              <w:rPr>
                <w:rFonts w:ascii="Century" w:hAnsi="Century"/>
                <w:sz w:val="21"/>
                <w:szCs w:val="21"/>
                <w:lang w:val="tr-TR"/>
              </w:rPr>
              <w:t>7</w:t>
            </w:r>
            <w:r w:rsidRPr="00614E0E">
              <w:rPr>
                <w:rFonts w:ascii="Century" w:hAnsi="Century"/>
                <w:sz w:val="21"/>
                <w:szCs w:val="21"/>
                <w:lang w:val="tr-TR"/>
              </w:rPr>
              <w:t xml:space="preserve"> milyar TL’ye ulaşmıştır.</w:t>
            </w:r>
          </w:p>
          <w:p w:rsidR="006D748E" w:rsidRPr="00B10D90" w:rsidRDefault="006D748E" w:rsidP="00B976EA">
            <w:pPr>
              <w:spacing w:line="256" w:lineRule="auto"/>
              <w:jc w:val="both"/>
              <w:rPr>
                <w:rFonts w:ascii="Century" w:hAnsi="Century"/>
                <w:sz w:val="21"/>
                <w:szCs w:val="21"/>
                <w:highlight w:val="yellow"/>
                <w:lang w:val="tr-TR"/>
              </w:rPr>
            </w:pPr>
          </w:p>
          <w:p w:rsidR="006D748E" w:rsidRPr="00944B69" w:rsidRDefault="006D748E" w:rsidP="00B976EA">
            <w:pPr>
              <w:spacing w:line="256" w:lineRule="auto"/>
              <w:jc w:val="both"/>
              <w:rPr>
                <w:rFonts w:ascii="Century" w:hAnsi="Century"/>
                <w:sz w:val="21"/>
                <w:szCs w:val="21"/>
                <w:lang w:val="tr-TR"/>
              </w:rPr>
            </w:pPr>
            <w:r w:rsidRPr="00944B69">
              <w:rPr>
                <w:rFonts w:ascii="Century" w:hAnsi="Century"/>
                <w:sz w:val="21"/>
                <w:szCs w:val="21"/>
                <w:lang w:val="tr-TR"/>
              </w:rPr>
              <w:t>Sigortacılık ve özel emeklilik sektörleri, büyümeye devam ederken finansal sa</w:t>
            </w:r>
            <w:r w:rsidR="00944B69" w:rsidRPr="00944B69">
              <w:rPr>
                <w:rFonts w:ascii="Century" w:hAnsi="Century"/>
                <w:sz w:val="21"/>
                <w:szCs w:val="21"/>
                <w:lang w:val="tr-TR"/>
              </w:rPr>
              <w:t>ğlamlığını da korumaktadır. 2018</w:t>
            </w:r>
            <w:r w:rsidRPr="00944B69">
              <w:rPr>
                <w:rFonts w:ascii="Century" w:hAnsi="Century"/>
                <w:sz w:val="21"/>
                <w:szCs w:val="21"/>
                <w:lang w:val="tr-TR"/>
              </w:rPr>
              <w:t xml:space="preserve"> yılı sonu itibarıyla şirketlerin sermaye yeterlilik rasyol</w:t>
            </w:r>
            <w:r w:rsidR="00944B69" w:rsidRPr="00944B69">
              <w:rPr>
                <w:rFonts w:ascii="Century" w:hAnsi="Century"/>
                <w:sz w:val="21"/>
                <w:szCs w:val="21"/>
                <w:lang w:val="tr-TR"/>
              </w:rPr>
              <w:t>arı, hayat dışı şirketlerde %143</w:t>
            </w:r>
            <w:r w:rsidRPr="00944B69">
              <w:rPr>
                <w:rFonts w:ascii="Century" w:hAnsi="Century"/>
                <w:sz w:val="21"/>
                <w:szCs w:val="21"/>
                <w:lang w:val="tr-TR"/>
              </w:rPr>
              <w:t xml:space="preserve">, hayat ve </w:t>
            </w:r>
            <w:r w:rsidR="00944B69" w:rsidRPr="00944B69">
              <w:rPr>
                <w:rFonts w:ascii="Century" w:hAnsi="Century"/>
                <w:sz w:val="21"/>
                <w:szCs w:val="21"/>
                <w:lang w:val="tr-TR"/>
              </w:rPr>
              <w:t>emeklilik şirketlerinde ise %336</w:t>
            </w:r>
            <w:r w:rsidRPr="00944B69">
              <w:rPr>
                <w:rFonts w:ascii="Century" w:hAnsi="Century"/>
                <w:sz w:val="21"/>
                <w:szCs w:val="21"/>
                <w:lang w:val="tr-TR"/>
              </w:rPr>
              <w:t xml:space="preserve"> olarak gerçekleşmiştir. Bu veriler, her iki sektörün de yükümlülüklerini karşılayabilecek yeterli özkaynağa sahip olduğunu ortaya koymaktadır.</w:t>
            </w:r>
          </w:p>
          <w:p w:rsidR="006D748E" w:rsidRPr="00B10D90" w:rsidRDefault="006D748E" w:rsidP="00B976EA">
            <w:pPr>
              <w:spacing w:line="256" w:lineRule="auto"/>
              <w:jc w:val="both"/>
              <w:rPr>
                <w:rFonts w:ascii="Century" w:hAnsi="Century"/>
                <w:sz w:val="21"/>
                <w:szCs w:val="21"/>
                <w:highlight w:val="yellow"/>
                <w:lang w:val="tr-TR"/>
              </w:rPr>
            </w:pPr>
          </w:p>
          <w:p w:rsidR="006D748E" w:rsidRPr="006B4F3C" w:rsidRDefault="006D748E" w:rsidP="00B976EA">
            <w:pPr>
              <w:pStyle w:val="Default"/>
              <w:spacing w:line="256" w:lineRule="auto"/>
              <w:jc w:val="both"/>
              <w:rPr>
                <w:rFonts w:ascii="Century" w:eastAsia="Times New Roman" w:hAnsi="Century"/>
                <w:color w:val="auto"/>
                <w:sz w:val="21"/>
                <w:szCs w:val="21"/>
                <w:lang w:val="tr-TR"/>
              </w:rPr>
            </w:pPr>
            <w:r w:rsidRPr="006B4F3C">
              <w:rPr>
                <w:rFonts w:ascii="Century" w:eastAsia="Times New Roman" w:hAnsi="Century"/>
                <w:color w:val="auto"/>
                <w:sz w:val="21"/>
                <w:szCs w:val="21"/>
                <w:lang w:val="tr-TR"/>
              </w:rPr>
              <w:t>Kurumumuzun öncelikli hedefleri, sigortalılar ile katılımcılar</w:t>
            </w:r>
            <w:r w:rsidR="00542223">
              <w:rPr>
                <w:rFonts w:ascii="Century" w:eastAsia="Times New Roman" w:hAnsi="Century"/>
                <w:color w:val="auto"/>
                <w:sz w:val="21"/>
                <w:szCs w:val="21"/>
                <w:lang w:val="tr-TR"/>
              </w:rPr>
              <w:t xml:space="preserve">ın hak ve menfaatlerini korumak, </w:t>
            </w:r>
            <w:r w:rsidRPr="006B4F3C">
              <w:rPr>
                <w:rFonts w:ascii="Century" w:eastAsia="Times New Roman" w:hAnsi="Century"/>
                <w:color w:val="auto"/>
                <w:sz w:val="21"/>
                <w:szCs w:val="21"/>
                <w:lang w:val="tr-TR"/>
              </w:rPr>
              <w:t>sigortacılık ile bireysel emekliliğin tabana yayılmasını hızlandırmak, sigorta bilincini ve farkındalığını artırmak</w:t>
            </w:r>
            <w:r w:rsidR="003B1638">
              <w:rPr>
                <w:rFonts w:ascii="Century" w:eastAsia="Times New Roman" w:hAnsi="Century"/>
                <w:color w:val="auto"/>
                <w:sz w:val="21"/>
                <w:szCs w:val="21"/>
                <w:lang w:val="tr-TR"/>
              </w:rPr>
              <w:t>,</w:t>
            </w:r>
            <w:r w:rsidRPr="006B4F3C">
              <w:rPr>
                <w:rFonts w:ascii="Century" w:eastAsia="Times New Roman" w:hAnsi="Century"/>
                <w:color w:val="auto"/>
                <w:sz w:val="21"/>
                <w:szCs w:val="21"/>
                <w:lang w:val="tr-TR"/>
              </w:rPr>
              <w:t xml:space="preserve"> adil piyasa uygulamalarını teşvik ederek sisteme girişi kolay ve güvenli hale getirmektir. Bu amaçla </w:t>
            </w:r>
            <w:r w:rsidRPr="006B4F3C">
              <w:rPr>
                <w:rFonts w:ascii="Century" w:eastAsia="Times New Roman" w:hAnsi="Century"/>
                <w:color w:val="auto"/>
                <w:sz w:val="21"/>
                <w:szCs w:val="21"/>
                <w:lang w:val="tr-TR"/>
              </w:rPr>
              <w:lastRenderedPageBreak/>
              <w:t>yapılan çalışmalar devam etmekte olup yıl içinde de sigorta tabanının genişletilmesi amacıyla katılım sigortacılığı uygulanmaya başlanmış, yeni bir finansman kaynağı yaratmak amacıyla da kefalet sigortasına yönelik yapılan önemli bazı düzenlemeler de yürürlüğe konulmuştur.</w:t>
            </w:r>
          </w:p>
          <w:p w:rsidR="006D748E" w:rsidRPr="006B4F3C" w:rsidRDefault="006D748E" w:rsidP="00B976EA">
            <w:pPr>
              <w:pStyle w:val="Default"/>
              <w:spacing w:line="256" w:lineRule="auto"/>
              <w:jc w:val="both"/>
              <w:rPr>
                <w:rFonts w:ascii="Century" w:eastAsia="Times New Roman" w:hAnsi="Century"/>
                <w:color w:val="auto"/>
                <w:sz w:val="21"/>
                <w:szCs w:val="21"/>
                <w:lang w:val="tr-TR"/>
              </w:rPr>
            </w:pPr>
          </w:p>
          <w:p w:rsidR="006D748E" w:rsidRPr="006B4F3C" w:rsidRDefault="006D748E" w:rsidP="00B976EA">
            <w:pPr>
              <w:spacing w:line="256" w:lineRule="auto"/>
              <w:jc w:val="both"/>
              <w:rPr>
                <w:rFonts w:ascii="Century" w:hAnsi="Century"/>
                <w:sz w:val="21"/>
                <w:szCs w:val="21"/>
                <w:lang w:val="tr-TR"/>
              </w:rPr>
            </w:pPr>
            <w:r w:rsidRPr="006B4F3C">
              <w:rPr>
                <w:rFonts w:ascii="Century" w:hAnsi="Century"/>
                <w:sz w:val="21"/>
                <w:szCs w:val="21"/>
                <w:lang w:val="tr-TR"/>
              </w:rPr>
              <w:t xml:space="preserve">Bu kapsamda, ülkemizde sigortacılık ve bireysel emeklilik sektörlerinin büyüme </w:t>
            </w:r>
            <w:proofErr w:type="gramStart"/>
            <w:r w:rsidRPr="006B4F3C">
              <w:rPr>
                <w:rFonts w:ascii="Century" w:hAnsi="Century"/>
                <w:sz w:val="21"/>
                <w:szCs w:val="21"/>
                <w:lang w:val="tr-TR"/>
              </w:rPr>
              <w:t>trendlerinin</w:t>
            </w:r>
            <w:proofErr w:type="gramEnd"/>
            <w:r w:rsidRPr="006B4F3C">
              <w:rPr>
                <w:rFonts w:ascii="Century" w:hAnsi="Century"/>
                <w:sz w:val="21"/>
                <w:szCs w:val="21"/>
                <w:lang w:val="tr-TR"/>
              </w:rPr>
              <w:t xml:space="preserve"> istikrarlı bir şekilde devam etmesini ve yakın bir gelecekte her iki sektörün de finansal sistem içinde hak ettiği büyüklüğe ulaşmasını beklemekteyiz. Bu düşüncelerle, Raporun hazırlanmasında emeği geçen tüm mesai arkadaşlarıma teşekkür eder ve Raporun tüm kullanıcılar için faydalı olmasını temenni ederim. </w:t>
            </w:r>
          </w:p>
          <w:p w:rsidR="006D748E" w:rsidRPr="00B10D90" w:rsidRDefault="006D748E" w:rsidP="00B976EA">
            <w:pPr>
              <w:spacing w:line="256" w:lineRule="auto"/>
              <w:jc w:val="both"/>
              <w:rPr>
                <w:rFonts w:ascii="Century" w:hAnsi="Century"/>
                <w:sz w:val="21"/>
                <w:szCs w:val="21"/>
                <w:highlight w:val="yellow"/>
                <w:lang w:val="tr-TR"/>
              </w:rPr>
            </w:pPr>
          </w:p>
          <w:p w:rsidR="00CB12D6" w:rsidRDefault="00CB12D6" w:rsidP="00A92B6E">
            <w:pPr>
              <w:spacing w:line="256" w:lineRule="auto"/>
              <w:jc w:val="both"/>
              <w:rPr>
                <w:rFonts w:ascii="Century" w:hAnsi="Century"/>
                <w:sz w:val="21"/>
                <w:szCs w:val="21"/>
                <w:lang w:val="tr-TR"/>
              </w:rPr>
            </w:pPr>
          </w:p>
          <w:p w:rsidR="00A92B6E" w:rsidRDefault="00A92B6E" w:rsidP="00A92B6E">
            <w:pPr>
              <w:spacing w:line="256" w:lineRule="auto"/>
              <w:jc w:val="both"/>
              <w:rPr>
                <w:rFonts w:ascii="Century" w:hAnsi="Century"/>
                <w:sz w:val="21"/>
                <w:szCs w:val="21"/>
                <w:lang w:val="tr-TR"/>
              </w:rPr>
            </w:pPr>
            <w:r>
              <w:rPr>
                <w:rFonts w:ascii="Century" w:hAnsi="Century"/>
                <w:sz w:val="21"/>
                <w:szCs w:val="21"/>
                <w:lang w:val="tr-TR"/>
              </w:rPr>
              <w:t>Bülent AKSU</w:t>
            </w:r>
          </w:p>
          <w:p w:rsidR="00A92B6E" w:rsidRPr="00D56EF2" w:rsidRDefault="00A92B6E" w:rsidP="00A92B6E">
            <w:pPr>
              <w:spacing w:line="256" w:lineRule="auto"/>
              <w:jc w:val="both"/>
              <w:rPr>
                <w:rFonts w:ascii="Century" w:hAnsi="Century"/>
                <w:sz w:val="21"/>
                <w:szCs w:val="21"/>
                <w:lang w:val="tr-TR"/>
              </w:rPr>
            </w:pPr>
            <w:r>
              <w:rPr>
                <w:rFonts w:ascii="Century" w:hAnsi="Century"/>
                <w:sz w:val="21"/>
                <w:szCs w:val="21"/>
                <w:lang w:val="tr-TR"/>
              </w:rPr>
              <w:t>Bakan Yardımcısı</w:t>
            </w:r>
          </w:p>
          <w:p w:rsidR="006D748E" w:rsidRPr="00B10D90" w:rsidRDefault="00A92B6E" w:rsidP="00A92B6E">
            <w:pPr>
              <w:spacing w:line="256" w:lineRule="auto"/>
              <w:jc w:val="both"/>
              <w:rPr>
                <w:rFonts w:ascii="Century" w:hAnsi="Century"/>
                <w:sz w:val="21"/>
                <w:szCs w:val="21"/>
                <w:highlight w:val="yellow"/>
                <w:lang w:val="tr-TR"/>
              </w:rPr>
            </w:pPr>
            <w:r>
              <w:rPr>
                <w:rFonts w:ascii="Century" w:hAnsi="Century"/>
                <w:sz w:val="21"/>
                <w:szCs w:val="21"/>
                <w:lang w:val="tr-TR"/>
              </w:rPr>
              <w:t>Hazine ve Maliye Bakanlığı</w:t>
            </w:r>
          </w:p>
        </w:tc>
        <w:tc>
          <w:tcPr>
            <w:tcW w:w="236" w:type="dxa"/>
          </w:tcPr>
          <w:p w:rsidR="006D748E" w:rsidRPr="00B10D90" w:rsidRDefault="006D748E" w:rsidP="00B976EA">
            <w:pPr>
              <w:spacing w:line="256" w:lineRule="auto"/>
              <w:rPr>
                <w:rFonts w:ascii="Century" w:hAnsi="Century"/>
                <w:sz w:val="21"/>
                <w:szCs w:val="21"/>
                <w:highlight w:val="yellow"/>
              </w:rPr>
            </w:pPr>
          </w:p>
        </w:tc>
        <w:tc>
          <w:tcPr>
            <w:tcW w:w="4804" w:type="dxa"/>
          </w:tcPr>
          <w:p w:rsidR="006D748E" w:rsidRPr="006B605D" w:rsidRDefault="006D748E" w:rsidP="00B976EA">
            <w:pPr>
              <w:jc w:val="center"/>
              <w:rPr>
                <w:rFonts w:ascii="Century" w:hAnsi="Century"/>
                <w:b/>
                <w:color w:val="003366"/>
                <w:sz w:val="21"/>
                <w:szCs w:val="21"/>
              </w:rPr>
            </w:pPr>
            <w:r w:rsidRPr="006B605D">
              <w:rPr>
                <w:rFonts w:ascii="Century" w:hAnsi="Century"/>
                <w:b/>
                <w:color w:val="003366"/>
                <w:sz w:val="21"/>
                <w:szCs w:val="21"/>
              </w:rPr>
              <w:t>PREFACE</w:t>
            </w:r>
          </w:p>
          <w:p w:rsidR="006D748E" w:rsidRPr="006B605D" w:rsidRDefault="006D748E" w:rsidP="00B976EA">
            <w:pPr>
              <w:spacing w:line="256" w:lineRule="auto"/>
              <w:jc w:val="both"/>
              <w:rPr>
                <w:rFonts w:ascii="Century" w:hAnsi="Century"/>
                <w:color w:val="333333"/>
                <w:sz w:val="21"/>
                <w:szCs w:val="21"/>
              </w:rPr>
            </w:pPr>
          </w:p>
          <w:p w:rsidR="006D748E" w:rsidRPr="00B10D90" w:rsidRDefault="006D748E" w:rsidP="00B976EA">
            <w:pPr>
              <w:spacing w:line="256" w:lineRule="auto"/>
              <w:jc w:val="both"/>
              <w:rPr>
                <w:rFonts w:ascii="Century" w:hAnsi="Century"/>
                <w:color w:val="333333"/>
                <w:sz w:val="21"/>
                <w:szCs w:val="21"/>
                <w:highlight w:val="yellow"/>
              </w:rPr>
            </w:pPr>
            <w:r w:rsidRPr="00085B64">
              <w:rPr>
                <w:rFonts w:ascii="Century" w:hAnsi="Century"/>
                <w:color w:val="333333"/>
                <w:sz w:val="21"/>
                <w:szCs w:val="21"/>
              </w:rPr>
              <w:t>The yea</w:t>
            </w:r>
            <w:r w:rsidR="006B605D" w:rsidRPr="00085B64">
              <w:rPr>
                <w:rFonts w:ascii="Century" w:hAnsi="Century"/>
                <w:color w:val="333333"/>
                <w:sz w:val="21"/>
                <w:szCs w:val="21"/>
              </w:rPr>
              <w:t>r of 2018</w:t>
            </w:r>
            <w:r w:rsidR="007C6F82" w:rsidRPr="00085B64">
              <w:rPr>
                <w:rFonts w:ascii="Century" w:hAnsi="Century"/>
                <w:color w:val="333333"/>
                <w:sz w:val="21"/>
                <w:szCs w:val="21"/>
              </w:rPr>
              <w:t xml:space="preserve"> has been an important </w:t>
            </w:r>
            <w:r w:rsidRPr="00085B64">
              <w:rPr>
                <w:rFonts w:ascii="Century" w:hAnsi="Century"/>
                <w:color w:val="333333"/>
                <w:sz w:val="21"/>
                <w:szCs w:val="21"/>
              </w:rPr>
              <w:t xml:space="preserve">year sustaining its stability for insurance and private pension sectors. </w:t>
            </w:r>
            <w:r w:rsidRPr="006B605D">
              <w:rPr>
                <w:rFonts w:ascii="Century" w:hAnsi="Century"/>
                <w:color w:val="333333"/>
                <w:sz w:val="21"/>
                <w:szCs w:val="21"/>
              </w:rPr>
              <w:t xml:space="preserve">During the year, the insurance sector has achieved </w:t>
            </w:r>
            <w:r w:rsidRPr="006B605D">
              <w:rPr>
                <w:rFonts w:ascii="AbakuTLSymSans" w:hAnsi="AbakuTLSymSans"/>
                <w:color w:val="333333"/>
                <w:sz w:val="21"/>
                <w:szCs w:val="21"/>
              </w:rPr>
              <w:t>¨</w:t>
            </w:r>
            <w:r w:rsidR="006B605D" w:rsidRPr="006B605D">
              <w:rPr>
                <w:rFonts w:ascii="Century" w:hAnsi="Century"/>
                <w:color w:val="333333"/>
                <w:sz w:val="21"/>
                <w:szCs w:val="21"/>
              </w:rPr>
              <w:t>54</w:t>
            </w:r>
            <w:r w:rsidRPr="006B605D">
              <w:rPr>
                <w:rFonts w:ascii="Century" w:hAnsi="Century"/>
                <w:color w:val="333333"/>
                <w:sz w:val="21"/>
                <w:szCs w:val="21"/>
              </w:rPr>
              <w:t xml:space="preserve">.6 </w:t>
            </w:r>
            <w:r w:rsidR="006B605D" w:rsidRPr="006B605D">
              <w:rPr>
                <w:rFonts w:ascii="Century" w:hAnsi="Century"/>
                <w:color w:val="333333"/>
                <w:sz w:val="21"/>
                <w:szCs w:val="21"/>
              </w:rPr>
              <w:t>billion gross premiums with a 17</w:t>
            </w:r>
            <w:r w:rsidRPr="006B605D">
              <w:rPr>
                <w:rFonts w:ascii="Century" w:hAnsi="Century"/>
                <w:color w:val="333333"/>
                <w:sz w:val="21"/>
                <w:szCs w:val="21"/>
              </w:rPr>
              <w:t xml:space="preserve">% </w:t>
            </w:r>
            <w:r w:rsidR="006B605D" w:rsidRPr="006B605D">
              <w:rPr>
                <w:rFonts w:ascii="Century" w:hAnsi="Century"/>
                <w:color w:val="333333"/>
                <w:sz w:val="21"/>
                <w:szCs w:val="21"/>
              </w:rPr>
              <w:t xml:space="preserve">increase in </w:t>
            </w:r>
            <w:r w:rsidR="006B605D" w:rsidRPr="00D8354D">
              <w:rPr>
                <w:rFonts w:ascii="Century" w:hAnsi="Century"/>
                <w:color w:val="333333"/>
                <w:sz w:val="21"/>
                <w:szCs w:val="21"/>
              </w:rPr>
              <w:t>nominal term</w:t>
            </w:r>
            <w:r w:rsidR="00CB12D6">
              <w:rPr>
                <w:rFonts w:ascii="Century" w:hAnsi="Century"/>
                <w:color w:val="333333"/>
                <w:sz w:val="21"/>
                <w:szCs w:val="21"/>
              </w:rPr>
              <w:t>.</w:t>
            </w:r>
            <w:r w:rsidR="006B605D" w:rsidRPr="00D8354D">
              <w:rPr>
                <w:rFonts w:ascii="Century" w:hAnsi="Century"/>
                <w:color w:val="333333"/>
                <w:sz w:val="21"/>
                <w:szCs w:val="21"/>
              </w:rPr>
              <w:t xml:space="preserve"> </w:t>
            </w:r>
            <w:r w:rsidR="00D8354D" w:rsidRPr="00D8354D">
              <w:rPr>
                <w:rFonts w:ascii="Century" w:hAnsi="Century"/>
                <w:color w:val="333333"/>
                <w:sz w:val="21"/>
                <w:szCs w:val="21"/>
              </w:rPr>
              <w:t>The Sector has issued 85.9</w:t>
            </w:r>
            <w:r w:rsidRPr="00D8354D">
              <w:rPr>
                <w:rFonts w:ascii="Century" w:hAnsi="Century"/>
                <w:color w:val="333333"/>
                <w:sz w:val="21"/>
                <w:szCs w:val="21"/>
              </w:rPr>
              <w:t xml:space="preserve"> million of policies and provided </w:t>
            </w:r>
            <w:r w:rsidRPr="00D8354D">
              <w:rPr>
                <w:rFonts w:ascii="AbakuTLSymSans" w:hAnsi="AbakuTLSymSans"/>
                <w:color w:val="333333"/>
                <w:sz w:val="21"/>
                <w:szCs w:val="21"/>
              </w:rPr>
              <w:t>¨</w:t>
            </w:r>
            <w:r w:rsidR="00D8354D" w:rsidRPr="00D8354D">
              <w:rPr>
                <w:rFonts w:ascii="Century" w:hAnsi="Century"/>
                <w:color w:val="333333"/>
                <w:sz w:val="21"/>
                <w:szCs w:val="21"/>
              </w:rPr>
              <w:t>126.9</w:t>
            </w:r>
            <w:r w:rsidRPr="00D8354D">
              <w:rPr>
                <w:rFonts w:ascii="Century" w:hAnsi="Century"/>
                <w:color w:val="333333"/>
                <w:sz w:val="21"/>
                <w:szCs w:val="21"/>
              </w:rPr>
              <w:t xml:space="preserve"> trillion of total coverage in return for premium during the year.</w:t>
            </w:r>
            <w:r w:rsidR="00D8354D" w:rsidRPr="00D8354D">
              <w:rPr>
                <w:rFonts w:ascii="Century" w:hAnsi="Century"/>
                <w:color w:val="333333"/>
                <w:sz w:val="21"/>
                <w:szCs w:val="21"/>
              </w:rPr>
              <w:t xml:space="preserve"> The sum of coverage is about 34</w:t>
            </w:r>
            <w:r w:rsidRPr="00D8354D">
              <w:rPr>
                <w:rFonts w:ascii="Century" w:hAnsi="Century"/>
                <w:color w:val="333333"/>
                <w:sz w:val="21"/>
                <w:szCs w:val="21"/>
              </w:rPr>
              <w:t xml:space="preserve"> times higher than the GDP and indicates the importance of the Sector for the Turkish economy and a steady growth. </w:t>
            </w:r>
          </w:p>
          <w:p w:rsidR="006D748E" w:rsidRDefault="006D748E" w:rsidP="00B976EA">
            <w:pPr>
              <w:spacing w:line="256" w:lineRule="auto"/>
              <w:jc w:val="both"/>
              <w:rPr>
                <w:rFonts w:ascii="Century" w:hAnsi="Century"/>
                <w:color w:val="333333"/>
                <w:sz w:val="21"/>
                <w:szCs w:val="21"/>
                <w:highlight w:val="yellow"/>
              </w:rPr>
            </w:pPr>
          </w:p>
          <w:p w:rsidR="003F3F50" w:rsidRPr="00B10D90" w:rsidRDefault="003F3F50" w:rsidP="00B976EA">
            <w:pPr>
              <w:spacing w:line="256" w:lineRule="auto"/>
              <w:jc w:val="both"/>
              <w:rPr>
                <w:rFonts w:ascii="Century" w:hAnsi="Century"/>
                <w:color w:val="333333"/>
                <w:sz w:val="21"/>
                <w:szCs w:val="21"/>
                <w:highlight w:val="yellow"/>
              </w:rPr>
            </w:pPr>
          </w:p>
          <w:p w:rsidR="006D748E" w:rsidRPr="00614E0E" w:rsidRDefault="006D748E" w:rsidP="00B976EA">
            <w:pPr>
              <w:spacing w:line="256" w:lineRule="auto"/>
              <w:jc w:val="both"/>
              <w:rPr>
                <w:rFonts w:ascii="Century" w:hAnsi="Century"/>
                <w:color w:val="333333"/>
                <w:sz w:val="21"/>
                <w:szCs w:val="21"/>
              </w:rPr>
            </w:pPr>
            <w:r w:rsidRPr="00A672FC">
              <w:rPr>
                <w:rFonts w:ascii="Century" w:hAnsi="Century"/>
                <w:color w:val="333333"/>
                <w:sz w:val="21"/>
                <w:szCs w:val="21"/>
              </w:rPr>
              <w:t>The private pension system has also continued the growing trend in 201</w:t>
            </w:r>
            <w:r w:rsidR="00A672FC" w:rsidRPr="00A672FC">
              <w:rPr>
                <w:rFonts w:ascii="Century" w:hAnsi="Century"/>
                <w:color w:val="333333"/>
                <w:sz w:val="21"/>
                <w:szCs w:val="21"/>
              </w:rPr>
              <w:t>8</w:t>
            </w:r>
            <w:r w:rsidRPr="00A672FC">
              <w:rPr>
                <w:rFonts w:ascii="Century" w:hAnsi="Century"/>
                <w:color w:val="333333"/>
                <w:sz w:val="21"/>
                <w:szCs w:val="21"/>
              </w:rPr>
              <w:t>, in which started with the state contribution in 2013. During the year, t</w:t>
            </w:r>
            <w:r w:rsidR="00A672FC" w:rsidRPr="00A672FC">
              <w:rPr>
                <w:rFonts w:ascii="Century" w:hAnsi="Century"/>
                <w:color w:val="333333"/>
                <w:sz w:val="21"/>
                <w:szCs w:val="21"/>
              </w:rPr>
              <w:t>he number of participants has</w:t>
            </w:r>
            <w:r w:rsidRPr="00A672FC">
              <w:rPr>
                <w:rFonts w:ascii="Century" w:hAnsi="Century"/>
                <w:color w:val="333333"/>
                <w:sz w:val="21"/>
                <w:szCs w:val="21"/>
              </w:rPr>
              <w:t xml:space="preserve"> reached to 6.9 million, and the fund amount of participants has increased to </w:t>
            </w:r>
            <w:r w:rsidRPr="00A672FC">
              <w:rPr>
                <w:rFonts w:ascii="AbakuTLSymSans" w:hAnsi="AbakuTLSymSans"/>
                <w:color w:val="333333"/>
                <w:sz w:val="21"/>
                <w:szCs w:val="21"/>
              </w:rPr>
              <w:t>¨</w:t>
            </w:r>
            <w:r w:rsidR="00A672FC" w:rsidRPr="00A672FC">
              <w:rPr>
                <w:rFonts w:ascii="Century" w:hAnsi="Century"/>
                <w:color w:val="333333"/>
                <w:sz w:val="21"/>
                <w:szCs w:val="21"/>
              </w:rPr>
              <w:t>88.4</w:t>
            </w:r>
            <w:r w:rsidRPr="00A672FC">
              <w:rPr>
                <w:rFonts w:ascii="Century" w:hAnsi="Century"/>
                <w:color w:val="333333"/>
                <w:sz w:val="21"/>
                <w:szCs w:val="21"/>
              </w:rPr>
              <w:t xml:space="preserve"> billion including the state contribution. In addition, auto enrollment in the private pension system come into f</w:t>
            </w:r>
            <w:r w:rsidRPr="00A672FC">
              <w:rPr>
                <w:rFonts w:ascii="Century" w:hAnsi="Century"/>
                <w:color w:val="000000" w:themeColor="text1"/>
                <w:sz w:val="21"/>
                <w:szCs w:val="21"/>
              </w:rPr>
              <w:t xml:space="preserve">orce as of January 1, 2017, </w:t>
            </w:r>
            <w:r w:rsidRPr="00A672FC">
              <w:rPr>
                <w:rFonts w:ascii="Century" w:hAnsi="Century"/>
                <w:color w:val="333333"/>
                <w:sz w:val="21"/>
                <w:szCs w:val="21"/>
              </w:rPr>
              <w:t xml:space="preserve">which has a purpose of rising the mid and long-term domestic saving rates and enhancing the </w:t>
            </w:r>
            <w:r w:rsidRPr="00614E0E">
              <w:rPr>
                <w:rFonts w:ascii="Century" w:hAnsi="Century"/>
                <w:color w:val="333333"/>
                <w:sz w:val="21"/>
                <w:szCs w:val="21"/>
              </w:rPr>
              <w:t>welfare of employees during the retirement period. By the end of 201</w:t>
            </w:r>
            <w:r w:rsidR="00614E0E" w:rsidRPr="00614E0E">
              <w:rPr>
                <w:rFonts w:ascii="Century" w:hAnsi="Century"/>
                <w:color w:val="333333"/>
                <w:sz w:val="21"/>
                <w:szCs w:val="21"/>
              </w:rPr>
              <w:t>8</w:t>
            </w:r>
            <w:r w:rsidRPr="00614E0E">
              <w:rPr>
                <w:rFonts w:ascii="Century" w:hAnsi="Century"/>
                <w:color w:val="333333"/>
                <w:sz w:val="21"/>
                <w:szCs w:val="21"/>
              </w:rPr>
              <w:t xml:space="preserve">, </w:t>
            </w:r>
            <w:r w:rsidR="00614E0E" w:rsidRPr="00614E0E">
              <w:rPr>
                <w:rFonts w:ascii="Century" w:hAnsi="Century"/>
                <w:color w:val="333333"/>
                <w:sz w:val="21"/>
                <w:szCs w:val="21"/>
              </w:rPr>
              <w:t>5</w:t>
            </w:r>
            <w:r w:rsidRPr="00614E0E">
              <w:rPr>
                <w:rFonts w:ascii="Century" w:hAnsi="Century"/>
                <w:color w:val="333333"/>
                <w:sz w:val="21"/>
                <w:szCs w:val="21"/>
              </w:rPr>
              <w:t>.</w:t>
            </w:r>
            <w:r w:rsidR="00614E0E" w:rsidRPr="00614E0E">
              <w:rPr>
                <w:rFonts w:ascii="Century" w:hAnsi="Century"/>
                <w:color w:val="333333"/>
                <w:sz w:val="21"/>
                <w:szCs w:val="21"/>
              </w:rPr>
              <w:t>0</w:t>
            </w:r>
            <w:r w:rsidRPr="00614E0E">
              <w:rPr>
                <w:rFonts w:ascii="Century" w:hAnsi="Century"/>
                <w:color w:val="333333"/>
                <w:sz w:val="21"/>
                <w:szCs w:val="21"/>
              </w:rPr>
              <w:t xml:space="preserve"> million employees were participated and total funds reached to </w:t>
            </w:r>
            <w:r w:rsidRPr="00614E0E">
              <w:rPr>
                <w:rFonts w:ascii="AbakuTLSymSans" w:hAnsi="AbakuTLSymSans"/>
                <w:color w:val="333333"/>
                <w:sz w:val="21"/>
                <w:szCs w:val="21"/>
              </w:rPr>
              <w:t>¨</w:t>
            </w:r>
            <w:r w:rsidR="00614E0E" w:rsidRPr="00614E0E">
              <w:rPr>
                <w:rFonts w:ascii="Century" w:hAnsi="Century"/>
                <w:color w:val="333333"/>
                <w:sz w:val="21"/>
                <w:szCs w:val="21"/>
              </w:rPr>
              <w:t>4</w:t>
            </w:r>
            <w:r w:rsidRPr="00614E0E">
              <w:rPr>
                <w:rFonts w:ascii="Century" w:hAnsi="Century"/>
                <w:color w:val="333333"/>
                <w:sz w:val="21"/>
                <w:szCs w:val="21"/>
              </w:rPr>
              <w:t>.</w:t>
            </w:r>
            <w:r w:rsidR="00614E0E" w:rsidRPr="00614E0E">
              <w:rPr>
                <w:rFonts w:ascii="Century" w:hAnsi="Century"/>
                <w:color w:val="333333"/>
                <w:sz w:val="21"/>
                <w:szCs w:val="21"/>
              </w:rPr>
              <w:t>7</w:t>
            </w:r>
            <w:r w:rsidRPr="00614E0E">
              <w:rPr>
                <w:rFonts w:ascii="Century" w:hAnsi="Century"/>
                <w:color w:val="333333"/>
                <w:sz w:val="21"/>
                <w:szCs w:val="21"/>
              </w:rPr>
              <w:t xml:space="preserve"> billion in auto enrollment system.</w:t>
            </w:r>
          </w:p>
          <w:p w:rsidR="0060553D" w:rsidRPr="00B10D90" w:rsidRDefault="0060553D" w:rsidP="00B976EA">
            <w:pPr>
              <w:spacing w:line="256" w:lineRule="auto"/>
              <w:jc w:val="both"/>
              <w:rPr>
                <w:rFonts w:ascii="Century" w:hAnsi="Century"/>
                <w:sz w:val="21"/>
                <w:szCs w:val="21"/>
                <w:highlight w:val="yellow"/>
                <w:lang w:val="tr-TR"/>
              </w:rPr>
            </w:pPr>
          </w:p>
          <w:p w:rsidR="006D748E" w:rsidRPr="00944B69" w:rsidRDefault="006D748E" w:rsidP="00B976EA">
            <w:pPr>
              <w:spacing w:line="256" w:lineRule="auto"/>
              <w:jc w:val="both"/>
              <w:rPr>
                <w:rFonts w:ascii="Century" w:hAnsi="Century"/>
                <w:color w:val="333333"/>
                <w:sz w:val="21"/>
                <w:szCs w:val="21"/>
              </w:rPr>
            </w:pPr>
            <w:r w:rsidRPr="00944B69">
              <w:rPr>
                <w:rFonts w:ascii="Century" w:hAnsi="Century"/>
                <w:color w:val="333333"/>
                <w:sz w:val="21"/>
                <w:szCs w:val="21"/>
              </w:rPr>
              <w:t xml:space="preserve">The insurance and private pension sectors have been maintaining its financial soundness while growing rapidly. </w:t>
            </w:r>
            <w:r w:rsidR="00542223" w:rsidRPr="00614E0E">
              <w:rPr>
                <w:rFonts w:ascii="Century" w:hAnsi="Century"/>
                <w:color w:val="333333"/>
                <w:sz w:val="21"/>
                <w:szCs w:val="21"/>
              </w:rPr>
              <w:t xml:space="preserve">By the end of 2018, </w:t>
            </w:r>
            <w:r w:rsidR="00542223">
              <w:rPr>
                <w:rFonts w:ascii="Century" w:hAnsi="Century"/>
                <w:color w:val="333333"/>
                <w:sz w:val="21"/>
                <w:szCs w:val="21"/>
              </w:rPr>
              <w:t>t</w:t>
            </w:r>
            <w:r w:rsidRPr="00944B69">
              <w:rPr>
                <w:rFonts w:ascii="Century" w:hAnsi="Century"/>
                <w:color w:val="333333"/>
                <w:sz w:val="21"/>
                <w:szCs w:val="21"/>
              </w:rPr>
              <w:t>he solvency ratios of life/pension and non-life insurance companies have been realized as 3</w:t>
            </w:r>
            <w:r w:rsidR="00944B69" w:rsidRPr="00944B69">
              <w:rPr>
                <w:rFonts w:ascii="Century" w:hAnsi="Century"/>
                <w:color w:val="333333"/>
                <w:sz w:val="21"/>
                <w:szCs w:val="21"/>
              </w:rPr>
              <w:t>36% and 143</w:t>
            </w:r>
            <w:r w:rsidRPr="00944B69">
              <w:rPr>
                <w:rFonts w:ascii="Century" w:hAnsi="Century"/>
                <w:color w:val="333333"/>
                <w:sz w:val="21"/>
                <w:szCs w:val="21"/>
              </w:rPr>
              <w:t xml:space="preserve">%, respectively. These ratios demonstrate that the insurance and pension companies are solvent and have the ability to meet their liabilities. </w:t>
            </w:r>
          </w:p>
          <w:p w:rsidR="006D748E" w:rsidRPr="00B10D90" w:rsidRDefault="006D748E" w:rsidP="00B976EA">
            <w:pPr>
              <w:spacing w:line="256" w:lineRule="auto"/>
              <w:jc w:val="both"/>
              <w:rPr>
                <w:rFonts w:ascii="Century" w:hAnsi="Century"/>
                <w:color w:val="333333"/>
                <w:sz w:val="21"/>
                <w:szCs w:val="21"/>
                <w:highlight w:val="yellow"/>
              </w:rPr>
            </w:pPr>
          </w:p>
          <w:p w:rsidR="006D748E" w:rsidRPr="00A14141" w:rsidRDefault="006D748E" w:rsidP="00B976EA">
            <w:pPr>
              <w:spacing w:line="256" w:lineRule="auto"/>
              <w:jc w:val="both"/>
              <w:rPr>
                <w:rFonts w:ascii="Century" w:hAnsi="Century"/>
                <w:color w:val="333333"/>
                <w:sz w:val="14"/>
                <w:szCs w:val="14"/>
                <w:highlight w:val="yellow"/>
                <w:vertAlign w:val="subscript"/>
              </w:rPr>
            </w:pPr>
          </w:p>
          <w:p w:rsidR="006D748E" w:rsidRPr="006B4F3C" w:rsidRDefault="00542223" w:rsidP="00B976EA">
            <w:pPr>
              <w:jc w:val="both"/>
            </w:pPr>
            <w:r>
              <w:rPr>
                <w:rFonts w:ascii="Century" w:hAnsi="Century"/>
                <w:color w:val="333333"/>
                <w:sz w:val="21"/>
                <w:szCs w:val="21"/>
              </w:rPr>
              <w:t xml:space="preserve">Our institutions </w:t>
            </w:r>
            <w:r w:rsidR="006D748E" w:rsidRPr="006B4F3C">
              <w:rPr>
                <w:rFonts w:ascii="Century" w:hAnsi="Century"/>
                <w:color w:val="333333"/>
                <w:sz w:val="21"/>
                <w:szCs w:val="21"/>
              </w:rPr>
              <w:t>primary goal</w:t>
            </w:r>
            <w:r>
              <w:rPr>
                <w:rFonts w:ascii="Century" w:hAnsi="Century"/>
                <w:color w:val="333333"/>
                <w:sz w:val="21"/>
                <w:szCs w:val="21"/>
              </w:rPr>
              <w:t>s</w:t>
            </w:r>
            <w:r w:rsidR="006D748E" w:rsidRPr="006B4F3C">
              <w:rPr>
                <w:rFonts w:ascii="Century" w:hAnsi="Century"/>
                <w:color w:val="333333"/>
                <w:sz w:val="21"/>
                <w:szCs w:val="21"/>
              </w:rPr>
              <w:t xml:space="preserve"> </w:t>
            </w:r>
            <w:r>
              <w:rPr>
                <w:rFonts w:ascii="Century" w:hAnsi="Century"/>
                <w:color w:val="333333"/>
                <w:sz w:val="21"/>
                <w:szCs w:val="21"/>
              </w:rPr>
              <w:t xml:space="preserve">are </w:t>
            </w:r>
            <w:r w:rsidR="006D748E" w:rsidRPr="006B4F3C">
              <w:rPr>
                <w:rFonts w:ascii="Century" w:hAnsi="Century"/>
                <w:color w:val="333333"/>
                <w:sz w:val="21"/>
                <w:szCs w:val="21"/>
              </w:rPr>
              <w:t>protecting the right and benefits of policyholders, increas</w:t>
            </w:r>
            <w:r w:rsidR="003B1638">
              <w:rPr>
                <w:rFonts w:ascii="Century" w:hAnsi="Century"/>
                <w:color w:val="333333"/>
                <w:sz w:val="21"/>
                <w:szCs w:val="21"/>
              </w:rPr>
              <w:t>ing the penetration level, raising</w:t>
            </w:r>
            <w:r w:rsidR="006D748E" w:rsidRPr="006B4F3C">
              <w:rPr>
                <w:rFonts w:ascii="Century" w:hAnsi="Century"/>
                <w:color w:val="333333"/>
                <w:sz w:val="21"/>
                <w:szCs w:val="21"/>
              </w:rPr>
              <w:t xml:space="preserve"> public awa</w:t>
            </w:r>
            <w:r>
              <w:rPr>
                <w:rFonts w:ascii="Century" w:hAnsi="Century"/>
                <w:color w:val="333333"/>
                <w:sz w:val="21"/>
                <w:szCs w:val="21"/>
              </w:rPr>
              <w:t>reness and financial inclusion</w:t>
            </w:r>
            <w:r w:rsidR="003B1638">
              <w:rPr>
                <w:rFonts w:ascii="Century" w:hAnsi="Century"/>
                <w:color w:val="333333"/>
                <w:sz w:val="21"/>
                <w:szCs w:val="21"/>
              </w:rPr>
              <w:t>,</w:t>
            </w:r>
            <w:r>
              <w:rPr>
                <w:rFonts w:ascii="Century" w:hAnsi="Century"/>
                <w:color w:val="333333"/>
                <w:sz w:val="21"/>
                <w:szCs w:val="21"/>
              </w:rPr>
              <w:t xml:space="preserve"> </w:t>
            </w:r>
            <w:r w:rsidR="006D748E" w:rsidRPr="006B4F3C">
              <w:rPr>
                <w:rFonts w:ascii="Century" w:hAnsi="Century"/>
                <w:color w:val="333333"/>
                <w:sz w:val="21"/>
                <w:szCs w:val="21"/>
              </w:rPr>
              <w:t>enabl</w:t>
            </w:r>
            <w:r w:rsidR="003B1638">
              <w:rPr>
                <w:rFonts w:ascii="Century" w:hAnsi="Century"/>
                <w:color w:val="333333"/>
                <w:sz w:val="21"/>
                <w:szCs w:val="21"/>
              </w:rPr>
              <w:t>ing</w:t>
            </w:r>
            <w:r w:rsidR="006D748E" w:rsidRPr="006B4F3C">
              <w:rPr>
                <w:rFonts w:ascii="Century" w:hAnsi="Century"/>
                <w:color w:val="333333"/>
                <w:sz w:val="21"/>
                <w:szCs w:val="21"/>
              </w:rPr>
              <w:t xml:space="preserve"> people to buy insurance and pension products easily and safely</w:t>
            </w:r>
            <w:r>
              <w:rPr>
                <w:rFonts w:ascii="Century" w:hAnsi="Century"/>
                <w:color w:val="333333"/>
                <w:sz w:val="21"/>
                <w:szCs w:val="21"/>
              </w:rPr>
              <w:t xml:space="preserve"> with encouraging </w:t>
            </w:r>
            <w:r w:rsidRPr="006B4F3C">
              <w:rPr>
                <w:rFonts w:ascii="Century" w:hAnsi="Century"/>
                <w:color w:val="333333"/>
                <w:sz w:val="21"/>
                <w:szCs w:val="21"/>
              </w:rPr>
              <w:t>fair market practices</w:t>
            </w:r>
            <w:r w:rsidR="003B1638">
              <w:rPr>
                <w:rFonts w:ascii="Century" w:hAnsi="Century"/>
                <w:color w:val="333333"/>
                <w:sz w:val="21"/>
                <w:szCs w:val="21"/>
              </w:rPr>
              <w:t xml:space="preserve">. </w:t>
            </w:r>
            <w:r w:rsidR="006D748E" w:rsidRPr="006B4F3C">
              <w:rPr>
                <w:rFonts w:ascii="Century" w:hAnsi="Century"/>
                <w:color w:val="333333"/>
                <w:sz w:val="21"/>
                <w:szCs w:val="21"/>
              </w:rPr>
              <w:t xml:space="preserve">Continuing efforts have been made for these purposes. In this respect, takaful </w:t>
            </w:r>
            <w:r w:rsidR="006D748E" w:rsidRPr="006B4F3C">
              <w:rPr>
                <w:rFonts w:ascii="Century" w:hAnsi="Century"/>
                <w:color w:val="333333"/>
                <w:sz w:val="21"/>
                <w:szCs w:val="21"/>
              </w:rPr>
              <w:lastRenderedPageBreak/>
              <w:t>i</w:t>
            </w:r>
            <w:r w:rsidR="006B4F3C">
              <w:rPr>
                <w:rFonts w:ascii="Century" w:hAnsi="Century"/>
                <w:color w:val="333333"/>
                <w:sz w:val="21"/>
                <w:szCs w:val="21"/>
              </w:rPr>
              <w:t>nsurance came into force in 2018</w:t>
            </w:r>
            <w:r w:rsidR="006D748E" w:rsidRPr="006B4F3C">
              <w:rPr>
                <w:rFonts w:ascii="Century" w:hAnsi="Century"/>
                <w:color w:val="333333"/>
                <w:sz w:val="21"/>
                <w:szCs w:val="21"/>
              </w:rPr>
              <w:t xml:space="preserve"> in order to expand the penetration </w:t>
            </w:r>
            <w:r w:rsidR="00407AEA" w:rsidRPr="006B4F3C">
              <w:rPr>
                <w:rFonts w:ascii="Century" w:hAnsi="Century"/>
                <w:color w:val="333333"/>
                <w:sz w:val="21"/>
                <w:szCs w:val="21"/>
              </w:rPr>
              <w:t xml:space="preserve">level. </w:t>
            </w:r>
            <w:r w:rsidR="006D748E" w:rsidRPr="006B4F3C">
              <w:rPr>
                <w:rFonts w:ascii="Century" w:hAnsi="Century"/>
                <w:color w:val="333333"/>
                <w:sz w:val="21"/>
                <w:szCs w:val="21"/>
              </w:rPr>
              <w:t>Moreover,</w:t>
            </w:r>
            <w:r w:rsidR="00407AEA" w:rsidRPr="006B4F3C">
              <w:rPr>
                <w:rFonts w:ascii="Century" w:hAnsi="Century"/>
                <w:color w:val="333333"/>
                <w:sz w:val="21"/>
                <w:szCs w:val="21"/>
              </w:rPr>
              <w:t xml:space="preserve"> </w:t>
            </w:r>
            <w:r w:rsidR="006D748E" w:rsidRPr="006B4F3C">
              <w:rPr>
                <w:rFonts w:ascii="Century" w:hAnsi="Century"/>
                <w:color w:val="333333"/>
                <w:sz w:val="21"/>
                <w:szCs w:val="21"/>
              </w:rPr>
              <w:t xml:space="preserve">significant legislations related to the surety insurance enacted to create alternative financial </w:t>
            </w:r>
            <w:r>
              <w:rPr>
                <w:rFonts w:ascii="Century" w:hAnsi="Century"/>
                <w:color w:val="333333"/>
                <w:sz w:val="21"/>
                <w:szCs w:val="21"/>
              </w:rPr>
              <w:t>sources.</w:t>
            </w:r>
          </w:p>
          <w:p w:rsidR="006D748E" w:rsidRPr="00B10D90" w:rsidRDefault="006D748E" w:rsidP="00B976EA">
            <w:pPr>
              <w:spacing w:line="256" w:lineRule="auto"/>
              <w:jc w:val="both"/>
              <w:rPr>
                <w:rFonts w:ascii="Century" w:hAnsi="Century"/>
                <w:color w:val="333333"/>
                <w:sz w:val="21"/>
                <w:szCs w:val="21"/>
                <w:highlight w:val="yellow"/>
              </w:rPr>
            </w:pPr>
          </w:p>
          <w:p w:rsidR="006B4F3C" w:rsidRPr="006B4F3C" w:rsidRDefault="006B4F3C" w:rsidP="00B976EA">
            <w:pPr>
              <w:spacing w:line="256" w:lineRule="auto"/>
              <w:jc w:val="both"/>
              <w:rPr>
                <w:rFonts w:ascii="Century" w:hAnsi="Century"/>
                <w:color w:val="333333"/>
                <w:sz w:val="21"/>
                <w:szCs w:val="21"/>
              </w:rPr>
            </w:pPr>
          </w:p>
          <w:p w:rsidR="00257D4E" w:rsidRDefault="00257D4E" w:rsidP="00B976EA">
            <w:pPr>
              <w:spacing w:line="256" w:lineRule="auto"/>
              <w:jc w:val="both"/>
              <w:rPr>
                <w:rFonts w:ascii="Century" w:hAnsi="Century"/>
                <w:color w:val="333333"/>
                <w:sz w:val="21"/>
                <w:szCs w:val="21"/>
              </w:rPr>
            </w:pPr>
          </w:p>
          <w:p w:rsidR="006D748E" w:rsidRDefault="006D748E" w:rsidP="00B976EA">
            <w:pPr>
              <w:spacing w:line="256" w:lineRule="auto"/>
              <w:jc w:val="both"/>
              <w:rPr>
                <w:rFonts w:ascii="Century" w:hAnsi="Century"/>
                <w:color w:val="333333"/>
                <w:sz w:val="21"/>
                <w:szCs w:val="21"/>
              </w:rPr>
            </w:pPr>
            <w:r w:rsidRPr="006B4F3C">
              <w:rPr>
                <w:rFonts w:ascii="Century" w:hAnsi="Century"/>
                <w:color w:val="333333"/>
                <w:sz w:val="21"/>
                <w:szCs w:val="21"/>
              </w:rPr>
              <w:t xml:space="preserve">In this context, we expect that the growing trends of the insurance and private pension sectors in our country will continue steadily and both sectors will reach the magnitude they deserve within the financial system in the near future. Taking this opportunity, I would like to thank all </w:t>
            </w:r>
            <w:r w:rsidRPr="006B4F3C">
              <w:rPr>
                <w:rFonts w:ascii="Century" w:hAnsi="Century"/>
                <w:color w:val="000000" w:themeColor="text1"/>
                <w:sz w:val="21"/>
                <w:szCs w:val="21"/>
              </w:rPr>
              <w:t>my</w:t>
            </w:r>
            <w:r w:rsidRPr="006B4F3C">
              <w:rPr>
                <w:rFonts w:ascii="Century" w:hAnsi="Century"/>
                <w:color w:val="333333"/>
                <w:sz w:val="21"/>
                <w:szCs w:val="21"/>
              </w:rPr>
              <w:t xml:space="preserve"> colleagues who have contributed to the preparation of the Report and I wish the Report would be useful to all users.</w:t>
            </w:r>
          </w:p>
          <w:p w:rsidR="00A92B6E" w:rsidRDefault="00A92B6E" w:rsidP="00B976EA">
            <w:pPr>
              <w:spacing w:line="256" w:lineRule="auto"/>
              <w:jc w:val="both"/>
              <w:rPr>
                <w:rFonts w:ascii="Century" w:hAnsi="Century"/>
                <w:color w:val="333333"/>
                <w:sz w:val="21"/>
                <w:szCs w:val="21"/>
              </w:rPr>
            </w:pPr>
          </w:p>
          <w:p w:rsidR="00A92B6E" w:rsidRDefault="00A92B6E" w:rsidP="00B976EA">
            <w:pPr>
              <w:spacing w:line="256" w:lineRule="auto"/>
              <w:jc w:val="both"/>
              <w:rPr>
                <w:rFonts w:ascii="Century" w:hAnsi="Century"/>
                <w:color w:val="333333"/>
                <w:sz w:val="21"/>
                <w:szCs w:val="21"/>
              </w:rPr>
            </w:pPr>
          </w:p>
          <w:p w:rsidR="003B1638" w:rsidRDefault="003B1638" w:rsidP="00B976EA">
            <w:pPr>
              <w:spacing w:line="256" w:lineRule="auto"/>
              <w:jc w:val="both"/>
              <w:rPr>
                <w:rFonts w:ascii="Century" w:hAnsi="Century"/>
                <w:color w:val="333333"/>
                <w:sz w:val="21"/>
                <w:szCs w:val="21"/>
              </w:rPr>
            </w:pPr>
          </w:p>
          <w:p w:rsidR="00A92B6E" w:rsidRPr="00A92B6E" w:rsidRDefault="00A92B6E" w:rsidP="00A92B6E">
            <w:pPr>
              <w:spacing w:line="256" w:lineRule="auto"/>
              <w:jc w:val="both"/>
              <w:rPr>
                <w:rFonts w:ascii="Century" w:hAnsi="Century"/>
                <w:color w:val="333333"/>
                <w:sz w:val="21"/>
                <w:szCs w:val="21"/>
              </w:rPr>
            </w:pPr>
            <w:r w:rsidRPr="00A92B6E">
              <w:rPr>
                <w:rFonts w:ascii="Century" w:hAnsi="Century"/>
                <w:color w:val="333333"/>
                <w:sz w:val="21"/>
                <w:szCs w:val="21"/>
              </w:rPr>
              <w:t>Bulent AKSU</w:t>
            </w:r>
          </w:p>
          <w:p w:rsidR="00A92B6E" w:rsidRPr="00A92B6E" w:rsidRDefault="00A92B6E" w:rsidP="00A92B6E">
            <w:pPr>
              <w:spacing w:line="256" w:lineRule="auto"/>
              <w:jc w:val="both"/>
              <w:rPr>
                <w:rFonts w:ascii="Century" w:hAnsi="Century"/>
                <w:color w:val="333333"/>
                <w:sz w:val="21"/>
                <w:szCs w:val="21"/>
              </w:rPr>
            </w:pPr>
            <w:r w:rsidRPr="00A92B6E">
              <w:rPr>
                <w:rFonts w:ascii="Century" w:hAnsi="Century"/>
                <w:color w:val="333333"/>
                <w:sz w:val="21"/>
                <w:szCs w:val="21"/>
              </w:rPr>
              <w:t>Deputy Minister</w:t>
            </w:r>
          </w:p>
          <w:p w:rsidR="00A92B6E" w:rsidRPr="006B4F3C" w:rsidRDefault="00A92B6E" w:rsidP="00A92B6E">
            <w:pPr>
              <w:spacing w:line="256" w:lineRule="auto"/>
              <w:jc w:val="both"/>
              <w:rPr>
                <w:rFonts w:ascii="Century" w:hAnsi="Century"/>
                <w:color w:val="333333"/>
                <w:sz w:val="21"/>
                <w:szCs w:val="21"/>
              </w:rPr>
            </w:pPr>
            <w:r w:rsidRPr="00A92B6E">
              <w:rPr>
                <w:rFonts w:ascii="Century" w:hAnsi="Century"/>
                <w:color w:val="333333"/>
                <w:sz w:val="21"/>
                <w:szCs w:val="21"/>
              </w:rPr>
              <w:t>Ministry of Treasury and Finance</w:t>
            </w:r>
          </w:p>
          <w:p w:rsidR="006D748E" w:rsidRPr="00B10D90" w:rsidRDefault="006D748E" w:rsidP="00B976EA">
            <w:pPr>
              <w:spacing w:line="256" w:lineRule="auto"/>
              <w:jc w:val="both"/>
              <w:rPr>
                <w:rFonts w:ascii="Century" w:hAnsi="Century"/>
                <w:color w:val="333333"/>
                <w:sz w:val="21"/>
                <w:szCs w:val="21"/>
                <w:highlight w:val="yellow"/>
              </w:rPr>
            </w:pPr>
          </w:p>
          <w:p w:rsidR="006D748E" w:rsidRPr="00B10D90" w:rsidRDefault="006D748E" w:rsidP="00B976EA">
            <w:pPr>
              <w:spacing w:line="256" w:lineRule="auto"/>
              <w:jc w:val="both"/>
              <w:rPr>
                <w:rFonts w:ascii="Century" w:hAnsi="Century"/>
                <w:color w:val="333333"/>
                <w:sz w:val="21"/>
                <w:szCs w:val="21"/>
                <w:highlight w:val="yellow"/>
              </w:rPr>
            </w:pPr>
          </w:p>
          <w:p w:rsidR="006D748E" w:rsidRPr="00B10D90" w:rsidRDefault="006D748E" w:rsidP="00B976EA">
            <w:pPr>
              <w:spacing w:line="256" w:lineRule="auto"/>
              <w:jc w:val="both"/>
              <w:rPr>
                <w:rFonts w:ascii="Century" w:hAnsi="Century"/>
                <w:color w:val="333333"/>
                <w:sz w:val="21"/>
                <w:szCs w:val="21"/>
                <w:highlight w:val="yellow"/>
              </w:rPr>
            </w:pPr>
          </w:p>
        </w:tc>
      </w:tr>
      <w:tr w:rsidR="009C5ACE" w:rsidRPr="00B10D90" w:rsidTr="009C5ACE">
        <w:tc>
          <w:tcPr>
            <w:tcW w:w="4815" w:type="dxa"/>
          </w:tcPr>
          <w:p w:rsidR="009C5ACE" w:rsidRPr="00B10D90" w:rsidRDefault="009C5ACE">
            <w:pPr>
              <w:spacing w:line="254" w:lineRule="auto"/>
              <w:jc w:val="both"/>
              <w:rPr>
                <w:rFonts w:ascii="Century" w:hAnsi="Century"/>
                <w:sz w:val="21"/>
                <w:szCs w:val="21"/>
                <w:highlight w:val="yellow"/>
                <w:lang w:val="tr-TR"/>
              </w:rPr>
            </w:pPr>
          </w:p>
          <w:p w:rsidR="009C5ACE" w:rsidRPr="00B10D90" w:rsidRDefault="009C5ACE">
            <w:pPr>
              <w:spacing w:line="254" w:lineRule="auto"/>
              <w:jc w:val="both"/>
              <w:rPr>
                <w:rFonts w:ascii="Century" w:hAnsi="Century"/>
                <w:sz w:val="21"/>
                <w:szCs w:val="21"/>
                <w:highlight w:val="yellow"/>
                <w:lang w:val="tr-TR"/>
              </w:rPr>
            </w:pPr>
          </w:p>
          <w:p w:rsidR="009C5ACE" w:rsidRPr="00B10D90" w:rsidRDefault="009C5ACE">
            <w:pPr>
              <w:spacing w:line="254" w:lineRule="auto"/>
              <w:jc w:val="both"/>
              <w:rPr>
                <w:rFonts w:ascii="Century" w:hAnsi="Century"/>
                <w:sz w:val="21"/>
                <w:szCs w:val="21"/>
                <w:highlight w:val="yellow"/>
                <w:lang w:val="tr-TR"/>
              </w:rPr>
            </w:pPr>
          </w:p>
          <w:p w:rsidR="009C5ACE" w:rsidRPr="00B10D90" w:rsidRDefault="009C5ACE">
            <w:pPr>
              <w:spacing w:line="254" w:lineRule="auto"/>
              <w:jc w:val="both"/>
              <w:rPr>
                <w:rFonts w:ascii="Century" w:hAnsi="Century"/>
                <w:sz w:val="21"/>
                <w:szCs w:val="21"/>
                <w:highlight w:val="yellow"/>
                <w:lang w:val="tr-TR"/>
              </w:rPr>
            </w:pPr>
          </w:p>
          <w:p w:rsidR="009C5ACE" w:rsidRPr="00B10D90" w:rsidRDefault="009C5ACE">
            <w:pPr>
              <w:spacing w:line="254" w:lineRule="auto"/>
              <w:jc w:val="both"/>
              <w:rPr>
                <w:rFonts w:ascii="Century" w:hAnsi="Century"/>
                <w:sz w:val="21"/>
                <w:szCs w:val="21"/>
                <w:highlight w:val="yellow"/>
                <w:lang w:val="tr-TR"/>
              </w:rPr>
            </w:pPr>
          </w:p>
          <w:p w:rsidR="009C5ACE" w:rsidRPr="00B10D90" w:rsidRDefault="009C5ACE">
            <w:pPr>
              <w:spacing w:line="254" w:lineRule="auto"/>
              <w:jc w:val="both"/>
              <w:rPr>
                <w:rFonts w:ascii="Century" w:hAnsi="Century"/>
                <w:sz w:val="21"/>
                <w:szCs w:val="21"/>
                <w:highlight w:val="yellow"/>
                <w:lang w:val="tr-TR"/>
              </w:rPr>
            </w:pPr>
          </w:p>
        </w:tc>
        <w:tc>
          <w:tcPr>
            <w:tcW w:w="236" w:type="dxa"/>
          </w:tcPr>
          <w:p w:rsidR="009C5ACE" w:rsidRPr="00B10D90" w:rsidRDefault="009C5ACE">
            <w:pPr>
              <w:rPr>
                <w:rFonts w:ascii="Century" w:hAnsi="Century"/>
                <w:sz w:val="21"/>
                <w:szCs w:val="21"/>
                <w:highlight w:val="yellow"/>
              </w:rPr>
            </w:pPr>
          </w:p>
        </w:tc>
        <w:tc>
          <w:tcPr>
            <w:tcW w:w="4804" w:type="dxa"/>
          </w:tcPr>
          <w:p w:rsidR="009C5ACE" w:rsidRPr="00B10D90" w:rsidRDefault="009C5ACE">
            <w:pPr>
              <w:jc w:val="both"/>
              <w:rPr>
                <w:rFonts w:ascii="Century" w:hAnsi="Century"/>
                <w:color w:val="333333"/>
                <w:sz w:val="21"/>
                <w:szCs w:val="21"/>
                <w:highlight w:val="yellow"/>
              </w:rPr>
            </w:pPr>
          </w:p>
        </w:tc>
      </w:tr>
      <w:bookmarkEnd w:id="71"/>
    </w:tbl>
    <w:p w:rsidR="009C5ACE" w:rsidRPr="00B10D90" w:rsidRDefault="009C5ACE" w:rsidP="009C5ACE">
      <w:pPr>
        <w:rPr>
          <w:rFonts w:ascii="Century" w:hAnsi="Century"/>
          <w:b/>
          <w:color w:val="000080"/>
          <w:sz w:val="21"/>
          <w:szCs w:val="21"/>
          <w:highlight w:val="yellow"/>
        </w:rPr>
        <w:sectPr w:rsidR="009C5ACE" w:rsidRPr="00B10D90">
          <w:pgSz w:w="11906" w:h="16838"/>
          <w:pgMar w:top="1440" w:right="926" w:bottom="1440" w:left="1440" w:header="708" w:footer="624" w:gutter="0"/>
          <w:pgNumType w:fmt="lowerRoman" w:start="1"/>
          <w:cols w:space="720"/>
        </w:sectPr>
      </w:pPr>
    </w:p>
    <w:tbl>
      <w:tblPr>
        <w:tblW w:w="9825" w:type="dxa"/>
        <w:tblInd w:w="-252" w:type="dxa"/>
        <w:tblLayout w:type="fixed"/>
        <w:tblLook w:val="04A0" w:firstRow="1" w:lastRow="0" w:firstColumn="1" w:lastColumn="0" w:noHBand="0" w:noVBand="1"/>
      </w:tblPr>
      <w:tblGrid>
        <w:gridCol w:w="4799"/>
        <w:gridCol w:w="236"/>
        <w:gridCol w:w="4790"/>
      </w:tblGrid>
      <w:tr w:rsidR="009C5ACE" w:rsidRPr="00257D4E" w:rsidTr="009C5ACE">
        <w:trPr>
          <w:trHeight w:val="13"/>
        </w:trPr>
        <w:tc>
          <w:tcPr>
            <w:tcW w:w="4802" w:type="dxa"/>
          </w:tcPr>
          <w:p w:rsidR="009C5ACE" w:rsidRPr="00257D4E" w:rsidRDefault="009C5ACE">
            <w:pPr>
              <w:tabs>
                <w:tab w:val="left" w:pos="720"/>
                <w:tab w:val="center" w:pos="4536"/>
              </w:tabs>
              <w:jc w:val="center"/>
              <w:rPr>
                <w:rFonts w:ascii="Century" w:hAnsi="Century"/>
                <w:b/>
                <w:color w:val="000080"/>
                <w:sz w:val="21"/>
                <w:szCs w:val="21"/>
              </w:rPr>
            </w:pPr>
            <w:r w:rsidRPr="00257D4E">
              <w:rPr>
                <w:rFonts w:ascii="Century" w:hAnsi="Century"/>
                <w:b/>
                <w:color w:val="000080"/>
                <w:sz w:val="21"/>
                <w:szCs w:val="21"/>
              </w:rPr>
              <w:lastRenderedPageBreak/>
              <w:t>RAPOR HAKKINDA</w:t>
            </w:r>
          </w:p>
          <w:p w:rsidR="009C5ACE" w:rsidRPr="00257D4E" w:rsidRDefault="009C5ACE">
            <w:pPr>
              <w:rPr>
                <w:rFonts w:ascii="Century" w:hAnsi="Century"/>
                <w:sz w:val="21"/>
                <w:szCs w:val="21"/>
              </w:rPr>
            </w:pPr>
          </w:p>
          <w:p w:rsidR="009C5ACE" w:rsidRPr="00257D4E" w:rsidRDefault="009C5ACE">
            <w:pPr>
              <w:autoSpaceDE w:val="0"/>
              <w:autoSpaceDN w:val="0"/>
              <w:adjustRightInd w:val="0"/>
              <w:jc w:val="both"/>
              <w:rPr>
                <w:rFonts w:ascii="Century" w:hAnsi="Century"/>
                <w:sz w:val="21"/>
                <w:szCs w:val="21"/>
              </w:rPr>
            </w:pPr>
            <w:r w:rsidRPr="00257D4E">
              <w:rPr>
                <w:rFonts w:ascii="Century" w:hAnsi="Century"/>
                <w:sz w:val="21"/>
                <w:szCs w:val="21"/>
              </w:rPr>
              <w:t>Bu rapor, sigortacılık ve bireysel emeklilik faaliyetlerine ilişkin olarak 1963 yılından itibaren her yıl hazırlanan raporun 5</w:t>
            </w:r>
            <w:r w:rsidR="00B976EA" w:rsidRPr="00257D4E">
              <w:rPr>
                <w:rFonts w:ascii="Century" w:hAnsi="Century"/>
                <w:sz w:val="21"/>
                <w:szCs w:val="21"/>
              </w:rPr>
              <w:t>6</w:t>
            </w:r>
            <w:r w:rsidRPr="00257D4E">
              <w:rPr>
                <w:rFonts w:ascii="Century" w:hAnsi="Century"/>
                <w:sz w:val="21"/>
                <w:szCs w:val="21"/>
              </w:rPr>
              <w:t>’</w:t>
            </w:r>
            <w:r w:rsidR="00B976EA" w:rsidRPr="00257D4E">
              <w:rPr>
                <w:rFonts w:ascii="Century" w:hAnsi="Century"/>
                <w:sz w:val="21"/>
                <w:szCs w:val="21"/>
              </w:rPr>
              <w:t>ıncı</w:t>
            </w:r>
            <w:r w:rsidRPr="00257D4E">
              <w:rPr>
                <w:rFonts w:ascii="Century" w:hAnsi="Century"/>
                <w:sz w:val="21"/>
                <w:szCs w:val="21"/>
              </w:rPr>
              <w:t xml:space="preserve"> sayısıdır. </w:t>
            </w:r>
          </w:p>
          <w:p w:rsidR="009C5ACE" w:rsidRPr="00257D4E" w:rsidRDefault="009C5ACE">
            <w:pPr>
              <w:jc w:val="both"/>
              <w:rPr>
                <w:rFonts w:ascii="Century" w:hAnsi="Century"/>
                <w:sz w:val="21"/>
                <w:szCs w:val="21"/>
              </w:rPr>
            </w:pPr>
          </w:p>
          <w:p w:rsidR="009C5ACE" w:rsidRPr="00257D4E" w:rsidRDefault="009C5ACE">
            <w:pPr>
              <w:jc w:val="both"/>
              <w:rPr>
                <w:rFonts w:ascii="Century" w:hAnsi="Century"/>
                <w:sz w:val="21"/>
                <w:szCs w:val="21"/>
              </w:rPr>
            </w:pPr>
            <w:r w:rsidRPr="00257D4E">
              <w:rPr>
                <w:rFonts w:ascii="Century" w:hAnsi="Century"/>
                <w:sz w:val="21"/>
                <w:szCs w:val="21"/>
              </w:rPr>
              <w:t>201</w:t>
            </w:r>
            <w:r w:rsidR="00B976EA" w:rsidRPr="00257D4E">
              <w:rPr>
                <w:rFonts w:ascii="Century" w:hAnsi="Century"/>
                <w:sz w:val="21"/>
                <w:szCs w:val="21"/>
              </w:rPr>
              <w:t>8</w:t>
            </w:r>
            <w:r w:rsidRPr="00257D4E">
              <w:rPr>
                <w:rFonts w:ascii="Century" w:hAnsi="Century"/>
                <w:sz w:val="21"/>
                <w:szCs w:val="21"/>
              </w:rPr>
              <w:t xml:space="preserve"> yılı sonu itibarı</w:t>
            </w:r>
            <w:r w:rsidR="00B976EA" w:rsidRPr="00257D4E">
              <w:rPr>
                <w:rFonts w:ascii="Century" w:hAnsi="Century"/>
                <w:sz w:val="21"/>
                <w:szCs w:val="21"/>
              </w:rPr>
              <w:t>yla Türkiye’de 38 hayat dışı, 17 hayat ve emeklilik, 5</w:t>
            </w:r>
            <w:r w:rsidRPr="00257D4E">
              <w:rPr>
                <w:rFonts w:ascii="Century" w:hAnsi="Century"/>
                <w:sz w:val="21"/>
                <w:szCs w:val="21"/>
              </w:rPr>
              <w:t xml:space="preserve"> hayat ve 2 adet reasürans olmak üzere toplam 62 sigorta, reasürans ve emeklilik şirketi faaliyet göstermektedir. Faaliyet ruhsatı olan ancak sözleşme akdetmeyen ya</w:t>
            </w:r>
            <w:r w:rsidR="00B976EA" w:rsidRPr="00257D4E">
              <w:rPr>
                <w:rFonts w:ascii="Century" w:hAnsi="Century"/>
                <w:sz w:val="21"/>
                <w:szCs w:val="21"/>
              </w:rPr>
              <w:t xml:space="preserve"> da faaliyeti durdurulmuş olan bir </w:t>
            </w:r>
            <w:r w:rsidRPr="00257D4E">
              <w:rPr>
                <w:rFonts w:ascii="Century" w:hAnsi="Century"/>
                <w:sz w:val="21"/>
                <w:szCs w:val="21"/>
              </w:rPr>
              <w:t>adet hayat dışı sigorta, bir adet hayat sigorta ve bir adet reasürans şirketiyle birlikte sektördeki ruhsa</w:t>
            </w:r>
            <w:r w:rsidR="00B976EA" w:rsidRPr="00257D4E">
              <w:rPr>
                <w:rFonts w:ascii="Century" w:hAnsi="Century"/>
                <w:sz w:val="21"/>
                <w:szCs w:val="21"/>
              </w:rPr>
              <w:t>t sahibi toplam şirket sayısı 65</w:t>
            </w:r>
            <w:r w:rsidRPr="00257D4E">
              <w:rPr>
                <w:rFonts w:ascii="Century" w:hAnsi="Century"/>
                <w:sz w:val="21"/>
                <w:szCs w:val="21"/>
              </w:rPr>
              <w:t>’</w:t>
            </w:r>
            <w:r w:rsidR="00B976EA" w:rsidRPr="00257D4E">
              <w:rPr>
                <w:rFonts w:ascii="Century" w:hAnsi="Century"/>
                <w:sz w:val="21"/>
                <w:szCs w:val="21"/>
              </w:rPr>
              <w:t>e</w:t>
            </w:r>
            <w:r w:rsidRPr="00257D4E">
              <w:rPr>
                <w:rFonts w:ascii="Century" w:hAnsi="Century"/>
                <w:sz w:val="21"/>
                <w:szCs w:val="21"/>
              </w:rPr>
              <w:t xml:space="preserve"> ulaşmaktadır. </w:t>
            </w:r>
          </w:p>
          <w:p w:rsidR="009C5ACE" w:rsidRPr="00257D4E" w:rsidRDefault="009C5ACE">
            <w:pPr>
              <w:jc w:val="both"/>
              <w:rPr>
                <w:rFonts w:ascii="Century" w:hAnsi="Century"/>
                <w:sz w:val="21"/>
                <w:szCs w:val="21"/>
              </w:rPr>
            </w:pPr>
          </w:p>
          <w:p w:rsidR="009C5ACE" w:rsidRPr="00257D4E" w:rsidRDefault="009C5ACE">
            <w:pPr>
              <w:jc w:val="both"/>
              <w:rPr>
                <w:rFonts w:ascii="Century" w:hAnsi="Century"/>
                <w:sz w:val="21"/>
                <w:szCs w:val="21"/>
              </w:rPr>
            </w:pPr>
            <w:r w:rsidRPr="00257D4E">
              <w:rPr>
                <w:rFonts w:ascii="Century" w:hAnsi="Century"/>
                <w:sz w:val="21"/>
                <w:szCs w:val="21"/>
              </w:rPr>
              <w:t>Hazırlanan rapor, finansal ve teknik analizler ile istatistiki bilgilerin sunulduğu iki ana bölümden oluşmaktadır. İlk bölümde, Türkiye ekonomisindeki gelişmeler ile Türk sigortacılık ve bireysel emeklilik sektörlerinin dünya sigortacılığı ve Türk finans sistemi içindeki konumuna ilişkin genel bilgilere yer verilmiş, ayrıca şirketlerin finansal ve teknik faaliyetleri değerlendirilmiştir. Yine bu bölümde, sigortacılık alanında faaliyet gösteren mesleki kurumlara (DASK, TMTB, TARSİM, TAHKİM, SBGM, EGM ve Güvence Hesabı) ilişkin genel bilgilere yer verilmiştir.</w:t>
            </w:r>
          </w:p>
          <w:p w:rsidR="009C5ACE" w:rsidRPr="00257D4E" w:rsidRDefault="009C5ACE">
            <w:pPr>
              <w:jc w:val="both"/>
              <w:rPr>
                <w:rFonts w:ascii="Century" w:hAnsi="Century"/>
                <w:sz w:val="21"/>
                <w:szCs w:val="21"/>
              </w:rPr>
            </w:pPr>
          </w:p>
          <w:p w:rsidR="009C5ACE" w:rsidRPr="00257D4E" w:rsidRDefault="009C5ACE">
            <w:pPr>
              <w:jc w:val="both"/>
              <w:rPr>
                <w:rFonts w:ascii="Century" w:hAnsi="Century"/>
                <w:sz w:val="21"/>
                <w:szCs w:val="21"/>
              </w:rPr>
            </w:pPr>
            <w:r w:rsidRPr="00257D4E">
              <w:rPr>
                <w:rFonts w:ascii="Century" w:hAnsi="Century"/>
                <w:sz w:val="21"/>
                <w:szCs w:val="21"/>
              </w:rPr>
              <w:t>Raporun ikinci bölümünde, sigorta, reasürans ve emeklilik şirketlerinin 201</w:t>
            </w:r>
            <w:r w:rsidR="00B976EA" w:rsidRPr="00257D4E">
              <w:rPr>
                <w:rFonts w:ascii="Century" w:hAnsi="Century"/>
                <w:sz w:val="21"/>
                <w:szCs w:val="21"/>
              </w:rPr>
              <w:t>8</w:t>
            </w:r>
            <w:r w:rsidRPr="00257D4E">
              <w:rPr>
                <w:rFonts w:ascii="Century" w:hAnsi="Century"/>
                <w:sz w:val="21"/>
                <w:szCs w:val="21"/>
              </w:rPr>
              <w:t xml:space="preserve"> yılı finansal tabloları ve faaliyetlerine ilişkin istatistiki bilgiler şirket bazında ve konsolide olarak sunulmuştur.</w:t>
            </w:r>
          </w:p>
          <w:p w:rsidR="009C5ACE" w:rsidRPr="00257D4E" w:rsidRDefault="009C5ACE">
            <w:pPr>
              <w:jc w:val="both"/>
              <w:rPr>
                <w:rFonts w:ascii="Century" w:hAnsi="Century"/>
                <w:sz w:val="21"/>
                <w:szCs w:val="21"/>
              </w:rPr>
            </w:pPr>
          </w:p>
          <w:p w:rsidR="009C5ACE" w:rsidRPr="00257D4E" w:rsidRDefault="009C5ACE">
            <w:pPr>
              <w:jc w:val="both"/>
              <w:rPr>
                <w:rFonts w:ascii="Century" w:hAnsi="Century"/>
                <w:sz w:val="21"/>
                <w:szCs w:val="21"/>
              </w:rPr>
            </w:pPr>
            <w:r w:rsidRPr="00257D4E">
              <w:rPr>
                <w:rFonts w:ascii="Century" w:hAnsi="Century"/>
                <w:sz w:val="21"/>
                <w:szCs w:val="21"/>
              </w:rPr>
              <w:t>İlk iki bölüm, şirketler ve diğer kuruluşlardan temin edilen veriler esas alınarak hazırlanmakta olup, 2</w:t>
            </w:r>
            <w:r w:rsidR="00B976EA" w:rsidRPr="00257D4E">
              <w:rPr>
                <w:rFonts w:ascii="Century" w:hAnsi="Century"/>
                <w:sz w:val="21"/>
                <w:szCs w:val="21"/>
              </w:rPr>
              <w:t>2</w:t>
            </w:r>
            <w:r w:rsidRPr="00257D4E">
              <w:rPr>
                <w:rFonts w:ascii="Century" w:hAnsi="Century"/>
                <w:sz w:val="21"/>
                <w:szCs w:val="21"/>
              </w:rPr>
              <w:t>.0</w:t>
            </w:r>
            <w:r w:rsidR="00B976EA" w:rsidRPr="00257D4E">
              <w:rPr>
                <w:rFonts w:ascii="Century" w:hAnsi="Century"/>
                <w:sz w:val="21"/>
                <w:szCs w:val="21"/>
              </w:rPr>
              <w:t>4</w:t>
            </w:r>
            <w:r w:rsidRPr="00257D4E">
              <w:rPr>
                <w:rFonts w:ascii="Century" w:hAnsi="Century"/>
                <w:sz w:val="21"/>
                <w:szCs w:val="21"/>
              </w:rPr>
              <w:t>.201</w:t>
            </w:r>
            <w:r w:rsidR="00B976EA" w:rsidRPr="00257D4E">
              <w:rPr>
                <w:rFonts w:ascii="Century" w:hAnsi="Century"/>
                <w:sz w:val="21"/>
                <w:szCs w:val="21"/>
              </w:rPr>
              <w:t>9</w:t>
            </w:r>
            <w:r w:rsidRPr="00257D4E">
              <w:rPr>
                <w:rFonts w:ascii="Century" w:hAnsi="Century"/>
                <w:sz w:val="21"/>
                <w:szCs w:val="21"/>
              </w:rPr>
              <w:t xml:space="preserve"> tarihine kadar yapılan güncellemeleri kapsamaktadır.</w:t>
            </w:r>
          </w:p>
          <w:p w:rsidR="009C5ACE" w:rsidRPr="00257D4E" w:rsidRDefault="009C5ACE">
            <w:pPr>
              <w:jc w:val="both"/>
              <w:rPr>
                <w:rFonts w:ascii="Century" w:hAnsi="Century"/>
                <w:sz w:val="21"/>
                <w:szCs w:val="21"/>
              </w:rPr>
            </w:pPr>
          </w:p>
          <w:p w:rsidR="009C5ACE" w:rsidRPr="00257D4E" w:rsidRDefault="009C5ACE" w:rsidP="00B976EA">
            <w:pPr>
              <w:jc w:val="both"/>
              <w:rPr>
                <w:rFonts w:ascii="Century" w:hAnsi="Century"/>
                <w:i/>
                <w:sz w:val="21"/>
                <w:szCs w:val="21"/>
              </w:rPr>
            </w:pPr>
            <w:r w:rsidRPr="00257D4E">
              <w:rPr>
                <w:rFonts w:ascii="Century" w:hAnsi="Century"/>
                <w:sz w:val="21"/>
                <w:szCs w:val="21"/>
              </w:rPr>
              <w:t xml:space="preserve">Raporun elektronik nüshası </w:t>
            </w:r>
            <w:r w:rsidR="00B976EA" w:rsidRPr="00257D4E">
              <w:rPr>
                <w:rFonts w:ascii="Century" w:hAnsi="Century"/>
                <w:sz w:val="21"/>
                <w:szCs w:val="21"/>
              </w:rPr>
              <w:t>Bakanlığımız</w:t>
            </w:r>
            <w:r w:rsidRPr="00257D4E">
              <w:rPr>
                <w:rFonts w:ascii="Century" w:hAnsi="Century"/>
                <w:sz w:val="21"/>
                <w:szCs w:val="21"/>
              </w:rPr>
              <w:t xml:space="preserve"> internet sitesinde de (</w:t>
            </w:r>
            <w:r w:rsidR="00096E5B" w:rsidRPr="00257D4E">
              <w:rPr>
                <w:rFonts w:ascii="Century" w:hAnsi="Century"/>
                <w:sz w:val="21"/>
                <w:szCs w:val="21"/>
              </w:rPr>
              <w:t>https://www.hmb.gov.tr/sigortacilik-ve-ozel-emeklilik-raporlari</w:t>
            </w:r>
            <w:r w:rsidRPr="00257D4E">
              <w:rPr>
                <w:rFonts w:ascii="Century" w:hAnsi="Century"/>
                <w:sz w:val="21"/>
                <w:szCs w:val="21"/>
              </w:rPr>
              <w:t>) yayınlanmaktadır. Ayrıca, 2002 yılından sonra yayınlanan nüshalara da aynı adresten ulaşılabilmesi mümkündür.</w:t>
            </w:r>
          </w:p>
        </w:tc>
        <w:tc>
          <w:tcPr>
            <w:tcW w:w="236" w:type="dxa"/>
          </w:tcPr>
          <w:p w:rsidR="009C5ACE" w:rsidRPr="00257D4E" w:rsidRDefault="009C5ACE">
            <w:pPr>
              <w:rPr>
                <w:rFonts w:ascii="Century" w:hAnsi="Century"/>
                <w:sz w:val="21"/>
                <w:szCs w:val="21"/>
              </w:rPr>
            </w:pPr>
          </w:p>
        </w:tc>
        <w:tc>
          <w:tcPr>
            <w:tcW w:w="4792" w:type="dxa"/>
          </w:tcPr>
          <w:p w:rsidR="009C5ACE" w:rsidRPr="00257D4E" w:rsidRDefault="009C5ACE">
            <w:pPr>
              <w:jc w:val="center"/>
              <w:rPr>
                <w:rFonts w:ascii="Century" w:hAnsi="Century"/>
                <w:b/>
                <w:color w:val="003366"/>
                <w:sz w:val="21"/>
                <w:szCs w:val="21"/>
              </w:rPr>
            </w:pPr>
            <w:r w:rsidRPr="00257D4E">
              <w:rPr>
                <w:rFonts w:ascii="Century" w:hAnsi="Century"/>
                <w:b/>
                <w:color w:val="003366"/>
                <w:sz w:val="21"/>
                <w:szCs w:val="21"/>
              </w:rPr>
              <w:t>ABOUT THE REPORT</w:t>
            </w:r>
          </w:p>
          <w:p w:rsidR="009C5ACE" w:rsidRPr="00257D4E" w:rsidRDefault="009C5ACE">
            <w:pPr>
              <w:jc w:val="center"/>
              <w:rPr>
                <w:rFonts w:ascii="Century" w:hAnsi="Century"/>
                <w:b/>
                <w:color w:val="404040"/>
                <w:sz w:val="21"/>
                <w:szCs w:val="21"/>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This is t</w:t>
            </w:r>
            <w:r w:rsidR="00B976EA" w:rsidRPr="00257D4E">
              <w:rPr>
                <w:rFonts w:ascii="Century" w:hAnsi="Century"/>
                <w:color w:val="333333"/>
                <w:sz w:val="21"/>
                <w:szCs w:val="21"/>
              </w:rPr>
              <w:t>he 56</w:t>
            </w:r>
            <w:r w:rsidRPr="00257D4E">
              <w:rPr>
                <w:rFonts w:ascii="Century" w:hAnsi="Century"/>
                <w:color w:val="333333"/>
                <w:sz w:val="21"/>
                <w:szCs w:val="21"/>
              </w:rPr>
              <w:t xml:space="preserve">th annual report about insurance and private pension activities in Turkey which has been released since 1963. </w:t>
            </w:r>
          </w:p>
          <w:p w:rsidR="009C5ACE" w:rsidRPr="00257D4E" w:rsidRDefault="009C5ACE">
            <w:pPr>
              <w:jc w:val="both"/>
              <w:rPr>
                <w:rFonts w:ascii="Century" w:hAnsi="Century"/>
                <w:color w:val="333333"/>
                <w:sz w:val="21"/>
                <w:szCs w:val="21"/>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As of the end of 201</w:t>
            </w:r>
            <w:r w:rsidR="00B976EA" w:rsidRPr="00257D4E">
              <w:rPr>
                <w:rFonts w:ascii="Century" w:hAnsi="Century"/>
                <w:color w:val="333333"/>
                <w:sz w:val="21"/>
                <w:szCs w:val="21"/>
              </w:rPr>
              <w:t>8</w:t>
            </w:r>
            <w:r w:rsidRPr="00257D4E">
              <w:rPr>
                <w:rFonts w:ascii="Century" w:hAnsi="Century"/>
                <w:color w:val="333333"/>
                <w:sz w:val="21"/>
                <w:szCs w:val="21"/>
              </w:rPr>
              <w:t xml:space="preserve">, a total of 62 insurance, pension and reinsurance companies operated in Turkey, 38 of which have been non-life insurance, </w:t>
            </w:r>
            <w:r w:rsidR="00B976EA" w:rsidRPr="00257D4E">
              <w:rPr>
                <w:rFonts w:ascii="Century" w:hAnsi="Century"/>
                <w:color w:val="333333"/>
                <w:sz w:val="21"/>
                <w:szCs w:val="21"/>
              </w:rPr>
              <w:t>5</w:t>
            </w:r>
            <w:r w:rsidRPr="00257D4E">
              <w:rPr>
                <w:rFonts w:ascii="Century" w:hAnsi="Century"/>
                <w:color w:val="333333"/>
                <w:sz w:val="21"/>
                <w:szCs w:val="21"/>
              </w:rPr>
              <w:t xml:space="preserve"> life insurance</w:t>
            </w:r>
            <w:r w:rsidR="003B5921" w:rsidRPr="00257D4E">
              <w:rPr>
                <w:rFonts w:ascii="Century" w:hAnsi="Century"/>
                <w:color w:val="333333"/>
                <w:sz w:val="21"/>
                <w:szCs w:val="21"/>
              </w:rPr>
              <w:t>,</w:t>
            </w:r>
            <w:r w:rsidRPr="00257D4E">
              <w:rPr>
                <w:rFonts w:ascii="Century" w:hAnsi="Century"/>
                <w:color w:val="333333"/>
                <w:sz w:val="21"/>
                <w:szCs w:val="21"/>
              </w:rPr>
              <w:t xml:space="preserve"> 1</w:t>
            </w:r>
            <w:r w:rsidR="00B976EA" w:rsidRPr="00257D4E">
              <w:rPr>
                <w:rFonts w:ascii="Century" w:hAnsi="Century"/>
                <w:color w:val="333333"/>
                <w:sz w:val="21"/>
                <w:szCs w:val="21"/>
              </w:rPr>
              <w:t>7</w:t>
            </w:r>
            <w:r w:rsidRPr="00257D4E">
              <w:rPr>
                <w:rFonts w:ascii="Century" w:hAnsi="Century"/>
                <w:color w:val="333333"/>
                <w:sz w:val="21"/>
                <w:szCs w:val="21"/>
              </w:rPr>
              <w:t xml:space="preserve"> pension and 2 reinsurance companies. The number of companies having licences in the insurance sector has reached to 6</w:t>
            </w:r>
            <w:r w:rsidR="00B976EA" w:rsidRPr="00257D4E">
              <w:rPr>
                <w:rFonts w:ascii="Century" w:hAnsi="Century"/>
                <w:color w:val="333333"/>
                <w:sz w:val="21"/>
                <w:szCs w:val="21"/>
              </w:rPr>
              <w:t>5</w:t>
            </w:r>
            <w:r w:rsidRPr="00257D4E">
              <w:rPr>
                <w:rFonts w:ascii="Century" w:hAnsi="Century"/>
                <w:color w:val="333333"/>
                <w:sz w:val="21"/>
                <w:szCs w:val="21"/>
              </w:rPr>
              <w:t xml:space="preserve"> together </w:t>
            </w:r>
            <w:r w:rsidR="003B5921" w:rsidRPr="00257D4E">
              <w:rPr>
                <w:rFonts w:ascii="Century" w:hAnsi="Century"/>
                <w:color w:val="333333"/>
                <w:sz w:val="21"/>
                <w:szCs w:val="21"/>
              </w:rPr>
              <w:t xml:space="preserve">with the </w:t>
            </w:r>
            <w:r w:rsidR="00B976EA" w:rsidRPr="00257D4E">
              <w:rPr>
                <w:rFonts w:ascii="Century" w:hAnsi="Century"/>
                <w:color w:val="333333"/>
                <w:sz w:val="21"/>
                <w:szCs w:val="21"/>
              </w:rPr>
              <w:t>one</w:t>
            </w:r>
            <w:r w:rsidR="003B5921" w:rsidRPr="00257D4E">
              <w:rPr>
                <w:rFonts w:ascii="Century" w:hAnsi="Century"/>
                <w:color w:val="333333"/>
                <w:sz w:val="21"/>
                <w:szCs w:val="21"/>
              </w:rPr>
              <w:t xml:space="preserve"> non-life insurance,</w:t>
            </w:r>
            <w:r w:rsidRPr="00257D4E">
              <w:rPr>
                <w:rFonts w:ascii="Century" w:hAnsi="Century"/>
                <w:color w:val="333333"/>
                <w:sz w:val="21"/>
                <w:szCs w:val="21"/>
              </w:rPr>
              <w:t xml:space="preserve"> one life insurance and one reinsurance companies which have withdrawn from the Sector and placed their business into run-off. </w:t>
            </w:r>
          </w:p>
          <w:p w:rsidR="009C5ACE" w:rsidRPr="00257D4E" w:rsidRDefault="009C5ACE">
            <w:pPr>
              <w:jc w:val="both"/>
              <w:rPr>
                <w:rFonts w:ascii="Century" w:hAnsi="Century"/>
                <w:color w:val="333333"/>
                <w:sz w:val="21"/>
                <w:szCs w:val="21"/>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The Report is structured as two main chapters which include financial and technical analysis and statistical data of the companies on a solo and consolidated basis. The first chapter provides the general information about the position of Turkish insurance sector and private pension system within the global insurance market as well as in the Turkish financial system. That chapter also provides the analyses of financial and technical results of the companies. Data and information regarding the other sectoral institutions (TCIP, TMTB, TARSİM, TAHKİM, CIIS, EGM and Guarantee Fund) are also briefly included in the first section.</w:t>
            </w:r>
          </w:p>
          <w:p w:rsidR="009C5ACE" w:rsidRPr="00257D4E" w:rsidRDefault="009C5ACE">
            <w:pPr>
              <w:jc w:val="both"/>
              <w:rPr>
                <w:rFonts w:ascii="Century" w:hAnsi="Century"/>
                <w:color w:val="333333"/>
                <w:sz w:val="21"/>
                <w:szCs w:val="21"/>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The second chapter provides financial tables and statistics of insurance, reinsurance and pension companies for the year of 201</w:t>
            </w:r>
            <w:r w:rsidR="00B976EA" w:rsidRPr="00257D4E">
              <w:rPr>
                <w:rFonts w:ascii="Century" w:hAnsi="Century"/>
                <w:color w:val="333333"/>
                <w:sz w:val="21"/>
                <w:szCs w:val="21"/>
              </w:rPr>
              <w:t>8</w:t>
            </w:r>
            <w:r w:rsidRPr="00257D4E">
              <w:rPr>
                <w:rFonts w:ascii="Century" w:hAnsi="Century"/>
                <w:color w:val="333333"/>
                <w:sz w:val="21"/>
                <w:szCs w:val="21"/>
              </w:rPr>
              <w:t xml:space="preserve">, on both consolidated and solo bases. </w:t>
            </w:r>
          </w:p>
          <w:p w:rsidR="009C5ACE" w:rsidRPr="00257D4E" w:rsidRDefault="009C5ACE">
            <w:pPr>
              <w:jc w:val="both"/>
              <w:rPr>
                <w:rFonts w:ascii="Century" w:hAnsi="Century"/>
                <w:color w:val="333333"/>
                <w:sz w:val="21"/>
                <w:szCs w:val="21"/>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 xml:space="preserve">The data used in the Report has been obtained from insurance, reinsurance and pension companies and other related institutions and revised as of </w:t>
            </w:r>
            <w:r w:rsidR="00B976EA" w:rsidRPr="00257D4E">
              <w:rPr>
                <w:rFonts w:ascii="Century" w:hAnsi="Century"/>
                <w:color w:val="333333"/>
                <w:sz w:val="21"/>
                <w:szCs w:val="21"/>
              </w:rPr>
              <w:t>April</w:t>
            </w:r>
            <w:r w:rsidRPr="00257D4E">
              <w:rPr>
                <w:rFonts w:ascii="Century" w:hAnsi="Century"/>
                <w:color w:val="333333"/>
                <w:sz w:val="21"/>
                <w:szCs w:val="21"/>
              </w:rPr>
              <w:t xml:space="preserve"> 2</w:t>
            </w:r>
            <w:r w:rsidR="00B976EA" w:rsidRPr="00257D4E">
              <w:rPr>
                <w:rFonts w:ascii="Century" w:hAnsi="Century"/>
                <w:color w:val="333333"/>
                <w:sz w:val="21"/>
                <w:szCs w:val="21"/>
              </w:rPr>
              <w:t>2</w:t>
            </w:r>
            <w:r w:rsidRPr="00257D4E">
              <w:rPr>
                <w:rFonts w:ascii="Century" w:hAnsi="Century"/>
                <w:color w:val="333333"/>
                <w:sz w:val="21"/>
                <w:szCs w:val="21"/>
              </w:rPr>
              <w:t>, 201</w:t>
            </w:r>
            <w:r w:rsidR="00B976EA" w:rsidRPr="00257D4E">
              <w:rPr>
                <w:rFonts w:ascii="Century" w:hAnsi="Century"/>
                <w:color w:val="333333"/>
                <w:sz w:val="21"/>
                <w:szCs w:val="21"/>
              </w:rPr>
              <w:t>9</w:t>
            </w:r>
            <w:r w:rsidRPr="00257D4E">
              <w:rPr>
                <w:rFonts w:ascii="Century" w:hAnsi="Century"/>
                <w:color w:val="333333"/>
                <w:sz w:val="21"/>
                <w:szCs w:val="21"/>
              </w:rPr>
              <w:t>.</w:t>
            </w:r>
          </w:p>
          <w:p w:rsidR="009C5ACE" w:rsidRPr="00257D4E" w:rsidRDefault="009C5ACE">
            <w:pPr>
              <w:jc w:val="both"/>
              <w:rPr>
                <w:rFonts w:ascii="Century" w:hAnsi="Century"/>
                <w:color w:val="403152" w:themeColor="accent4" w:themeShade="80"/>
                <w:sz w:val="21"/>
                <w:szCs w:val="21"/>
                <w:lang w:eastAsia="en-GB"/>
              </w:rPr>
            </w:pPr>
          </w:p>
          <w:p w:rsidR="009C5ACE" w:rsidRPr="00257D4E" w:rsidRDefault="009C5ACE">
            <w:pPr>
              <w:jc w:val="both"/>
              <w:rPr>
                <w:rFonts w:ascii="Century" w:hAnsi="Century"/>
                <w:color w:val="333333"/>
                <w:sz w:val="21"/>
                <w:szCs w:val="21"/>
              </w:rPr>
            </w:pPr>
            <w:r w:rsidRPr="00257D4E">
              <w:rPr>
                <w:rFonts w:ascii="Century" w:hAnsi="Century"/>
                <w:color w:val="333333"/>
                <w:sz w:val="21"/>
                <w:szCs w:val="21"/>
              </w:rPr>
              <w:t xml:space="preserve">The soft copies of </w:t>
            </w:r>
            <w:r w:rsidR="00CE6792" w:rsidRPr="00257D4E">
              <w:rPr>
                <w:rFonts w:ascii="Century" w:hAnsi="Century"/>
                <w:color w:val="333333"/>
                <w:sz w:val="21"/>
                <w:szCs w:val="21"/>
              </w:rPr>
              <w:t xml:space="preserve">all </w:t>
            </w:r>
            <w:r w:rsidRPr="00257D4E">
              <w:rPr>
                <w:rFonts w:ascii="Century" w:hAnsi="Century"/>
                <w:color w:val="333333"/>
                <w:sz w:val="21"/>
                <w:szCs w:val="21"/>
              </w:rPr>
              <w:t xml:space="preserve">the Reports </w:t>
            </w:r>
            <w:r w:rsidR="00CE6792" w:rsidRPr="00257D4E">
              <w:rPr>
                <w:rFonts w:ascii="Century" w:hAnsi="Century"/>
                <w:color w:val="333333"/>
                <w:sz w:val="21"/>
                <w:szCs w:val="21"/>
              </w:rPr>
              <w:t xml:space="preserve">starting </w:t>
            </w:r>
            <w:r w:rsidRPr="00257D4E">
              <w:rPr>
                <w:rFonts w:ascii="Century" w:hAnsi="Century"/>
                <w:color w:val="333333"/>
                <w:sz w:val="21"/>
                <w:szCs w:val="21"/>
              </w:rPr>
              <w:t>from 2002 are available on the Treasury’s web site (</w:t>
            </w:r>
            <w:r w:rsidR="00096E5B" w:rsidRPr="00257D4E">
              <w:rPr>
                <w:rFonts w:ascii="Century" w:hAnsi="Century"/>
                <w:color w:val="333333"/>
                <w:sz w:val="21"/>
                <w:szCs w:val="21"/>
              </w:rPr>
              <w:t>https://en.hmb.gov.tr/</w:t>
            </w:r>
            <w:r w:rsidRPr="00257D4E">
              <w:rPr>
                <w:rFonts w:ascii="Century" w:hAnsi="Century"/>
                <w:color w:val="333333"/>
                <w:sz w:val="21"/>
                <w:szCs w:val="21"/>
              </w:rPr>
              <w:t>).</w:t>
            </w:r>
          </w:p>
          <w:p w:rsidR="009C5ACE" w:rsidRPr="00257D4E" w:rsidRDefault="009C5ACE">
            <w:pPr>
              <w:jc w:val="both"/>
              <w:rPr>
                <w:rFonts w:ascii="Century" w:hAnsi="Century"/>
                <w:color w:val="333333"/>
                <w:sz w:val="21"/>
                <w:szCs w:val="21"/>
              </w:rPr>
            </w:pPr>
          </w:p>
        </w:tc>
      </w:tr>
    </w:tbl>
    <w:p w:rsidR="008B5FB4" w:rsidRPr="00257D4E" w:rsidRDefault="008B5FB4">
      <w:pPr>
        <w:rPr>
          <w:rFonts w:ascii="Century" w:hAnsi="Century"/>
          <w:color w:val="333333"/>
          <w:sz w:val="21"/>
          <w:szCs w:val="21"/>
        </w:rPr>
      </w:pPr>
      <w:r w:rsidRPr="00257D4E">
        <w:rPr>
          <w:rFonts w:ascii="Century" w:hAnsi="Century"/>
          <w:color w:val="333333"/>
          <w:sz w:val="21"/>
          <w:szCs w:val="21"/>
        </w:rPr>
        <w:br w:type="page"/>
      </w:r>
    </w:p>
    <w:p w:rsidR="005D21D5" w:rsidRPr="00E973BC" w:rsidRDefault="005D21D5" w:rsidP="005F5BD7">
      <w:pPr>
        <w:jc w:val="center"/>
        <w:rPr>
          <w:rFonts w:ascii="Century" w:hAnsi="Century"/>
          <w:b/>
          <w:color w:val="000066"/>
          <w:sz w:val="20"/>
          <w:szCs w:val="20"/>
        </w:rPr>
      </w:pPr>
      <w:r w:rsidRPr="00E973BC">
        <w:rPr>
          <w:rFonts w:ascii="Century" w:hAnsi="Century"/>
          <w:b/>
          <w:color w:val="000066"/>
          <w:sz w:val="20"/>
          <w:szCs w:val="20"/>
        </w:rPr>
        <w:lastRenderedPageBreak/>
        <w:t>İÇİNDEKİLER</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3A2C7D" w:rsidRPr="00E973BC" w:rsidRDefault="00530BD0" w:rsidP="00EF760F">
      <w:pPr>
        <w:pStyle w:val="TOC1"/>
        <w:jc w:val="center"/>
        <w:rPr>
          <w:color w:val="000066"/>
        </w:rPr>
      </w:pPr>
      <w:r w:rsidRPr="00E973BC">
        <w:rPr>
          <w:color w:val="000066"/>
        </w:rPr>
        <w:t>BÖLÜM</w:t>
      </w:r>
      <w:r w:rsidR="007B009E" w:rsidRPr="00E973BC">
        <w:rPr>
          <w:color w:val="000066"/>
        </w:rPr>
        <w:t xml:space="preserve"> I</w:t>
      </w:r>
    </w:p>
    <w:p w:rsidR="003876B3" w:rsidRPr="00E973BC" w:rsidRDefault="003876B3" w:rsidP="003876B3"/>
    <w:p w:rsidR="006B7CC2" w:rsidRDefault="009E73C3">
      <w:pPr>
        <w:pStyle w:val="TOC1"/>
        <w:rPr>
          <w:rFonts w:asciiTheme="minorHAnsi" w:eastAsiaTheme="minorEastAsia" w:hAnsiTheme="minorHAnsi" w:cstheme="minorBidi"/>
          <w:b w:val="0"/>
          <w:bCs w:val="0"/>
          <w:caps w:val="0"/>
          <w:noProof/>
          <w:sz w:val="22"/>
          <w:szCs w:val="22"/>
        </w:rPr>
      </w:pPr>
      <w:r w:rsidRPr="00E973BC">
        <w:rPr>
          <w:color w:val="002060"/>
          <w:lang w:val="tr-TR"/>
        </w:rPr>
        <w:fldChar w:fldCharType="begin"/>
      </w:r>
      <w:r w:rsidR="005D21D5" w:rsidRPr="00E973BC">
        <w:rPr>
          <w:color w:val="002060"/>
          <w:lang w:val="tr-TR"/>
        </w:rPr>
        <w:instrText xml:space="preserve"> TOC \o "1-4" \u </w:instrText>
      </w:r>
      <w:r w:rsidRPr="00E973BC">
        <w:rPr>
          <w:color w:val="002060"/>
          <w:lang w:val="tr-TR"/>
        </w:rPr>
        <w:fldChar w:fldCharType="separate"/>
      </w:r>
      <w:r w:rsidR="006B7CC2" w:rsidRPr="00CA035C">
        <w:rPr>
          <w:bCs w:val="0"/>
          <w:noProof/>
          <w:color w:val="000080"/>
        </w:rPr>
        <w:t>1.</w:t>
      </w:r>
      <w:r w:rsidR="006B7CC2">
        <w:rPr>
          <w:rFonts w:asciiTheme="minorHAnsi" w:eastAsiaTheme="minorEastAsia" w:hAnsiTheme="minorHAnsi" w:cstheme="minorBidi"/>
          <w:b w:val="0"/>
          <w:bCs w:val="0"/>
          <w:caps w:val="0"/>
          <w:noProof/>
          <w:sz w:val="22"/>
          <w:szCs w:val="22"/>
        </w:rPr>
        <w:tab/>
      </w:r>
      <w:r w:rsidR="006B7CC2" w:rsidRPr="00CA035C">
        <w:rPr>
          <w:noProof/>
          <w:color w:val="000080"/>
        </w:rPr>
        <w:t>TEMEL GÖSTERGELER</w:t>
      </w:r>
      <w:r w:rsidR="006B7CC2">
        <w:rPr>
          <w:noProof/>
        </w:rPr>
        <w:tab/>
      </w:r>
      <w:r w:rsidR="006B7CC2">
        <w:rPr>
          <w:noProof/>
        </w:rPr>
        <w:fldChar w:fldCharType="begin"/>
      </w:r>
      <w:r w:rsidR="006B7CC2">
        <w:rPr>
          <w:noProof/>
        </w:rPr>
        <w:instrText xml:space="preserve"> PAGEREF _Toc12957652 \h </w:instrText>
      </w:r>
      <w:r w:rsidR="006B7CC2">
        <w:rPr>
          <w:noProof/>
        </w:rPr>
      </w:r>
      <w:r w:rsidR="006B7CC2">
        <w:rPr>
          <w:noProof/>
        </w:rPr>
        <w:fldChar w:fldCharType="separate"/>
      </w:r>
      <w:r w:rsidR="00F57699">
        <w:rPr>
          <w:noProof/>
        </w:rPr>
        <w:t>1</w:t>
      </w:r>
      <w:r w:rsidR="006B7CC2">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1.1.</w:t>
      </w:r>
      <w:r>
        <w:rPr>
          <w:rFonts w:asciiTheme="minorHAnsi" w:eastAsiaTheme="minorEastAsia" w:hAnsiTheme="minorHAnsi" w:cstheme="minorBidi"/>
          <w:smallCaps w:val="0"/>
          <w:noProof/>
          <w:sz w:val="22"/>
          <w:szCs w:val="22"/>
        </w:rPr>
        <w:tab/>
      </w:r>
      <w:r w:rsidRPr="00CA035C">
        <w:rPr>
          <w:noProof/>
          <w:color w:val="000080"/>
        </w:rPr>
        <w:t>Türkiye Ekonomisindeki Gelişmeler</w:t>
      </w:r>
      <w:r>
        <w:rPr>
          <w:noProof/>
        </w:rPr>
        <w:tab/>
      </w:r>
      <w:r>
        <w:rPr>
          <w:noProof/>
        </w:rPr>
        <w:fldChar w:fldCharType="begin"/>
      </w:r>
      <w:r>
        <w:rPr>
          <w:noProof/>
        </w:rPr>
        <w:instrText xml:space="preserve"> PAGEREF _Toc12957653 \h </w:instrText>
      </w:r>
      <w:r>
        <w:rPr>
          <w:noProof/>
        </w:rPr>
      </w:r>
      <w:r>
        <w:rPr>
          <w:noProof/>
        </w:rPr>
        <w:fldChar w:fldCharType="separate"/>
      </w:r>
      <w:r w:rsidR="00F57699">
        <w:rPr>
          <w:noProof/>
        </w:rPr>
        <w:t>1</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1.2.</w:t>
      </w:r>
      <w:r>
        <w:rPr>
          <w:rFonts w:asciiTheme="minorHAnsi" w:eastAsiaTheme="minorEastAsia" w:hAnsiTheme="minorHAnsi" w:cstheme="minorBidi"/>
          <w:smallCaps w:val="0"/>
          <w:noProof/>
          <w:sz w:val="22"/>
          <w:szCs w:val="22"/>
        </w:rPr>
        <w:tab/>
      </w:r>
      <w:r w:rsidRPr="00CA035C">
        <w:rPr>
          <w:noProof/>
          <w:color w:val="000080"/>
        </w:rPr>
        <w:t>2018 Yılında Türk Sigortacılık ve Bireysel Emeklilik Sektörleri</w:t>
      </w:r>
      <w:r>
        <w:rPr>
          <w:noProof/>
        </w:rPr>
        <w:tab/>
      </w:r>
      <w:r>
        <w:rPr>
          <w:noProof/>
        </w:rPr>
        <w:fldChar w:fldCharType="begin"/>
      </w:r>
      <w:r>
        <w:rPr>
          <w:noProof/>
        </w:rPr>
        <w:instrText xml:space="preserve"> PAGEREF _Toc12957654 \h </w:instrText>
      </w:r>
      <w:r>
        <w:rPr>
          <w:noProof/>
        </w:rPr>
      </w:r>
      <w:r>
        <w:rPr>
          <w:noProof/>
        </w:rPr>
        <w:fldChar w:fldCharType="separate"/>
      </w:r>
      <w:r w:rsidR="00F57699">
        <w:rPr>
          <w:noProof/>
        </w:rPr>
        <w:t>4</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1.2.1. Prim Üretimi ve Verilen Teminatlar</w:t>
      </w:r>
      <w:r>
        <w:rPr>
          <w:noProof/>
        </w:rPr>
        <w:tab/>
      </w:r>
      <w:r>
        <w:rPr>
          <w:noProof/>
        </w:rPr>
        <w:fldChar w:fldCharType="begin"/>
      </w:r>
      <w:r>
        <w:rPr>
          <w:noProof/>
        </w:rPr>
        <w:instrText xml:space="preserve"> PAGEREF _Toc12957655 \h </w:instrText>
      </w:r>
      <w:r>
        <w:rPr>
          <w:noProof/>
        </w:rPr>
      </w:r>
      <w:r>
        <w:rPr>
          <w:noProof/>
        </w:rPr>
        <w:fldChar w:fldCharType="separate"/>
      </w:r>
      <w:r w:rsidR="00F57699">
        <w:rPr>
          <w:noProof/>
        </w:rPr>
        <w:t>4</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1.2.2. Bireysel Emeklilik Sisteminde Katkı Payı ve Birikim Tutarı</w:t>
      </w:r>
      <w:r>
        <w:rPr>
          <w:noProof/>
        </w:rPr>
        <w:tab/>
      </w:r>
      <w:r>
        <w:rPr>
          <w:noProof/>
        </w:rPr>
        <w:fldChar w:fldCharType="begin"/>
      </w:r>
      <w:r>
        <w:rPr>
          <w:noProof/>
        </w:rPr>
        <w:instrText xml:space="preserve"> PAGEREF _Toc12957656 \h </w:instrText>
      </w:r>
      <w:r>
        <w:rPr>
          <w:noProof/>
        </w:rPr>
      </w:r>
      <w:r>
        <w:rPr>
          <w:noProof/>
        </w:rPr>
        <w:fldChar w:fldCharType="separate"/>
      </w:r>
      <w:r w:rsidR="00F57699">
        <w:rPr>
          <w:noProof/>
        </w:rPr>
        <w:t>5</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1.2.3. Prim Üretimi, Teminatlar, Birikim Tutarı ve GSYH</w:t>
      </w:r>
      <w:r>
        <w:rPr>
          <w:noProof/>
        </w:rPr>
        <w:tab/>
      </w:r>
      <w:r>
        <w:rPr>
          <w:noProof/>
        </w:rPr>
        <w:fldChar w:fldCharType="begin"/>
      </w:r>
      <w:r>
        <w:rPr>
          <w:noProof/>
        </w:rPr>
        <w:instrText xml:space="preserve"> PAGEREF _Toc12957657 \h </w:instrText>
      </w:r>
      <w:r>
        <w:rPr>
          <w:noProof/>
        </w:rPr>
      </w:r>
      <w:r>
        <w:rPr>
          <w:noProof/>
        </w:rPr>
        <w:fldChar w:fldCharType="separate"/>
      </w:r>
      <w:r w:rsidR="00F57699">
        <w:rPr>
          <w:noProof/>
        </w:rPr>
        <w:t>7</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1.2.4. Prim Üretimi Artışları</w:t>
      </w:r>
      <w:r>
        <w:rPr>
          <w:noProof/>
        </w:rPr>
        <w:tab/>
      </w:r>
      <w:r>
        <w:rPr>
          <w:noProof/>
        </w:rPr>
        <w:fldChar w:fldCharType="begin"/>
      </w:r>
      <w:r>
        <w:rPr>
          <w:noProof/>
        </w:rPr>
        <w:instrText xml:space="preserve"> PAGEREF _Toc12957658 \h </w:instrText>
      </w:r>
      <w:r>
        <w:rPr>
          <w:noProof/>
        </w:rPr>
      </w:r>
      <w:r>
        <w:rPr>
          <w:noProof/>
        </w:rPr>
        <w:fldChar w:fldCharType="separate"/>
      </w:r>
      <w:r w:rsidR="00F57699">
        <w:rPr>
          <w:noProof/>
        </w:rPr>
        <w:t>8</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1.3.</w:t>
      </w:r>
      <w:r>
        <w:rPr>
          <w:rFonts w:asciiTheme="minorHAnsi" w:eastAsiaTheme="minorEastAsia" w:hAnsiTheme="minorHAnsi" w:cstheme="minorBidi"/>
          <w:smallCaps w:val="0"/>
          <w:noProof/>
          <w:sz w:val="22"/>
          <w:szCs w:val="22"/>
        </w:rPr>
        <w:tab/>
      </w:r>
      <w:r w:rsidRPr="00CA035C">
        <w:rPr>
          <w:noProof/>
          <w:color w:val="000080"/>
        </w:rPr>
        <w:t>Dünyada Sigortacılık</w:t>
      </w:r>
      <w:r>
        <w:rPr>
          <w:noProof/>
        </w:rPr>
        <w:tab/>
      </w:r>
      <w:r>
        <w:rPr>
          <w:noProof/>
        </w:rPr>
        <w:fldChar w:fldCharType="begin"/>
      </w:r>
      <w:r>
        <w:rPr>
          <w:noProof/>
        </w:rPr>
        <w:instrText xml:space="preserve"> PAGEREF _Toc12957659 \h </w:instrText>
      </w:r>
      <w:r>
        <w:rPr>
          <w:noProof/>
        </w:rPr>
      </w:r>
      <w:r>
        <w:rPr>
          <w:noProof/>
        </w:rPr>
        <w:fldChar w:fldCharType="separate"/>
      </w:r>
      <w:r w:rsidR="00F57699">
        <w:rPr>
          <w:noProof/>
        </w:rPr>
        <w:t>10</w:t>
      </w:r>
      <w:r>
        <w:rPr>
          <w:noProof/>
        </w:rPr>
        <w:fldChar w:fldCharType="end"/>
      </w:r>
    </w:p>
    <w:p w:rsidR="006B7CC2" w:rsidRDefault="006B7CC2">
      <w:pPr>
        <w:pStyle w:val="TOC1"/>
        <w:rPr>
          <w:rFonts w:asciiTheme="minorHAnsi" w:eastAsiaTheme="minorEastAsia" w:hAnsiTheme="minorHAnsi" w:cstheme="minorBidi"/>
          <w:b w:val="0"/>
          <w:bCs w:val="0"/>
          <w:caps w:val="0"/>
          <w:noProof/>
          <w:sz w:val="22"/>
          <w:szCs w:val="22"/>
        </w:rPr>
      </w:pPr>
      <w:r w:rsidRPr="00CA035C">
        <w:rPr>
          <w:bCs w:val="0"/>
          <w:noProof/>
          <w:color w:val="000080"/>
        </w:rPr>
        <w:t>2.</w:t>
      </w:r>
      <w:r>
        <w:rPr>
          <w:rFonts w:asciiTheme="minorHAnsi" w:eastAsiaTheme="minorEastAsia" w:hAnsiTheme="minorHAnsi" w:cstheme="minorBidi"/>
          <w:b w:val="0"/>
          <w:bCs w:val="0"/>
          <w:caps w:val="0"/>
          <w:noProof/>
          <w:sz w:val="22"/>
          <w:szCs w:val="22"/>
        </w:rPr>
        <w:tab/>
      </w:r>
      <w:r w:rsidRPr="00CA035C">
        <w:rPr>
          <w:noProof/>
          <w:color w:val="000080"/>
        </w:rPr>
        <w:t>YAPISAL GÖSTERGELER</w:t>
      </w:r>
      <w:r>
        <w:rPr>
          <w:noProof/>
        </w:rPr>
        <w:tab/>
      </w:r>
      <w:r>
        <w:rPr>
          <w:noProof/>
        </w:rPr>
        <w:fldChar w:fldCharType="begin"/>
      </w:r>
      <w:r>
        <w:rPr>
          <w:noProof/>
        </w:rPr>
        <w:instrText xml:space="preserve"> PAGEREF _Toc12957660 \h </w:instrText>
      </w:r>
      <w:r>
        <w:rPr>
          <w:noProof/>
        </w:rPr>
      </w:r>
      <w:r>
        <w:rPr>
          <w:noProof/>
        </w:rPr>
        <w:fldChar w:fldCharType="separate"/>
      </w:r>
      <w:r w:rsidR="00F57699">
        <w:rPr>
          <w:noProof/>
        </w:rPr>
        <w:t>12</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2.1.</w:t>
      </w:r>
      <w:r>
        <w:rPr>
          <w:rFonts w:asciiTheme="minorHAnsi" w:eastAsiaTheme="minorEastAsia" w:hAnsiTheme="minorHAnsi" w:cstheme="minorBidi"/>
          <w:smallCaps w:val="0"/>
          <w:noProof/>
          <w:sz w:val="22"/>
          <w:szCs w:val="22"/>
        </w:rPr>
        <w:tab/>
      </w:r>
      <w:r w:rsidRPr="00CA035C">
        <w:rPr>
          <w:noProof/>
          <w:color w:val="000080"/>
        </w:rPr>
        <w:t>Şirket Sayıları</w:t>
      </w:r>
      <w:r>
        <w:rPr>
          <w:noProof/>
        </w:rPr>
        <w:tab/>
      </w:r>
      <w:r>
        <w:rPr>
          <w:noProof/>
        </w:rPr>
        <w:fldChar w:fldCharType="begin"/>
      </w:r>
      <w:r>
        <w:rPr>
          <w:noProof/>
        </w:rPr>
        <w:instrText xml:space="preserve"> PAGEREF _Toc12957661 \h </w:instrText>
      </w:r>
      <w:r>
        <w:rPr>
          <w:noProof/>
        </w:rPr>
      </w:r>
      <w:r>
        <w:rPr>
          <w:noProof/>
        </w:rPr>
        <w:fldChar w:fldCharType="separate"/>
      </w:r>
      <w:r w:rsidR="00F57699">
        <w:rPr>
          <w:noProof/>
        </w:rPr>
        <w:t>12</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2.2.</w:t>
      </w:r>
      <w:r>
        <w:rPr>
          <w:rFonts w:asciiTheme="minorHAnsi" w:eastAsiaTheme="minorEastAsia" w:hAnsiTheme="minorHAnsi" w:cstheme="minorBidi"/>
          <w:smallCaps w:val="0"/>
          <w:noProof/>
          <w:sz w:val="22"/>
          <w:szCs w:val="22"/>
        </w:rPr>
        <w:tab/>
      </w:r>
      <w:r w:rsidRPr="00CA035C">
        <w:rPr>
          <w:noProof/>
          <w:color w:val="000080"/>
        </w:rPr>
        <w:t>Poliçe ve Sözleşme Sayıları</w:t>
      </w:r>
      <w:r>
        <w:rPr>
          <w:noProof/>
        </w:rPr>
        <w:tab/>
      </w:r>
      <w:r>
        <w:rPr>
          <w:noProof/>
        </w:rPr>
        <w:fldChar w:fldCharType="begin"/>
      </w:r>
      <w:r>
        <w:rPr>
          <w:noProof/>
        </w:rPr>
        <w:instrText xml:space="preserve"> PAGEREF _Toc12957662 \h </w:instrText>
      </w:r>
      <w:r>
        <w:rPr>
          <w:noProof/>
        </w:rPr>
      </w:r>
      <w:r>
        <w:rPr>
          <w:noProof/>
        </w:rPr>
        <w:fldChar w:fldCharType="separate"/>
      </w:r>
      <w:r w:rsidR="00F57699">
        <w:rPr>
          <w:noProof/>
        </w:rPr>
        <w:t>15</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2.3.</w:t>
      </w:r>
      <w:r>
        <w:rPr>
          <w:rFonts w:asciiTheme="minorHAnsi" w:eastAsiaTheme="minorEastAsia" w:hAnsiTheme="minorHAnsi" w:cstheme="minorBidi"/>
          <w:smallCaps w:val="0"/>
          <w:noProof/>
          <w:sz w:val="22"/>
          <w:szCs w:val="22"/>
        </w:rPr>
        <w:tab/>
      </w:r>
      <w:r w:rsidRPr="00CA035C">
        <w:rPr>
          <w:noProof/>
          <w:color w:val="000080"/>
        </w:rPr>
        <w:t>İstihdam</w:t>
      </w:r>
      <w:r>
        <w:rPr>
          <w:noProof/>
        </w:rPr>
        <w:tab/>
      </w:r>
      <w:r>
        <w:rPr>
          <w:noProof/>
        </w:rPr>
        <w:fldChar w:fldCharType="begin"/>
      </w:r>
      <w:r>
        <w:rPr>
          <w:noProof/>
        </w:rPr>
        <w:instrText xml:space="preserve"> PAGEREF _Toc12957663 \h </w:instrText>
      </w:r>
      <w:r>
        <w:rPr>
          <w:noProof/>
        </w:rPr>
      </w:r>
      <w:r>
        <w:rPr>
          <w:noProof/>
        </w:rPr>
        <w:fldChar w:fldCharType="separate"/>
      </w:r>
      <w:r w:rsidR="00F57699">
        <w:rPr>
          <w:noProof/>
        </w:rPr>
        <w:t>16</w:t>
      </w:r>
      <w:r>
        <w:rPr>
          <w:noProof/>
        </w:rPr>
        <w:fldChar w:fldCharType="end"/>
      </w:r>
    </w:p>
    <w:p w:rsidR="006B7CC2" w:rsidRDefault="006B7CC2">
      <w:pPr>
        <w:pStyle w:val="TOC1"/>
        <w:rPr>
          <w:rFonts w:asciiTheme="minorHAnsi" w:eastAsiaTheme="minorEastAsia" w:hAnsiTheme="minorHAnsi" w:cstheme="minorBidi"/>
          <w:b w:val="0"/>
          <w:bCs w:val="0"/>
          <w:caps w:val="0"/>
          <w:noProof/>
          <w:sz w:val="22"/>
          <w:szCs w:val="22"/>
        </w:rPr>
      </w:pPr>
      <w:r w:rsidRPr="00CA035C">
        <w:rPr>
          <w:bCs w:val="0"/>
          <w:noProof/>
          <w:color w:val="000080"/>
        </w:rPr>
        <w:t>3.</w:t>
      </w:r>
      <w:r>
        <w:rPr>
          <w:rFonts w:asciiTheme="minorHAnsi" w:eastAsiaTheme="minorEastAsia" w:hAnsiTheme="minorHAnsi" w:cstheme="minorBidi"/>
          <w:b w:val="0"/>
          <w:bCs w:val="0"/>
          <w:caps w:val="0"/>
          <w:noProof/>
          <w:sz w:val="22"/>
          <w:szCs w:val="22"/>
        </w:rPr>
        <w:tab/>
      </w:r>
      <w:r w:rsidRPr="00CA035C">
        <w:rPr>
          <w:noProof/>
          <w:color w:val="000080"/>
        </w:rPr>
        <w:t>FİNANSAL VE TEKNİK ANALİZ</w:t>
      </w:r>
      <w:r>
        <w:rPr>
          <w:noProof/>
        </w:rPr>
        <w:tab/>
      </w:r>
      <w:r>
        <w:rPr>
          <w:noProof/>
        </w:rPr>
        <w:fldChar w:fldCharType="begin"/>
      </w:r>
      <w:r>
        <w:rPr>
          <w:noProof/>
        </w:rPr>
        <w:instrText xml:space="preserve"> PAGEREF _Toc12957664 \h </w:instrText>
      </w:r>
      <w:r>
        <w:rPr>
          <w:noProof/>
        </w:rPr>
      </w:r>
      <w:r>
        <w:rPr>
          <w:noProof/>
        </w:rPr>
        <w:fldChar w:fldCharType="separate"/>
      </w:r>
      <w:r w:rsidR="00F57699">
        <w:rPr>
          <w:noProof/>
        </w:rPr>
        <w:t>17</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3.1.</w:t>
      </w:r>
      <w:r>
        <w:rPr>
          <w:rFonts w:asciiTheme="minorHAnsi" w:eastAsiaTheme="minorEastAsia" w:hAnsiTheme="minorHAnsi" w:cstheme="minorBidi"/>
          <w:smallCaps w:val="0"/>
          <w:noProof/>
          <w:sz w:val="22"/>
          <w:szCs w:val="22"/>
        </w:rPr>
        <w:tab/>
      </w:r>
      <w:r w:rsidRPr="00CA035C">
        <w:rPr>
          <w:noProof/>
          <w:color w:val="000080"/>
        </w:rPr>
        <w:t>Özet Finansal Tablo Verileri</w:t>
      </w:r>
      <w:r>
        <w:rPr>
          <w:noProof/>
        </w:rPr>
        <w:tab/>
      </w:r>
      <w:r>
        <w:rPr>
          <w:noProof/>
        </w:rPr>
        <w:fldChar w:fldCharType="begin"/>
      </w:r>
      <w:r>
        <w:rPr>
          <w:noProof/>
        </w:rPr>
        <w:instrText xml:space="preserve"> PAGEREF _Toc12957665 \h </w:instrText>
      </w:r>
      <w:r>
        <w:rPr>
          <w:noProof/>
        </w:rPr>
      </w:r>
      <w:r>
        <w:rPr>
          <w:noProof/>
        </w:rPr>
        <w:fldChar w:fldCharType="separate"/>
      </w:r>
      <w:r w:rsidR="00F57699">
        <w:rPr>
          <w:noProof/>
        </w:rPr>
        <w:t>17</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3.1.1. Varlıklar</w:t>
      </w:r>
      <w:r>
        <w:rPr>
          <w:noProof/>
        </w:rPr>
        <w:tab/>
      </w:r>
      <w:r>
        <w:rPr>
          <w:noProof/>
        </w:rPr>
        <w:fldChar w:fldCharType="begin"/>
      </w:r>
      <w:r>
        <w:rPr>
          <w:noProof/>
        </w:rPr>
        <w:instrText xml:space="preserve"> PAGEREF _Toc12957666 \h </w:instrText>
      </w:r>
      <w:r>
        <w:rPr>
          <w:noProof/>
        </w:rPr>
      </w:r>
      <w:r>
        <w:rPr>
          <w:noProof/>
        </w:rPr>
        <w:fldChar w:fldCharType="separate"/>
      </w:r>
      <w:r w:rsidR="00F57699">
        <w:rPr>
          <w:noProof/>
        </w:rPr>
        <w:t>17</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3.1.2. Yükümlülükler ve Özsermaye</w:t>
      </w:r>
      <w:r>
        <w:rPr>
          <w:noProof/>
        </w:rPr>
        <w:tab/>
      </w:r>
      <w:r>
        <w:rPr>
          <w:noProof/>
        </w:rPr>
        <w:fldChar w:fldCharType="begin"/>
      </w:r>
      <w:r>
        <w:rPr>
          <w:noProof/>
        </w:rPr>
        <w:instrText xml:space="preserve"> PAGEREF _Toc12957667 \h </w:instrText>
      </w:r>
      <w:r>
        <w:rPr>
          <w:noProof/>
        </w:rPr>
      </w:r>
      <w:r>
        <w:rPr>
          <w:noProof/>
        </w:rPr>
        <w:fldChar w:fldCharType="separate"/>
      </w:r>
      <w:r w:rsidR="00F57699">
        <w:rPr>
          <w:noProof/>
        </w:rPr>
        <w:t>19</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3.1.3. Teknik Karşılıklar</w:t>
      </w:r>
      <w:r>
        <w:rPr>
          <w:noProof/>
        </w:rPr>
        <w:tab/>
      </w:r>
      <w:r>
        <w:rPr>
          <w:noProof/>
        </w:rPr>
        <w:fldChar w:fldCharType="begin"/>
      </w:r>
      <w:r>
        <w:rPr>
          <w:noProof/>
        </w:rPr>
        <w:instrText xml:space="preserve"> PAGEREF _Toc12957668 \h </w:instrText>
      </w:r>
      <w:r>
        <w:rPr>
          <w:noProof/>
        </w:rPr>
      </w:r>
      <w:r>
        <w:rPr>
          <w:noProof/>
        </w:rPr>
        <w:fldChar w:fldCharType="separate"/>
      </w:r>
      <w:r w:rsidR="00F57699">
        <w:rPr>
          <w:noProof/>
        </w:rPr>
        <w:t>21</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3.1.4. Prim Üretim Kaynakları</w:t>
      </w:r>
      <w:r>
        <w:rPr>
          <w:noProof/>
        </w:rPr>
        <w:tab/>
      </w:r>
      <w:r>
        <w:rPr>
          <w:noProof/>
        </w:rPr>
        <w:fldChar w:fldCharType="begin"/>
      </w:r>
      <w:r>
        <w:rPr>
          <w:noProof/>
        </w:rPr>
        <w:instrText xml:space="preserve"> PAGEREF _Toc12957669 \h </w:instrText>
      </w:r>
      <w:r>
        <w:rPr>
          <w:noProof/>
        </w:rPr>
      </w:r>
      <w:r>
        <w:rPr>
          <w:noProof/>
        </w:rPr>
        <w:fldChar w:fldCharType="separate"/>
      </w:r>
      <w:r w:rsidR="00F57699">
        <w:rPr>
          <w:noProof/>
        </w:rPr>
        <w:t>24</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3.1.5. Ödenen Tazminatlar</w:t>
      </w:r>
      <w:r>
        <w:rPr>
          <w:noProof/>
        </w:rPr>
        <w:tab/>
      </w:r>
      <w:r>
        <w:rPr>
          <w:noProof/>
        </w:rPr>
        <w:fldChar w:fldCharType="begin"/>
      </w:r>
      <w:r>
        <w:rPr>
          <w:noProof/>
        </w:rPr>
        <w:instrText xml:space="preserve"> PAGEREF _Toc12957670 \h </w:instrText>
      </w:r>
      <w:r>
        <w:rPr>
          <w:noProof/>
        </w:rPr>
      </w:r>
      <w:r>
        <w:rPr>
          <w:noProof/>
        </w:rPr>
        <w:fldChar w:fldCharType="separate"/>
      </w:r>
      <w:r w:rsidR="00F57699">
        <w:rPr>
          <w:noProof/>
        </w:rPr>
        <w:t>26</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3.1.6. Sektör Gelir / Gider Dengesi</w:t>
      </w:r>
      <w:r>
        <w:rPr>
          <w:noProof/>
        </w:rPr>
        <w:tab/>
      </w:r>
      <w:r>
        <w:rPr>
          <w:noProof/>
        </w:rPr>
        <w:fldChar w:fldCharType="begin"/>
      </w:r>
      <w:r>
        <w:rPr>
          <w:noProof/>
        </w:rPr>
        <w:instrText xml:space="preserve"> PAGEREF _Toc12957671 \h </w:instrText>
      </w:r>
      <w:r>
        <w:rPr>
          <w:noProof/>
        </w:rPr>
      </w:r>
      <w:r>
        <w:rPr>
          <w:noProof/>
        </w:rPr>
        <w:fldChar w:fldCharType="separate"/>
      </w:r>
      <w:r w:rsidR="00F57699">
        <w:rPr>
          <w:noProof/>
        </w:rPr>
        <w:t>26</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3.2.</w:t>
      </w:r>
      <w:r>
        <w:rPr>
          <w:rFonts w:asciiTheme="minorHAnsi" w:eastAsiaTheme="minorEastAsia" w:hAnsiTheme="minorHAnsi" w:cstheme="minorBidi"/>
          <w:smallCaps w:val="0"/>
          <w:noProof/>
          <w:sz w:val="22"/>
          <w:szCs w:val="22"/>
        </w:rPr>
        <w:tab/>
      </w:r>
      <w:r w:rsidRPr="00CA035C">
        <w:rPr>
          <w:noProof/>
          <w:color w:val="000080"/>
        </w:rPr>
        <w:t>Sermaye Yeterliliği</w:t>
      </w:r>
      <w:r>
        <w:rPr>
          <w:noProof/>
        </w:rPr>
        <w:tab/>
      </w:r>
      <w:r>
        <w:rPr>
          <w:noProof/>
        </w:rPr>
        <w:fldChar w:fldCharType="begin"/>
      </w:r>
      <w:r>
        <w:rPr>
          <w:noProof/>
        </w:rPr>
        <w:instrText xml:space="preserve"> PAGEREF _Toc12957672 \h </w:instrText>
      </w:r>
      <w:r>
        <w:rPr>
          <w:noProof/>
        </w:rPr>
      </w:r>
      <w:r>
        <w:rPr>
          <w:noProof/>
        </w:rPr>
        <w:fldChar w:fldCharType="separate"/>
      </w:r>
      <w:r w:rsidR="00F57699">
        <w:rPr>
          <w:noProof/>
        </w:rPr>
        <w:t>27</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3.3.</w:t>
      </w:r>
      <w:r>
        <w:rPr>
          <w:rFonts w:asciiTheme="minorHAnsi" w:eastAsiaTheme="minorEastAsia" w:hAnsiTheme="minorHAnsi" w:cstheme="minorBidi"/>
          <w:smallCaps w:val="0"/>
          <w:noProof/>
          <w:sz w:val="22"/>
          <w:szCs w:val="22"/>
        </w:rPr>
        <w:tab/>
      </w:r>
      <w:r w:rsidRPr="00CA035C">
        <w:rPr>
          <w:noProof/>
          <w:color w:val="000080"/>
        </w:rPr>
        <w:t>Finansal Oranlar</w:t>
      </w:r>
      <w:r>
        <w:rPr>
          <w:noProof/>
        </w:rPr>
        <w:tab/>
      </w:r>
      <w:r>
        <w:rPr>
          <w:noProof/>
        </w:rPr>
        <w:fldChar w:fldCharType="begin"/>
      </w:r>
      <w:r>
        <w:rPr>
          <w:noProof/>
        </w:rPr>
        <w:instrText xml:space="preserve"> PAGEREF _Toc12957673 \h </w:instrText>
      </w:r>
      <w:r>
        <w:rPr>
          <w:noProof/>
        </w:rPr>
      </w:r>
      <w:r>
        <w:rPr>
          <w:noProof/>
        </w:rPr>
        <w:fldChar w:fldCharType="separate"/>
      </w:r>
      <w:r w:rsidR="00F57699">
        <w:rPr>
          <w:noProof/>
        </w:rPr>
        <w:t>28</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3.4.</w:t>
      </w:r>
      <w:r>
        <w:rPr>
          <w:rFonts w:asciiTheme="minorHAnsi" w:eastAsiaTheme="minorEastAsia" w:hAnsiTheme="minorHAnsi" w:cstheme="minorBidi"/>
          <w:smallCaps w:val="0"/>
          <w:noProof/>
          <w:sz w:val="22"/>
          <w:szCs w:val="22"/>
        </w:rPr>
        <w:tab/>
      </w:r>
      <w:r w:rsidRPr="00CA035C">
        <w:rPr>
          <w:noProof/>
          <w:color w:val="000080"/>
        </w:rPr>
        <w:t>Teknik Oranlar</w:t>
      </w:r>
      <w:r>
        <w:rPr>
          <w:noProof/>
        </w:rPr>
        <w:tab/>
      </w:r>
      <w:r>
        <w:rPr>
          <w:noProof/>
        </w:rPr>
        <w:fldChar w:fldCharType="begin"/>
      </w:r>
      <w:r>
        <w:rPr>
          <w:noProof/>
        </w:rPr>
        <w:instrText xml:space="preserve"> PAGEREF _Toc12957674 \h </w:instrText>
      </w:r>
      <w:r>
        <w:rPr>
          <w:noProof/>
        </w:rPr>
      </w:r>
      <w:r>
        <w:rPr>
          <w:noProof/>
        </w:rPr>
        <w:fldChar w:fldCharType="separate"/>
      </w:r>
      <w:r w:rsidR="00F57699">
        <w:rPr>
          <w:noProof/>
        </w:rPr>
        <w:t>29</w:t>
      </w:r>
      <w:r>
        <w:rPr>
          <w:noProof/>
        </w:rPr>
        <w:fldChar w:fldCharType="end"/>
      </w:r>
    </w:p>
    <w:p w:rsidR="006B7CC2" w:rsidRDefault="006B7CC2">
      <w:pPr>
        <w:pStyle w:val="TOC1"/>
        <w:rPr>
          <w:rFonts w:asciiTheme="minorHAnsi" w:eastAsiaTheme="minorEastAsia" w:hAnsiTheme="minorHAnsi" w:cstheme="minorBidi"/>
          <w:b w:val="0"/>
          <w:bCs w:val="0"/>
          <w:caps w:val="0"/>
          <w:noProof/>
          <w:sz w:val="22"/>
          <w:szCs w:val="22"/>
        </w:rPr>
      </w:pPr>
      <w:r w:rsidRPr="00CA035C">
        <w:rPr>
          <w:bCs w:val="0"/>
          <w:noProof/>
          <w:color w:val="000080"/>
        </w:rPr>
        <w:t>4.</w:t>
      </w:r>
      <w:r>
        <w:rPr>
          <w:rFonts w:asciiTheme="minorHAnsi" w:eastAsiaTheme="minorEastAsia" w:hAnsiTheme="minorHAnsi" w:cstheme="minorBidi"/>
          <w:b w:val="0"/>
          <w:bCs w:val="0"/>
          <w:caps w:val="0"/>
          <w:noProof/>
          <w:sz w:val="22"/>
          <w:szCs w:val="22"/>
        </w:rPr>
        <w:tab/>
      </w:r>
      <w:r w:rsidRPr="00CA035C">
        <w:rPr>
          <w:noProof/>
          <w:color w:val="000080"/>
        </w:rPr>
        <w:t>BRANŞ BAZINDA DEĞERLENDİRME</w:t>
      </w:r>
      <w:r>
        <w:rPr>
          <w:noProof/>
        </w:rPr>
        <w:tab/>
      </w:r>
      <w:r>
        <w:rPr>
          <w:noProof/>
        </w:rPr>
        <w:fldChar w:fldCharType="begin"/>
      </w:r>
      <w:r>
        <w:rPr>
          <w:noProof/>
        </w:rPr>
        <w:instrText xml:space="preserve"> PAGEREF _Toc12957675 \h </w:instrText>
      </w:r>
      <w:r>
        <w:rPr>
          <w:noProof/>
        </w:rPr>
      </w:r>
      <w:r>
        <w:rPr>
          <w:noProof/>
        </w:rPr>
        <w:fldChar w:fldCharType="separate"/>
      </w:r>
      <w:r w:rsidR="00F57699">
        <w:rPr>
          <w:noProof/>
        </w:rPr>
        <w:t>32</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4.1.</w:t>
      </w:r>
      <w:r>
        <w:rPr>
          <w:rFonts w:asciiTheme="minorHAnsi" w:eastAsiaTheme="minorEastAsia" w:hAnsiTheme="minorHAnsi" w:cstheme="minorBidi"/>
          <w:smallCaps w:val="0"/>
          <w:noProof/>
          <w:sz w:val="22"/>
          <w:szCs w:val="22"/>
        </w:rPr>
        <w:tab/>
      </w:r>
      <w:r w:rsidRPr="00CA035C">
        <w:rPr>
          <w:noProof/>
          <w:color w:val="000080"/>
        </w:rPr>
        <w:t>Genel Değerlendirme</w:t>
      </w:r>
      <w:r>
        <w:rPr>
          <w:noProof/>
        </w:rPr>
        <w:tab/>
      </w:r>
      <w:r>
        <w:rPr>
          <w:noProof/>
        </w:rPr>
        <w:fldChar w:fldCharType="begin"/>
      </w:r>
      <w:r>
        <w:rPr>
          <w:noProof/>
        </w:rPr>
        <w:instrText xml:space="preserve"> PAGEREF _Toc12957676 \h </w:instrText>
      </w:r>
      <w:r>
        <w:rPr>
          <w:noProof/>
        </w:rPr>
      </w:r>
      <w:r>
        <w:rPr>
          <w:noProof/>
        </w:rPr>
        <w:fldChar w:fldCharType="separate"/>
      </w:r>
      <w:r w:rsidR="00F57699">
        <w:rPr>
          <w:noProof/>
        </w:rPr>
        <w:t>32</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4.2.</w:t>
      </w:r>
      <w:r>
        <w:rPr>
          <w:rFonts w:asciiTheme="minorHAnsi" w:eastAsiaTheme="minorEastAsia" w:hAnsiTheme="minorHAnsi" w:cstheme="minorBidi"/>
          <w:smallCaps w:val="0"/>
          <w:noProof/>
          <w:sz w:val="22"/>
          <w:szCs w:val="22"/>
        </w:rPr>
        <w:tab/>
      </w:r>
      <w:r w:rsidRPr="00CA035C">
        <w:rPr>
          <w:noProof/>
          <w:color w:val="000080"/>
        </w:rPr>
        <w:t>Hayat Dışı Sigorta Branşları</w:t>
      </w:r>
      <w:r>
        <w:rPr>
          <w:noProof/>
        </w:rPr>
        <w:tab/>
      </w:r>
      <w:r>
        <w:rPr>
          <w:noProof/>
        </w:rPr>
        <w:fldChar w:fldCharType="begin"/>
      </w:r>
      <w:r>
        <w:rPr>
          <w:noProof/>
        </w:rPr>
        <w:instrText xml:space="preserve"> PAGEREF _Toc12957677 \h </w:instrText>
      </w:r>
      <w:r>
        <w:rPr>
          <w:noProof/>
        </w:rPr>
      </w:r>
      <w:r>
        <w:rPr>
          <w:noProof/>
        </w:rPr>
        <w:fldChar w:fldCharType="separate"/>
      </w:r>
      <w:r w:rsidR="00F57699">
        <w:rPr>
          <w:noProof/>
        </w:rPr>
        <w:t>36</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4.2.1. Hastalık / Sağlık Branşı</w:t>
      </w:r>
      <w:r>
        <w:rPr>
          <w:noProof/>
        </w:rPr>
        <w:tab/>
      </w:r>
      <w:r>
        <w:rPr>
          <w:noProof/>
        </w:rPr>
        <w:fldChar w:fldCharType="begin"/>
      </w:r>
      <w:r>
        <w:rPr>
          <w:noProof/>
        </w:rPr>
        <w:instrText xml:space="preserve"> PAGEREF _Toc12957678 \h </w:instrText>
      </w:r>
      <w:r>
        <w:rPr>
          <w:noProof/>
        </w:rPr>
      </w:r>
      <w:r>
        <w:rPr>
          <w:noProof/>
        </w:rPr>
        <w:fldChar w:fldCharType="separate"/>
      </w:r>
      <w:r w:rsidR="00F57699">
        <w:rPr>
          <w:noProof/>
        </w:rPr>
        <w:t>38</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4.2.2. Kaza Branşı</w:t>
      </w:r>
      <w:r>
        <w:rPr>
          <w:noProof/>
        </w:rPr>
        <w:tab/>
      </w:r>
      <w:r>
        <w:rPr>
          <w:noProof/>
        </w:rPr>
        <w:fldChar w:fldCharType="begin"/>
      </w:r>
      <w:r>
        <w:rPr>
          <w:noProof/>
        </w:rPr>
        <w:instrText xml:space="preserve"> PAGEREF _Toc12957679 \h </w:instrText>
      </w:r>
      <w:r>
        <w:rPr>
          <w:noProof/>
        </w:rPr>
      </w:r>
      <w:r>
        <w:rPr>
          <w:noProof/>
        </w:rPr>
        <w:fldChar w:fldCharType="separate"/>
      </w:r>
      <w:r w:rsidR="00F57699">
        <w:rPr>
          <w:noProof/>
        </w:rPr>
        <w:t>40</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4.2.3. Kara Araçları Branşı</w:t>
      </w:r>
      <w:r>
        <w:rPr>
          <w:noProof/>
        </w:rPr>
        <w:tab/>
      </w:r>
      <w:r>
        <w:rPr>
          <w:noProof/>
        </w:rPr>
        <w:fldChar w:fldCharType="begin"/>
      </w:r>
      <w:r>
        <w:rPr>
          <w:noProof/>
        </w:rPr>
        <w:instrText xml:space="preserve"> PAGEREF _Toc12957680 \h </w:instrText>
      </w:r>
      <w:r>
        <w:rPr>
          <w:noProof/>
        </w:rPr>
      </w:r>
      <w:r>
        <w:rPr>
          <w:noProof/>
        </w:rPr>
        <w:fldChar w:fldCharType="separate"/>
      </w:r>
      <w:r w:rsidR="00F57699">
        <w:rPr>
          <w:noProof/>
        </w:rPr>
        <w:t>42</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4.2.4. Kara Araçları Sorumluluk Branşı</w:t>
      </w:r>
      <w:r>
        <w:rPr>
          <w:noProof/>
        </w:rPr>
        <w:tab/>
      </w:r>
      <w:r>
        <w:rPr>
          <w:noProof/>
        </w:rPr>
        <w:fldChar w:fldCharType="begin"/>
      </w:r>
      <w:r>
        <w:rPr>
          <w:noProof/>
        </w:rPr>
        <w:instrText xml:space="preserve"> PAGEREF _Toc12957681 \h </w:instrText>
      </w:r>
      <w:r>
        <w:rPr>
          <w:noProof/>
        </w:rPr>
      </w:r>
      <w:r>
        <w:rPr>
          <w:noProof/>
        </w:rPr>
        <w:fldChar w:fldCharType="separate"/>
      </w:r>
      <w:r w:rsidR="00F57699">
        <w:rPr>
          <w:noProof/>
        </w:rPr>
        <w:t>44</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4.2.5. Yangın ve Doğal Afetler Branşı</w:t>
      </w:r>
      <w:r>
        <w:rPr>
          <w:noProof/>
        </w:rPr>
        <w:tab/>
      </w:r>
      <w:r>
        <w:rPr>
          <w:noProof/>
        </w:rPr>
        <w:fldChar w:fldCharType="begin"/>
      </w:r>
      <w:r>
        <w:rPr>
          <w:noProof/>
        </w:rPr>
        <w:instrText xml:space="preserve"> PAGEREF _Toc12957682 \h </w:instrText>
      </w:r>
      <w:r>
        <w:rPr>
          <w:noProof/>
        </w:rPr>
      </w:r>
      <w:r>
        <w:rPr>
          <w:noProof/>
        </w:rPr>
        <w:fldChar w:fldCharType="separate"/>
      </w:r>
      <w:r w:rsidR="00F57699">
        <w:rPr>
          <w:noProof/>
        </w:rPr>
        <w:t>46</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4.2.6. Genel Zararlar Branşı</w:t>
      </w:r>
      <w:r>
        <w:rPr>
          <w:noProof/>
        </w:rPr>
        <w:tab/>
      </w:r>
      <w:r>
        <w:rPr>
          <w:noProof/>
        </w:rPr>
        <w:fldChar w:fldCharType="begin"/>
      </w:r>
      <w:r>
        <w:rPr>
          <w:noProof/>
        </w:rPr>
        <w:instrText xml:space="preserve"> PAGEREF _Toc12957683 \h </w:instrText>
      </w:r>
      <w:r>
        <w:rPr>
          <w:noProof/>
        </w:rPr>
      </w:r>
      <w:r>
        <w:rPr>
          <w:noProof/>
        </w:rPr>
        <w:fldChar w:fldCharType="separate"/>
      </w:r>
      <w:r w:rsidR="00F57699">
        <w:rPr>
          <w:noProof/>
        </w:rPr>
        <w:t>48</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4.2.7. Nakliyat ve Su Araçları Branşı</w:t>
      </w:r>
      <w:r>
        <w:rPr>
          <w:noProof/>
        </w:rPr>
        <w:tab/>
      </w:r>
      <w:r>
        <w:rPr>
          <w:noProof/>
        </w:rPr>
        <w:fldChar w:fldCharType="begin"/>
      </w:r>
      <w:r>
        <w:rPr>
          <w:noProof/>
        </w:rPr>
        <w:instrText xml:space="preserve"> PAGEREF _Toc12957684 \h </w:instrText>
      </w:r>
      <w:r>
        <w:rPr>
          <w:noProof/>
        </w:rPr>
      </w:r>
      <w:r>
        <w:rPr>
          <w:noProof/>
        </w:rPr>
        <w:fldChar w:fldCharType="separate"/>
      </w:r>
      <w:r w:rsidR="00F57699">
        <w:rPr>
          <w:noProof/>
        </w:rPr>
        <w:t>51</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4.2.8. Genel Sorumluluk Branşı</w:t>
      </w:r>
      <w:r>
        <w:rPr>
          <w:noProof/>
        </w:rPr>
        <w:tab/>
      </w:r>
      <w:r>
        <w:rPr>
          <w:noProof/>
        </w:rPr>
        <w:fldChar w:fldCharType="begin"/>
      </w:r>
      <w:r>
        <w:rPr>
          <w:noProof/>
        </w:rPr>
        <w:instrText xml:space="preserve"> PAGEREF _Toc12957685 \h </w:instrText>
      </w:r>
      <w:r>
        <w:rPr>
          <w:noProof/>
        </w:rPr>
      </w:r>
      <w:r>
        <w:rPr>
          <w:noProof/>
        </w:rPr>
        <w:fldChar w:fldCharType="separate"/>
      </w:r>
      <w:r w:rsidR="00F57699">
        <w:rPr>
          <w:noProof/>
        </w:rPr>
        <w:t>53</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4.2.9. Hukuksal Koruma Branşı</w:t>
      </w:r>
      <w:r>
        <w:rPr>
          <w:noProof/>
        </w:rPr>
        <w:tab/>
      </w:r>
      <w:r>
        <w:rPr>
          <w:noProof/>
        </w:rPr>
        <w:fldChar w:fldCharType="begin"/>
      </w:r>
      <w:r>
        <w:rPr>
          <w:noProof/>
        </w:rPr>
        <w:instrText xml:space="preserve"> PAGEREF _Toc12957686 \h </w:instrText>
      </w:r>
      <w:r>
        <w:rPr>
          <w:noProof/>
        </w:rPr>
      </w:r>
      <w:r>
        <w:rPr>
          <w:noProof/>
        </w:rPr>
        <w:fldChar w:fldCharType="separate"/>
      </w:r>
      <w:r w:rsidR="00F57699">
        <w:rPr>
          <w:noProof/>
        </w:rPr>
        <w:t>55</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4.2.10. Kredi Branşı</w:t>
      </w:r>
      <w:r>
        <w:rPr>
          <w:noProof/>
        </w:rPr>
        <w:tab/>
      </w:r>
      <w:r>
        <w:rPr>
          <w:noProof/>
        </w:rPr>
        <w:fldChar w:fldCharType="begin"/>
      </w:r>
      <w:r>
        <w:rPr>
          <w:noProof/>
        </w:rPr>
        <w:instrText xml:space="preserve"> PAGEREF _Toc12957687 \h </w:instrText>
      </w:r>
      <w:r>
        <w:rPr>
          <w:noProof/>
        </w:rPr>
      </w:r>
      <w:r>
        <w:rPr>
          <w:noProof/>
        </w:rPr>
        <w:fldChar w:fldCharType="separate"/>
      </w:r>
      <w:r w:rsidR="00F57699">
        <w:rPr>
          <w:noProof/>
        </w:rPr>
        <w:t>56</w:t>
      </w:r>
      <w:r>
        <w:rPr>
          <w:noProof/>
        </w:rPr>
        <w:fldChar w:fldCharType="end"/>
      </w:r>
    </w:p>
    <w:p w:rsidR="006B7CC2" w:rsidRDefault="006B7CC2">
      <w:pPr>
        <w:pStyle w:val="TOC3"/>
        <w:rPr>
          <w:rFonts w:asciiTheme="minorHAnsi" w:eastAsiaTheme="minorEastAsia" w:hAnsiTheme="minorHAnsi" w:cstheme="minorBidi"/>
          <w:i w:val="0"/>
          <w:iCs w:val="0"/>
          <w:noProof/>
          <w:sz w:val="22"/>
          <w:szCs w:val="22"/>
        </w:rPr>
      </w:pPr>
      <w:r w:rsidRPr="00CA035C">
        <w:rPr>
          <w:rFonts w:ascii="Century" w:hAnsi="Century"/>
          <w:noProof/>
          <w:color w:val="000080"/>
        </w:rPr>
        <w:t>4.2.11. Finansal Kayıplar Branşı</w:t>
      </w:r>
      <w:r>
        <w:rPr>
          <w:noProof/>
        </w:rPr>
        <w:tab/>
      </w:r>
      <w:r>
        <w:rPr>
          <w:noProof/>
        </w:rPr>
        <w:fldChar w:fldCharType="begin"/>
      </w:r>
      <w:r>
        <w:rPr>
          <w:noProof/>
        </w:rPr>
        <w:instrText xml:space="preserve"> PAGEREF _Toc12957688 \h </w:instrText>
      </w:r>
      <w:r>
        <w:rPr>
          <w:noProof/>
        </w:rPr>
      </w:r>
      <w:r>
        <w:rPr>
          <w:noProof/>
        </w:rPr>
        <w:fldChar w:fldCharType="separate"/>
      </w:r>
      <w:r w:rsidR="00F57699">
        <w:rPr>
          <w:noProof/>
        </w:rPr>
        <w:t>57</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4.3.</w:t>
      </w:r>
      <w:r>
        <w:rPr>
          <w:rFonts w:asciiTheme="minorHAnsi" w:eastAsiaTheme="minorEastAsia" w:hAnsiTheme="minorHAnsi" w:cstheme="minorBidi"/>
          <w:smallCaps w:val="0"/>
          <w:noProof/>
          <w:sz w:val="22"/>
          <w:szCs w:val="22"/>
        </w:rPr>
        <w:tab/>
      </w:r>
      <w:r w:rsidRPr="00CA035C">
        <w:rPr>
          <w:noProof/>
          <w:color w:val="000080"/>
        </w:rPr>
        <w:t>Hayat Branşı</w:t>
      </w:r>
      <w:r>
        <w:rPr>
          <w:noProof/>
        </w:rPr>
        <w:tab/>
      </w:r>
      <w:r>
        <w:rPr>
          <w:noProof/>
        </w:rPr>
        <w:fldChar w:fldCharType="begin"/>
      </w:r>
      <w:r>
        <w:rPr>
          <w:noProof/>
        </w:rPr>
        <w:instrText xml:space="preserve"> PAGEREF _Toc12957689 \h </w:instrText>
      </w:r>
      <w:r>
        <w:rPr>
          <w:noProof/>
        </w:rPr>
      </w:r>
      <w:r>
        <w:rPr>
          <w:noProof/>
        </w:rPr>
        <w:fldChar w:fldCharType="separate"/>
      </w:r>
      <w:r w:rsidR="00F57699">
        <w:rPr>
          <w:noProof/>
        </w:rPr>
        <w:t>58</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4.4.</w:t>
      </w:r>
      <w:r>
        <w:rPr>
          <w:rFonts w:asciiTheme="minorHAnsi" w:eastAsiaTheme="minorEastAsia" w:hAnsiTheme="minorHAnsi" w:cstheme="minorBidi"/>
          <w:smallCaps w:val="0"/>
          <w:noProof/>
          <w:sz w:val="22"/>
          <w:szCs w:val="22"/>
        </w:rPr>
        <w:tab/>
      </w:r>
      <w:r w:rsidRPr="00CA035C">
        <w:rPr>
          <w:noProof/>
          <w:color w:val="000080"/>
        </w:rPr>
        <w:t>Bireysel Emeklilik Sistemi</w:t>
      </w:r>
      <w:r>
        <w:rPr>
          <w:noProof/>
        </w:rPr>
        <w:tab/>
      </w:r>
      <w:r>
        <w:rPr>
          <w:noProof/>
        </w:rPr>
        <w:fldChar w:fldCharType="begin"/>
      </w:r>
      <w:r>
        <w:rPr>
          <w:noProof/>
        </w:rPr>
        <w:instrText xml:space="preserve"> PAGEREF _Toc12957690 \h </w:instrText>
      </w:r>
      <w:r>
        <w:rPr>
          <w:noProof/>
        </w:rPr>
      </w:r>
      <w:r>
        <w:rPr>
          <w:noProof/>
        </w:rPr>
        <w:fldChar w:fldCharType="separate"/>
      </w:r>
      <w:r w:rsidR="00F57699">
        <w:rPr>
          <w:noProof/>
        </w:rPr>
        <w:t>62</w:t>
      </w:r>
      <w:r>
        <w:rPr>
          <w:noProof/>
        </w:rPr>
        <w:fldChar w:fldCharType="end"/>
      </w:r>
    </w:p>
    <w:p w:rsidR="006B7CC2" w:rsidRDefault="006B7CC2">
      <w:pPr>
        <w:pStyle w:val="TOC1"/>
        <w:rPr>
          <w:rFonts w:asciiTheme="minorHAnsi" w:eastAsiaTheme="minorEastAsia" w:hAnsiTheme="minorHAnsi" w:cstheme="minorBidi"/>
          <w:b w:val="0"/>
          <w:bCs w:val="0"/>
          <w:caps w:val="0"/>
          <w:noProof/>
          <w:sz w:val="22"/>
          <w:szCs w:val="22"/>
        </w:rPr>
      </w:pPr>
      <w:r w:rsidRPr="00CA035C">
        <w:rPr>
          <w:bCs w:val="0"/>
          <w:noProof/>
          <w:color w:val="000080"/>
        </w:rPr>
        <w:t>5.</w:t>
      </w:r>
      <w:r>
        <w:rPr>
          <w:rFonts w:asciiTheme="minorHAnsi" w:eastAsiaTheme="minorEastAsia" w:hAnsiTheme="minorHAnsi" w:cstheme="minorBidi"/>
          <w:b w:val="0"/>
          <w:bCs w:val="0"/>
          <w:caps w:val="0"/>
          <w:noProof/>
          <w:sz w:val="22"/>
          <w:szCs w:val="22"/>
        </w:rPr>
        <w:tab/>
      </w:r>
      <w:r w:rsidRPr="00CA035C">
        <w:rPr>
          <w:bCs w:val="0"/>
          <w:iCs/>
          <w:noProof/>
          <w:color w:val="000080"/>
        </w:rPr>
        <w:t>SİGORTACILIK VE BİREYSEL EMEKLİLİK ALANINDA FAALİYET GÖSTEREN DİĞER KURULUŞLAR</w:t>
      </w:r>
      <w:r>
        <w:rPr>
          <w:noProof/>
        </w:rPr>
        <w:tab/>
      </w:r>
      <w:r>
        <w:rPr>
          <w:noProof/>
        </w:rPr>
        <w:fldChar w:fldCharType="begin"/>
      </w:r>
      <w:r>
        <w:rPr>
          <w:noProof/>
        </w:rPr>
        <w:instrText xml:space="preserve"> PAGEREF _Toc12957691 \h </w:instrText>
      </w:r>
      <w:r>
        <w:rPr>
          <w:noProof/>
        </w:rPr>
      </w:r>
      <w:r>
        <w:rPr>
          <w:noProof/>
        </w:rPr>
        <w:fldChar w:fldCharType="separate"/>
      </w:r>
      <w:r w:rsidR="00F57699">
        <w:rPr>
          <w:noProof/>
        </w:rPr>
        <w:t>66</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5.1.</w:t>
      </w:r>
      <w:r>
        <w:rPr>
          <w:rFonts w:asciiTheme="minorHAnsi" w:eastAsiaTheme="minorEastAsia" w:hAnsiTheme="minorHAnsi" w:cstheme="minorBidi"/>
          <w:smallCaps w:val="0"/>
          <w:noProof/>
          <w:sz w:val="22"/>
          <w:szCs w:val="22"/>
        </w:rPr>
        <w:tab/>
      </w:r>
      <w:r w:rsidRPr="00CA035C">
        <w:rPr>
          <w:noProof/>
          <w:color w:val="000080"/>
          <w:kern w:val="24"/>
        </w:rPr>
        <w:t>Doğal Afet Sigortaları Kurumu (DASK)</w:t>
      </w:r>
      <w:r>
        <w:rPr>
          <w:noProof/>
        </w:rPr>
        <w:tab/>
      </w:r>
      <w:r>
        <w:rPr>
          <w:noProof/>
        </w:rPr>
        <w:fldChar w:fldCharType="begin"/>
      </w:r>
      <w:r>
        <w:rPr>
          <w:noProof/>
        </w:rPr>
        <w:instrText xml:space="preserve"> PAGEREF _Toc12957692 \h </w:instrText>
      </w:r>
      <w:r>
        <w:rPr>
          <w:noProof/>
        </w:rPr>
      </w:r>
      <w:r>
        <w:rPr>
          <w:noProof/>
        </w:rPr>
        <w:fldChar w:fldCharType="separate"/>
      </w:r>
      <w:r w:rsidR="00F57699">
        <w:rPr>
          <w:noProof/>
        </w:rPr>
        <w:t>66</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5.2.</w:t>
      </w:r>
      <w:r>
        <w:rPr>
          <w:rFonts w:asciiTheme="minorHAnsi" w:eastAsiaTheme="minorEastAsia" w:hAnsiTheme="minorHAnsi" w:cstheme="minorBidi"/>
          <w:smallCaps w:val="0"/>
          <w:noProof/>
          <w:sz w:val="22"/>
          <w:szCs w:val="22"/>
        </w:rPr>
        <w:tab/>
      </w:r>
      <w:r w:rsidRPr="00CA035C">
        <w:rPr>
          <w:noProof/>
          <w:color w:val="000080"/>
        </w:rPr>
        <w:t>Tarım Sigortaları Havuzu (TARSİM)</w:t>
      </w:r>
      <w:r>
        <w:rPr>
          <w:noProof/>
        </w:rPr>
        <w:tab/>
      </w:r>
      <w:r>
        <w:rPr>
          <w:noProof/>
        </w:rPr>
        <w:fldChar w:fldCharType="begin"/>
      </w:r>
      <w:r>
        <w:rPr>
          <w:noProof/>
        </w:rPr>
        <w:instrText xml:space="preserve"> PAGEREF _Toc12957693 \h </w:instrText>
      </w:r>
      <w:r>
        <w:rPr>
          <w:noProof/>
        </w:rPr>
      </w:r>
      <w:r>
        <w:rPr>
          <w:noProof/>
        </w:rPr>
        <w:fldChar w:fldCharType="separate"/>
      </w:r>
      <w:r w:rsidR="00F57699">
        <w:rPr>
          <w:noProof/>
        </w:rPr>
        <w:t>71</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5.3.</w:t>
      </w:r>
      <w:r>
        <w:rPr>
          <w:rFonts w:asciiTheme="minorHAnsi" w:eastAsiaTheme="minorEastAsia" w:hAnsiTheme="minorHAnsi" w:cstheme="minorBidi"/>
          <w:smallCaps w:val="0"/>
          <w:noProof/>
          <w:sz w:val="22"/>
          <w:szCs w:val="22"/>
        </w:rPr>
        <w:tab/>
      </w:r>
      <w:r w:rsidRPr="00CA035C">
        <w:rPr>
          <w:noProof/>
          <w:color w:val="000080"/>
        </w:rPr>
        <w:t>Türkiye Motorlu Taşıt Bürosu</w:t>
      </w:r>
      <w:r>
        <w:rPr>
          <w:noProof/>
        </w:rPr>
        <w:tab/>
      </w:r>
      <w:r>
        <w:rPr>
          <w:noProof/>
        </w:rPr>
        <w:fldChar w:fldCharType="begin"/>
      </w:r>
      <w:r>
        <w:rPr>
          <w:noProof/>
        </w:rPr>
        <w:instrText xml:space="preserve"> PAGEREF _Toc12957694 \h </w:instrText>
      </w:r>
      <w:r>
        <w:rPr>
          <w:noProof/>
        </w:rPr>
      </w:r>
      <w:r>
        <w:rPr>
          <w:noProof/>
        </w:rPr>
        <w:fldChar w:fldCharType="separate"/>
      </w:r>
      <w:r w:rsidR="00F57699">
        <w:rPr>
          <w:noProof/>
        </w:rPr>
        <w:t>74</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5.4.</w:t>
      </w:r>
      <w:r>
        <w:rPr>
          <w:rFonts w:asciiTheme="minorHAnsi" w:eastAsiaTheme="minorEastAsia" w:hAnsiTheme="minorHAnsi" w:cstheme="minorBidi"/>
          <w:smallCaps w:val="0"/>
          <w:noProof/>
          <w:sz w:val="22"/>
          <w:szCs w:val="22"/>
        </w:rPr>
        <w:tab/>
      </w:r>
      <w:r w:rsidRPr="00CA035C">
        <w:rPr>
          <w:noProof/>
          <w:color w:val="000080"/>
        </w:rPr>
        <w:t>Güvence Hesabı</w:t>
      </w:r>
      <w:r>
        <w:rPr>
          <w:noProof/>
        </w:rPr>
        <w:tab/>
      </w:r>
      <w:r>
        <w:rPr>
          <w:noProof/>
        </w:rPr>
        <w:fldChar w:fldCharType="begin"/>
      </w:r>
      <w:r>
        <w:rPr>
          <w:noProof/>
        </w:rPr>
        <w:instrText xml:space="preserve"> PAGEREF _Toc12957695 \h </w:instrText>
      </w:r>
      <w:r>
        <w:rPr>
          <w:noProof/>
        </w:rPr>
      </w:r>
      <w:r>
        <w:rPr>
          <w:noProof/>
        </w:rPr>
        <w:fldChar w:fldCharType="separate"/>
      </w:r>
      <w:r w:rsidR="00F57699">
        <w:rPr>
          <w:noProof/>
        </w:rPr>
        <w:t>76</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5.5.</w:t>
      </w:r>
      <w:r>
        <w:rPr>
          <w:rFonts w:asciiTheme="minorHAnsi" w:eastAsiaTheme="minorEastAsia" w:hAnsiTheme="minorHAnsi" w:cstheme="minorBidi"/>
          <w:smallCaps w:val="0"/>
          <w:noProof/>
          <w:sz w:val="22"/>
          <w:szCs w:val="22"/>
        </w:rPr>
        <w:tab/>
      </w:r>
      <w:r w:rsidRPr="00CA035C">
        <w:rPr>
          <w:noProof/>
          <w:color w:val="000080"/>
        </w:rPr>
        <w:t>Sigorta Tahkim Komisyonu</w:t>
      </w:r>
      <w:r>
        <w:rPr>
          <w:noProof/>
        </w:rPr>
        <w:tab/>
      </w:r>
      <w:r>
        <w:rPr>
          <w:noProof/>
        </w:rPr>
        <w:fldChar w:fldCharType="begin"/>
      </w:r>
      <w:r>
        <w:rPr>
          <w:noProof/>
        </w:rPr>
        <w:instrText xml:space="preserve"> PAGEREF _Toc12957696 \h </w:instrText>
      </w:r>
      <w:r>
        <w:rPr>
          <w:noProof/>
        </w:rPr>
      </w:r>
      <w:r>
        <w:rPr>
          <w:noProof/>
        </w:rPr>
        <w:fldChar w:fldCharType="separate"/>
      </w:r>
      <w:r w:rsidR="00F57699">
        <w:rPr>
          <w:noProof/>
        </w:rPr>
        <w:t>77</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5.6.</w:t>
      </w:r>
      <w:r>
        <w:rPr>
          <w:rFonts w:asciiTheme="minorHAnsi" w:eastAsiaTheme="minorEastAsia" w:hAnsiTheme="minorHAnsi" w:cstheme="minorBidi"/>
          <w:smallCaps w:val="0"/>
          <w:noProof/>
          <w:sz w:val="22"/>
          <w:szCs w:val="22"/>
        </w:rPr>
        <w:tab/>
      </w:r>
      <w:r w:rsidRPr="00CA035C">
        <w:rPr>
          <w:noProof/>
          <w:color w:val="000080"/>
        </w:rPr>
        <w:t>Sigorta Bilgi ve Gözetim Merkezi</w:t>
      </w:r>
      <w:r>
        <w:rPr>
          <w:noProof/>
        </w:rPr>
        <w:tab/>
      </w:r>
      <w:r>
        <w:rPr>
          <w:noProof/>
        </w:rPr>
        <w:fldChar w:fldCharType="begin"/>
      </w:r>
      <w:r>
        <w:rPr>
          <w:noProof/>
        </w:rPr>
        <w:instrText xml:space="preserve"> PAGEREF _Toc12957697 \h </w:instrText>
      </w:r>
      <w:r>
        <w:rPr>
          <w:noProof/>
        </w:rPr>
      </w:r>
      <w:r>
        <w:rPr>
          <w:noProof/>
        </w:rPr>
        <w:fldChar w:fldCharType="separate"/>
      </w:r>
      <w:r w:rsidR="00F57699">
        <w:rPr>
          <w:noProof/>
        </w:rPr>
        <w:t>79</w:t>
      </w:r>
      <w:r>
        <w:rPr>
          <w:noProof/>
        </w:rPr>
        <w:fldChar w:fldCharType="end"/>
      </w:r>
    </w:p>
    <w:p w:rsidR="006B7CC2" w:rsidRDefault="006B7CC2">
      <w:pPr>
        <w:pStyle w:val="TOC2"/>
        <w:rPr>
          <w:rFonts w:asciiTheme="minorHAnsi" w:eastAsiaTheme="minorEastAsia" w:hAnsiTheme="minorHAnsi" w:cstheme="minorBidi"/>
          <w:smallCaps w:val="0"/>
          <w:noProof/>
          <w:sz w:val="22"/>
          <w:szCs w:val="22"/>
        </w:rPr>
      </w:pPr>
      <w:r w:rsidRPr="00CA035C">
        <w:rPr>
          <w:noProof/>
          <w:color w:val="000080"/>
        </w:rPr>
        <w:t>5.7.</w:t>
      </w:r>
      <w:r>
        <w:rPr>
          <w:rFonts w:asciiTheme="minorHAnsi" w:eastAsiaTheme="minorEastAsia" w:hAnsiTheme="minorHAnsi" w:cstheme="minorBidi"/>
          <w:smallCaps w:val="0"/>
          <w:noProof/>
          <w:sz w:val="22"/>
          <w:szCs w:val="22"/>
        </w:rPr>
        <w:tab/>
      </w:r>
      <w:r w:rsidRPr="00CA035C">
        <w:rPr>
          <w:noProof/>
          <w:color w:val="000080"/>
        </w:rPr>
        <w:t>Emeklilik Gözetim Merkezi</w:t>
      </w:r>
      <w:r>
        <w:rPr>
          <w:noProof/>
        </w:rPr>
        <w:tab/>
      </w:r>
      <w:r>
        <w:rPr>
          <w:noProof/>
        </w:rPr>
        <w:fldChar w:fldCharType="begin"/>
      </w:r>
      <w:r>
        <w:rPr>
          <w:noProof/>
        </w:rPr>
        <w:instrText xml:space="preserve"> PAGEREF _Toc12957698 \h </w:instrText>
      </w:r>
      <w:r>
        <w:rPr>
          <w:noProof/>
        </w:rPr>
      </w:r>
      <w:r>
        <w:rPr>
          <w:noProof/>
        </w:rPr>
        <w:fldChar w:fldCharType="separate"/>
      </w:r>
      <w:r w:rsidR="00F57699">
        <w:rPr>
          <w:noProof/>
        </w:rPr>
        <w:t>80</w:t>
      </w:r>
      <w:r>
        <w:rPr>
          <w:noProof/>
        </w:rPr>
        <w:fldChar w:fldCharType="end"/>
      </w:r>
    </w:p>
    <w:p w:rsidR="00936722" w:rsidRPr="00E973BC" w:rsidRDefault="009E73C3" w:rsidP="000D406D">
      <w:pPr>
        <w:pStyle w:val="TOC2"/>
        <w:ind w:firstLine="0"/>
        <w:jc w:val="center"/>
        <w:rPr>
          <w:b/>
          <w:color w:val="000066"/>
        </w:rPr>
      </w:pPr>
      <w:r w:rsidRPr="00E973BC">
        <w:rPr>
          <w:color w:val="002060"/>
          <w:lang w:val="tr-TR"/>
        </w:rPr>
        <w:lastRenderedPageBreak/>
        <w:fldChar w:fldCharType="end"/>
      </w:r>
      <w:bookmarkStart w:id="86" w:name="_Toc296364723"/>
      <w:bookmarkStart w:id="87" w:name="_Toc296371932"/>
      <w:bookmarkStart w:id="88" w:name="_Toc296807839"/>
      <w:bookmarkStart w:id="89" w:name="_Toc296808111"/>
      <w:bookmarkStart w:id="90" w:name="_Toc296940791"/>
      <w:bookmarkStart w:id="91" w:name="_Toc297120949"/>
      <w:bookmarkStart w:id="92" w:name="_Toc297121376"/>
      <w:bookmarkStart w:id="93" w:name="_Toc297202369"/>
      <w:bookmarkStart w:id="94" w:name="_Toc297302680"/>
      <w:bookmarkStart w:id="95" w:name="_Toc297302748"/>
      <w:bookmarkStart w:id="96" w:name="_Toc297309765"/>
      <w:bookmarkStart w:id="97" w:name="_Toc297441013"/>
      <w:bookmarkStart w:id="98" w:name="_Toc297441093"/>
      <w:bookmarkStart w:id="99" w:name="_Toc297441675"/>
      <w:r w:rsidR="00936722" w:rsidRPr="00E973BC">
        <w:rPr>
          <w:b/>
          <w:color w:val="000066"/>
        </w:rPr>
        <w:t>CONTENTS</w:t>
      </w:r>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936722" w:rsidRPr="00E973BC" w:rsidRDefault="00936722" w:rsidP="00752401">
      <w:pPr>
        <w:jc w:val="center"/>
        <w:rPr>
          <w:rFonts w:ascii="Century" w:hAnsi="Century"/>
          <w:b/>
          <w:color w:val="000066"/>
          <w:sz w:val="20"/>
          <w:szCs w:val="20"/>
        </w:rPr>
      </w:pPr>
    </w:p>
    <w:p w:rsidR="00FD6ADE" w:rsidRPr="00E973BC" w:rsidRDefault="00FD6ADE" w:rsidP="00FD6ADE">
      <w:pPr>
        <w:jc w:val="center"/>
        <w:rPr>
          <w:rFonts w:ascii="Century" w:hAnsi="Century"/>
          <w:b/>
          <w:color w:val="000066"/>
          <w:sz w:val="20"/>
          <w:szCs w:val="20"/>
        </w:rPr>
      </w:pPr>
      <w:bookmarkStart w:id="100" w:name="_Toc296364724"/>
      <w:bookmarkStart w:id="101" w:name="_Toc296371933"/>
      <w:bookmarkStart w:id="102" w:name="_Toc296807840"/>
      <w:bookmarkStart w:id="103" w:name="_Toc296808112"/>
      <w:bookmarkStart w:id="104" w:name="_Toc296940792"/>
      <w:bookmarkStart w:id="105" w:name="_Toc297120950"/>
      <w:bookmarkStart w:id="106" w:name="_Toc297121377"/>
      <w:bookmarkStart w:id="107" w:name="_Toc297202370"/>
      <w:bookmarkStart w:id="108" w:name="_Toc297302681"/>
      <w:bookmarkStart w:id="109" w:name="_Toc297302749"/>
      <w:bookmarkStart w:id="110" w:name="_Toc297309766"/>
      <w:bookmarkStart w:id="111" w:name="_Toc297441014"/>
      <w:bookmarkStart w:id="112" w:name="_Toc297441094"/>
      <w:bookmarkStart w:id="113" w:name="_Toc297441676"/>
      <w:bookmarkStart w:id="114" w:name="_Toc296364725"/>
      <w:bookmarkStart w:id="115" w:name="_Toc296371934"/>
      <w:bookmarkStart w:id="116" w:name="_Toc296807841"/>
      <w:bookmarkStart w:id="117" w:name="_Toc296808113"/>
      <w:bookmarkStart w:id="118" w:name="_Toc296940793"/>
      <w:bookmarkStart w:id="119" w:name="_Toc297120951"/>
      <w:bookmarkStart w:id="120" w:name="_Toc297121378"/>
      <w:r w:rsidRPr="00E973BC">
        <w:rPr>
          <w:rFonts w:ascii="Century" w:hAnsi="Century"/>
          <w:b/>
          <w:color w:val="000066"/>
          <w:sz w:val="20"/>
          <w:szCs w:val="20"/>
        </w:rPr>
        <w:t>PART I</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FD6ADE" w:rsidRPr="00E973BC" w:rsidRDefault="00FD6ADE" w:rsidP="00FD6ADE">
      <w:pPr>
        <w:jc w:val="center"/>
        <w:rPr>
          <w:rFonts w:ascii="Century" w:hAnsi="Century"/>
          <w:sz w:val="20"/>
          <w:szCs w:val="20"/>
        </w:rPr>
      </w:pPr>
    </w:p>
    <w:p w:rsidR="005A31F6" w:rsidRPr="00E973BC" w:rsidRDefault="009E73C3">
      <w:pPr>
        <w:pStyle w:val="TOC1"/>
        <w:rPr>
          <w:rFonts w:eastAsiaTheme="minorEastAsia" w:cstheme="minorBidi"/>
          <w:b w:val="0"/>
          <w:bCs w:val="0"/>
          <w:caps w:val="0"/>
          <w:noProof/>
          <w:color w:val="002060"/>
        </w:rPr>
      </w:pPr>
      <w:r w:rsidRPr="00E973BC">
        <w:rPr>
          <w:color w:val="002060"/>
        </w:rPr>
        <w:fldChar w:fldCharType="begin"/>
      </w:r>
      <w:r w:rsidR="00FD6ADE" w:rsidRPr="00E973BC">
        <w:rPr>
          <w:color w:val="002060"/>
        </w:rPr>
        <w:instrText xml:space="preserve"> TOC \o "1-4" \u </w:instrText>
      </w:r>
      <w:r w:rsidRPr="00E973BC">
        <w:rPr>
          <w:color w:val="002060"/>
        </w:rPr>
        <w:fldChar w:fldCharType="separate"/>
      </w:r>
      <w:r w:rsidR="005A31F6" w:rsidRPr="00E973BC">
        <w:rPr>
          <w:bCs w:val="0"/>
          <w:noProof/>
          <w:color w:val="002060"/>
        </w:rPr>
        <w:t>1.</w:t>
      </w:r>
      <w:r w:rsidR="005A31F6" w:rsidRPr="00E973BC">
        <w:rPr>
          <w:rFonts w:eastAsiaTheme="minorEastAsia" w:cstheme="minorBidi"/>
          <w:b w:val="0"/>
          <w:bCs w:val="0"/>
          <w:caps w:val="0"/>
          <w:noProof/>
          <w:color w:val="002060"/>
        </w:rPr>
        <w:tab/>
      </w:r>
      <w:r w:rsidR="005A31F6" w:rsidRPr="00E973BC">
        <w:rPr>
          <w:noProof/>
          <w:color w:val="002060"/>
        </w:rPr>
        <w:t>BASIC INDICATORS</w:t>
      </w:r>
      <w:r w:rsidR="005A31F6" w:rsidRPr="00E973BC">
        <w:rPr>
          <w:noProof/>
          <w:color w:val="002060"/>
        </w:rPr>
        <w:tab/>
      </w:r>
      <w:r w:rsidR="003A593C" w:rsidRPr="00E973BC">
        <w:rPr>
          <w:noProof/>
          <w:color w:val="002060"/>
        </w:rPr>
        <w:t>1</w:t>
      </w:r>
    </w:p>
    <w:p w:rsidR="005A31F6" w:rsidRPr="00E973BC" w:rsidRDefault="005A31F6">
      <w:pPr>
        <w:pStyle w:val="TOC2"/>
        <w:rPr>
          <w:rFonts w:eastAsiaTheme="minorEastAsia" w:cstheme="minorBidi"/>
          <w:smallCaps w:val="0"/>
          <w:noProof/>
          <w:color w:val="002060"/>
        </w:rPr>
      </w:pPr>
      <w:r w:rsidRPr="00E973BC">
        <w:rPr>
          <w:noProof/>
          <w:color w:val="002060"/>
        </w:rPr>
        <w:t>1.1.</w:t>
      </w:r>
      <w:r w:rsidRPr="00E973BC">
        <w:rPr>
          <w:rFonts w:eastAsiaTheme="minorEastAsia" w:cstheme="minorBidi"/>
          <w:smallCaps w:val="0"/>
          <w:noProof/>
          <w:color w:val="002060"/>
        </w:rPr>
        <w:tab/>
      </w:r>
      <w:r w:rsidR="00287BB6" w:rsidRPr="00E973BC">
        <w:rPr>
          <w:noProof/>
          <w:color w:val="002060"/>
        </w:rPr>
        <w:t>KEY INDICATORS of TURKISH ECONOMY</w:t>
      </w:r>
      <w:r w:rsidRPr="00E973BC">
        <w:rPr>
          <w:noProof/>
          <w:color w:val="002060"/>
        </w:rPr>
        <w:tab/>
      </w:r>
      <w:r w:rsidR="0016790B" w:rsidRPr="00E973BC">
        <w:rPr>
          <w:noProof/>
          <w:color w:val="002060"/>
        </w:rPr>
        <w:t>1</w:t>
      </w:r>
    </w:p>
    <w:p w:rsidR="005A31F6" w:rsidRPr="00E973BC" w:rsidRDefault="005A31F6">
      <w:pPr>
        <w:pStyle w:val="TOC2"/>
        <w:rPr>
          <w:rFonts w:eastAsiaTheme="minorEastAsia" w:cstheme="minorBidi"/>
          <w:smallCaps w:val="0"/>
          <w:noProof/>
          <w:color w:val="002060"/>
        </w:rPr>
      </w:pPr>
      <w:r w:rsidRPr="00E973BC">
        <w:rPr>
          <w:noProof/>
          <w:color w:val="002060"/>
        </w:rPr>
        <w:t>1.2.</w:t>
      </w:r>
      <w:r w:rsidRPr="00E973BC">
        <w:rPr>
          <w:rFonts w:eastAsiaTheme="minorEastAsia" w:cstheme="minorBidi"/>
          <w:smallCaps w:val="0"/>
          <w:noProof/>
          <w:color w:val="002060"/>
        </w:rPr>
        <w:tab/>
      </w:r>
      <w:r w:rsidRPr="00E973BC">
        <w:rPr>
          <w:noProof/>
          <w:color w:val="002060"/>
        </w:rPr>
        <w:t>INSURA</w:t>
      </w:r>
      <w:r w:rsidR="00287BB6" w:rsidRPr="00E973BC">
        <w:rPr>
          <w:noProof/>
          <w:color w:val="002060"/>
        </w:rPr>
        <w:t xml:space="preserve">NCE and </w:t>
      </w:r>
      <w:r w:rsidR="0081045E" w:rsidRPr="00E973BC">
        <w:rPr>
          <w:noProof/>
          <w:color w:val="002060"/>
        </w:rPr>
        <w:t>PRIVATE</w:t>
      </w:r>
      <w:r w:rsidR="00287BB6" w:rsidRPr="00E973BC">
        <w:rPr>
          <w:noProof/>
          <w:color w:val="002060"/>
        </w:rPr>
        <w:t xml:space="preserve"> PENSION SECTOR I</w:t>
      </w:r>
      <w:r w:rsidRPr="00E973BC">
        <w:rPr>
          <w:noProof/>
          <w:color w:val="002060"/>
        </w:rPr>
        <w:t>N 201</w:t>
      </w:r>
      <w:r w:rsidR="007C67E4">
        <w:rPr>
          <w:noProof/>
          <w:color w:val="002060"/>
        </w:rPr>
        <w:t>8</w:t>
      </w:r>
      <w:r w:rsidRPr="00E973BC">
        <w:rPr>
          <w:noProof/>
          <w:color w:val="002060"/>
        </w:rPr>
        <w:tab/>
      </w:r>
      <w:r w:rsidR="009E73C3" w:rsidRPr="00E973BC">
        <w:rPr>
          <w:noProof/>
          <w:color w:val="002060"/>
        </w:rPr>
        <w:fldChar w:fldCharType="begin"/>
      </w:r>
      <w:r w:rsidRPr="00E973BC">
        <w:rPr>
          <w:noProof/>
          <w:color w:val="002060"/>
        </w:rPr>
        <w:instrText xml:space="preserve"> PAGEREF _Toc358380184 \h </w:instrText>
      </w:r>
      <w:r w:rsidR="009E73C3" w:rsidRPr="00E973BC">
        <w:rPr>
          <w:noProof/>
          <w:color w:val="002060"/>
        </w:rPr>
      </w:r>
      <w:r w:rsidR="009E73C3" w:rsidRPr="00E973BC">
        <w:rPr>
          <w:noProof/>
          <w:color w:val="002060"/>
        </w:rPr>
        <w:fldChar w:fldCharType="separate"/>
      </w:r>
      <w:r w:rsidR="00F57699">
        <w:rPr>
          <w:noProof/>
          <w:color w:val="002060"/>
        </w:rPr>
        <w:t>4</w:t>
      </w:r>
      <w:r w:rsidR="009E73C3" w:rsidRPr="00E973BC">
        <w:rPr>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1.2.1. </w:t>
      </w:r>
      <w:r w:rsidR="008C56C5" w:rsidRPr="00E973BC">
        <w:rPr>
          <w:rFonts w:ascii="Century" w:hAnsi="Century"/>
          <w:noProof/>
          <w:color w:val="002060"/>
        </w:rPr>
        <w:t xml:space="preserve">Gross </w:t>
      </w:r>
      <w:r w:rsidR="004C7B32" w:rsidRPr="00E973BC">
        <w:rPr>
          <w:rFonts w:ascii="Century" w:hAnsi="Century"/>
          <w:noProof/>
          <w:color w:val="002060"/>
        </w:rPr>
        <w:t xml:space="preserve">Premium Volume and </w:t>
      </w:r>
      <w:r w:rsidR="00162D30" w:rsidRPr="00E973BC">
        <w:rPr>
          <w:rFonts w:ascii="Century" w:hAnsi="Century"/>
          <w:noProof/>
          <w:color w:val="002060"/>
        </w:rPr>
        <w:t xml:space="preserve">Insurance </w:t>
      </w:r>
      <w:r w:rsidR="004C7B32" w:rsidRPr="00E973BC">
        <w:rPr>
          <w:rFonts w:ascii="Century" w:hAnsi="Century"/>
          <w:noProof/>
          <w:color w:val="002060"/>
        </w:rPr>
        <w:t>Coverage</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_Toc358380185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1.2.2. </w:t>
      </w:r>
      <w:r w:rsidR="004C7B32" w:rsidRPr="00E973BC">
        <w:rPr>
          <w:rFonts w:ascii="Century" w:hAnsi="Century"/>
          <w:noProof/>
          <w:color w:val="002060"/>
        </w:rPr>
        <w:t>T</w:t>
      </w:r>
      <w:r w:rsidR="00B61233" w:rsidRPr="00E973BC">
        <w:rPr>
          <w:rFonts w:ascii="Century" w:hAnsi="Century"/>
          <w:noProof/>
          <w:color w:val="002060"/>
        </w:rPr>
        <w:t xml:space="preserve">he Sum </w:t>
      </w:r>
      <w:r w:rsidR="004C7B32" w:rsidRPr="00E973BC">
        <w:rPr>
          <w:rFonts w:ascii="Century" w:hAnsi="Century"/>
          <w:noProof/>
          <w:color w:val="002060"/>
        </w:rPr>
        <w:t xml:space="preserve">of </w:t>
      </w:r>
      <w:r w:rsidR="00B61233" w:rsidRPr="00E973BC">
        <w:rPr>
          <w:rFonts w:ascii="Century" w:hAnsi="Century"/>
          <w:noProof/>
          <w:color w:val="002060"/>
        </w:rPr>
        <w:t xml:space="preserve">the </w:t>
      </w:r>
      <w:r w:rsidR="00D06650" w:rsidRPr="00E973BC">
        <w:rPr>
          <w:rFonts w:ascii="Century" w:hAnsi="Century"/>
          <w:noProof/>
          <w:color w:val="002060"/>
        </w:rPr>
        <w:t xml:space="preserve">Contribution and Accumulated Funds in </w:t>
      </w:r>
      <w:r w:rsidR="0081045E" w:rsidRPr="00E973BC">
        <w:rPr>
          <w:rFonts w:ascii="Century" w:hAnsi="Century"/>
          <w:noProof/>
          <w:color w:val="002060"/>
        </w:rPr>
        <w:t>Private</w:t>
      </w:r>
      <w:r w:rsidR="00D06650" w:rsidRPr="00E973BC">
        <w:rPr>
          <w:rFonts w:ascii="Century" w:hAnsi="Century"/>
          <w:noProof/>
          <w:color w:val="002060"/>
        </w:rPr>
        <w:t xml:space="preserve"> Pension System</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_Toc358380186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1.2.3. </w:t>
      </w:r>
      <w:r w:rsidR="00D06650" w:rsidRPr="00E973BC">
        <w:rPr>
          <w:rFonts w:ascii="Century" w:hAnsi="Century"/>
          <w:noProof/>
          <w:color w:val="002060"/>
        </w:rPr>
        <w:t xml:space="preserve">Gross Domestic Production and Insurance and </w:t>
      </w:r>
      <w:r w:rsidR="0081045E" w:rsidRPr="00E973BC">
        <w:rPr>
          <w:rFonts w:ascii="Century" w:hAnsi="Century"/>
          <w:noProof/>
          <w:color w:val="002060"/>
        </w:rPr>
        <w:t>Private</w:t>
      </w:r>
      <w:r w:rsidR="00D06650" w:rsidRPr="00E973BC">
        <w:rPr>
          <w:rFonts w:ascii="Century" w:hAnsi="Century"/>
          <w:noProof/>
          <w:color w:val="002060"/>
        </w:rPr>
        <w:t xml:space="preserve"> Pension System</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_Toc358380187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7</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1.2.4. Pr</w:t>
      </w:r>
      <w:r w:rsidR="00D06650" w:rsidRPr="00E973BC">
        <w:rPr>
          <w:rFonts w:ascii="Century" w:hAnsi="Century"/>
          <w:noProof/>
          <w:color w:val="002060"/>
        </w:rPr>
        <w:t>emium Production Growth Rate</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_Toc358380188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8</w:t>
      </w:r>
      <w:r w:rsidR="009E73C3" w:rsidRPr="00E973BC">
        <w:rPr>
          <w:rFonts w:ascii="Century" w:hAnsi="Century"/>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1.3.</w:t>
      </w:r>
      <w:r w:rsidRPr="00E973BC">
        <w:rPr>
          <w:rFonts w:eastAsiaTheme="minorEastAsia" w:cstheme="minorBidi"/>
          <w:smallCaps w:val="0"/>
          <w:noProof/>
          <w:color w:val="002060"/>
        </w:rPr>
        <w:tab/>
      </w:r>
      <w:r w:rsidR="00B61233" w:rsidRPr="00E973BC">
        <w:rPr>
          <w:noProof/>
          <w:color w:val="002060"/>
        </w:rPr>
        <w:t>INSURANCE ACTIVITIES IN THE W</w:t>
      </w:r>
      <w:r w:rsidR="00D06650" w:rsidRPr="00E973BC">
        <w:rPr>
          <w:noProof/>
          <w:color w:val="002060"/>
        </w:rPr>
        <w:t>ORLD AND TURKEY</w:t>
      </w:r>
      <w:r w:rsidRPr="00E973BC">
        <w:rPr>
          <w:noProof/>
          <w:color w:val="002060"/>
        </w:rPr>
        <w:tab/>
      </w:r>
      <w:r w:rsidR="009E73C3" w:rsidRPr="00E973BC">
        <w:rPr>
          <w:noProof/>
          <w:color w:val="002060"/>
        </w:rPr>
        <w:fldChar w:fldCharType="begin"/>
      </w:r>
      <w:r w:rsidRPr="00E973BC">
        <w:rPr>
          <w:noProof/>
          <w:color w:val="002060"/>
        </w:rPr>
        <w:instrText xml:space="preserve"> PAGEREF _Toc358380189 \h </w:instrText>
      </w:r>
      <w:r w:rsidR="009E73C3" w:rsidRPr="00E973BC">
        <w:rPr>
          <w:noProof/>
          <w:color w:val="002060"/>
        </w:rPr>
      </w:r>
      <w:r w:rsidR="009E73C3" w:rsidRPr="00E973BC">
        <w:rPr>
          <w:noProof/>
          <w:color w:val="002060"/>
        </w:rPr>
        <w:fldChar w:fldCharType="separate"/>
      </w:r>
      <w:r w:rsidR="00F57699">
        <w:rPr>
          <w:noProof/>
          <w:color w:val="002060"/>
        </w:rPr>
        <w:t>10</w:t>
      </w:r>
      <w:r w:rsidR="009E73C3" w:rsidRPr="00E973BC">
        <w:rPr>
          <w:noProof/>
          <w:color w:val="002060"/>
        </w:rPr>
        <w:fldChar w:fldCharType="end"/>
      </w:r>
    </w:p>
    <w:p w:rsidR="005A31F6" w:rsidRPr="00E973BC" w:rsidRDefault="005A31F6">
      <w:pPr>
        <w:pStyle w:val="TOC1"/>
        <w:rPr>
          <w:rFonts w:eastAsiaTheme="minorEastAsia" w:cstheme="minorBidi"/>
          <w:b w:val="0"/>
          <w:bCs w:val="0"/>
          <w:caps w:val="0"/>
          <w:noProof/>
          <w:color w:val="002060"/>
        </w:rPr>
      </w:pPr>
      <w:r w:rsidRPr="00E973BC">
        <w:rPr>
          <w:bCs w:val="0"/>
          <w:noProof/>
          <w:color w:val="002060"/>
        </w:rPr>
        <w:t>2.</w:t>
      </w:r>
      <w:r w:rsidRPr="00E973BC">
        <w:rPr>
          <w:rFonts w:eastAsiaTheme="minorEastAsia" w:cstheme="minorBidi"/>
          <w:b w:val="0"/>
          <w:bCs w:val="0"/>
          <w:caps w:val="0"/>
          <w:noProof/>
          <w:color w:val="002060"/>
        </w:rPr>
        <w:tab/>
      </w:r>
      <w:r w:rsidR="00763305" w:rsidRPr="00E973BC">
        <w:rPr>
          <w:noProof/>
          <w:color w:val="002060"/>
        </w:rPr>
        <w:t>STRUCTURA</w:t>
      </w:r>
      <w:r w:rsidRPr="00E973BC">
        <w:rPr>
          <w:noProof/>
          <w:color w:val="002060"/>
        </w:rPr>
        <w:t xml:space="preserve">L </w:t>
      </w:r>
      <w:r w:rsidR="00763305" w:rsidRPr="00E973BC">
        <w:rPr>
          <w:noProof/>
          <w:color w:val="002060"/>
        </w:rPr>
        <w:t>INDICATORS</w:t>
      </w:r>
      <w:r w:rsidRPr="00E973BC">
        <w:rPr>
          <w:noProof/>
          <w:color w:val="002060"/>
        </w:rPr>
        <w:tab/>
      </w:r>
      <w:r w:rsidR="009E73C3" w:rsidRPr="00E973BC">
        <w:rPr>
          <w:noProof/>
          <w:color w:val="002060"/>
        </w:rPr>
        <w:fldChar w:fldCharType="begin"/>
      </w:r>
      <w:r w:rsidRPr="00E973BC">
        <w:rPr>
          <w:noProof/>
          <w:color w:val="002060"/>
        </w:rPr>
        <w:instrText xml:space="preserve"> PAGEREF _Toc358380190 \h </w:instrText>
      </w:r>
      <w:r w:rsidR="009E73C3" w:rsidRPr="00E973BC">
        <w:rPr>
          <w:noProof/>
          <w:color w:val="002060"/>
        </w:rPr>
      </w:r>
      <w:r w:rsidR="009E73C3" w:rsidRPr="00E973BC">
        <w:rPr>
          <w:noProof/>
          <w:color w:val="002060"/>
        </w:rPr>
        <w:fldChar w:fldCharType="separate"/>
      </w:r>
      <w:r w:rsidR="00F57699">
        <w:rPr>
          <w:noProof/>
          <w:color w:val="002060"/>
        </w:rPr>
        <w:t>12</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2.1.</w:t>
      </w:r>
      <w:r w:rsidRPr="00E973BC">
        <w:rPr>
          <w:rFonts w:eastAsiaTheme="minorEastAsia" w:cstheme="minorBidi"/>
          <w:smallCaps w:val="0"/>
          <w:noProof/>
          <w:color w:val="002060"/>
        </w:rPr>
        <w:tab/>
      </w:r>
      <w:r w:rsidR="005D2D09" w:rsidRPr="00E973BC">
        <w:rPr>
          <w:noProof/>
          <w:color w:val="002060"/>
        </w:rPr>
        <w:t>NUMBER OF COMPANIES</w:t>
      </w:r>
      <w:r w:rsidRPr="00E973BC">
        <w:rPr>
          <w:noProof/>
          <w:color w:val="002060"/>
        </w:rPr>
        <w:tab/>
      </w:r>
      <w:r w:rsidR="009E73C3" w:rsidRPr="00E973BC">
        <w:rPr>
          <w:noProof/>
          <w:color w:val="002060"/>
        </w:rPr>
        <w:fldChar w:fldCharType="begin"/>
      </w:r>
      <w:r w:rsidRPr="00E973BC">
        <w:rPr>
          <w:noProof/>
          <w:color w:val="002060"/>
        </w:rPr>
        <w:instrText xml:space="preserve"> PAGEREF _Toc358380191 \h </w:instrText>
      </w:r>
      <w:r w:rsidR="009E73C3" w:rsidRPr="00E973BC">
        <w:rPr>
          <w:noProof/>
          <w:color w:val="002060"/>
        </w:rPr>
      </w:r>
      <w:r w:rsidR="009E73C3" w:rsidRPr="00E973BC">
        <w:rPr>
          <w:noProof/>
          <w:color w:val="002060"/>
        </w:rPr>
        <w:fldChar w:fldCharType="separate"/>
      </w:r>
      <w:r w:rsidR="00F57699">
        <w:rPr>
          <w:noProof/>
          <w:color w:val="002060"/>
        </w:rPr>
        <w:t>12</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2.2.</w:t>
      </w:r>
      <w:r w:rsidRPr="00E973BC">
        <w:rPr>
          <w:rFonts w:eastAsiaTheme="minorEastAsia" w:cstheme="minorBidi"/>
          <w:smallCaps w:val="0"/>
          <w:noProof/>
          <w:color w:val="002060"/>
        </w:rPr>
        <w:tab/>
      </w:r>
      <w:r w:rsidR="005D2D09" w:rsidRPr="00E973BC">
        <w:rPr>
          <w:noProof/>
          <w:color w:val="002060"/>
        </w:rPr>
        <w:t>FIGURES ABOUT POLICIES AND CONTRACTS</w:t>
      </w:r>
      <w:r w:rsidRPr="00E973BC">
        <w:rPr>
          <w:noProof/>
          <w:color w:val="002060"/>
        </w:rPr>
        <w:tab/>
      </w:r>
      <w:r w:rsidR="009E73C3" w:rsidRPr="00E973BC">
        <w:rPr>
          <w:noProof/>
          <w:color w:val="002060"/>
        </w:rPr>
        <w:fldChar w:fldCharType="begin"/>
      </w:r>
      <w:r w:rsidRPr="00E973BC">
        <w:rPr>
          <w:noProof/>
          <w:color w:val="002060"/>
        </w:rPr>
        <w:instrText xml:space="preserve"> PAGEREF _Toc358380192 \h </w:instrText>
      </w:r>
      <w:r w:rsidR="009E73C3" w:rsidRPr="00E973BC">
        <w:rPr>
          <w:noProof/>
          <w:color w:val="002060"/>
        </w:rPr>
      </w:r>
      <w:r w:rsidR="009E73C3" w:rsidRPr="00E973BC">
        <w:rPr>
          <w:noProof/>
          <w:color w:val="002060"/>
        </w:rPr>
        <w:fldChar w:fldCharType="separate"/>
      </w:r>
      <w:r w:rsidR="00F57699">
        <w:rPr>
          <w:noProof/>
          <w:color w:val="002060"/>
        </w:rPr>
        <w:t>15</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2.3.</w:t>
      </w:r>
      <w:r w:rsidRPr="00E973BC">
        <w:rPr>
          <w:rFonts w:eastAsiaTheme="minorEastAsia" w:cstheme="minorBidi"/>
          <w:smallCaps w:val="0"/>
          <w:noProof/>
          <w:color w:val="002060"/>
        </w:rPr>
        <w:tab/>
      </w:r>
      <w:r w:rsidR="005D2D09" w:rsidRPr="00E973BC">
        <w:rPr>
          <w:noProof/>
          <w:color w:val="002060"/>
        </w:rPr>
        <w:t>EMPLOYMENT</w:t>
      </w:r>
      <w:r w:rsidRPr="00E973BC">
        <w:rPr>
          <w:noProof/>
          <w:color w:val="002060"/>
        </w:rPr>
        <w:tab/>
      </w:r>
      <w:r w:rsidR="009E73C3" w:rsidRPr="00E973BC">
        <w:rPr>
          <w:noProof/>
          <w:color w:val="002060"/>
        </w:rPr>
        <w:fldChar w:fldCharType="begin"/>
      </w:r>
      <w:r w:rsidRPr="00E973BC">
        <w:rPr>
          <w:noProof/>
          <w:color w:val="002060"/>
        </w:rPr>
        <w:instrText xml:space="preserve"> PAGEREF _Toc358380193 \h </w:instrText>
      </w:r>
      <w:r w:rsidR="009E73C3" w:rsidRPr="00E973BC">
        <w:rPr>
          <w:noProof/>
          <w:color w:val="002060"/>
        </w:rPr>
      </w:r>
      <w:r w:rsidR="009E73C3" w:rsidRPr="00E973BC">
        <w:rPr>
          <w:noProof/>
          <w:color w:val="002060"/>
        </w:rPr>
        <w:fldChar w:fldCharType="separate"/>
      </w:r>
      <w:r w:rsidR="00F57699">
        <w:rPr>
          <w:noProof/>
          <w:color w:val="002060"/>
        </w:rPr>
        <w:t>16</w:t>
      </w:r>
      <w:r w:rsidR="009E73C3" w:rsidRPr="00E973BC">
        <w:rPr>
          <w:noProof/>
          <w:color w:val="002060"/>
        </w:rPr>
        <w:fldChar w:fldCharType="end"/>
      </w:r>
    </w:p>
    <w:p w:rsidR="005A31F6" w:rsidRPr="00E973BC" w:rsidRDefault="005A31F6">
      <w:pPr>
        <w:pStyle w:val="TOC1"/>
        <w:rPr>
          <w:rFonts w:eastAsiaTheme="minorEastAsia" w:cstheme="minorBidi"/>
          <w:b w:val="0"/>
          <w:bCs w:val="0"/>
          <w:caps w:val="0"/>
          <w:noProof/>
          <w:color w:val="002060"/>
        </w:rPr>
      </w:pPr>
      <w:r w:rsidRPr="00E973BC">
        <w:rPr>
          <w:bCs w:val="0"/>
          <w:noProof/>
          <w:color w:val="002060"/>
        </w:rPr>
        <w:t>3.</w:t>
      </w:r>
      <w:r w:rsidRPr="00E973BC">
        <w:rPr>
          <w:rFonts w:eastAsiaTheme="minorEastAsia" w:cstheme="minorBidi"/>
          <w:b w:val="0"/>
          <w:bCs w:val="0"/>
          <w:caps w:val="0"/>
          <w:noProof/>
          <w:color w:val="002060"/>
        </w:rPr>
        <w:tab/>
      </w:r>
      <w:r w:rsidR="005D2D09" w:rsidRPr="00E973BC">
        <w:rPr>
          <w:noProof/>
          <w:color w:val="002060"/>
        </w:rPr>
        <w:t>FI</w:t>
      </w:r>
      <w:r w:rsidRPr="00E973BC">
        <w:rPr>
          <w:noProof/>
          <w:color w:val="002060"/>
        </w:rPr>
        <w:t>NAN</w:t>
      </w:r>
      <w:r w:rsidR="005D2D09" w:rsidRPr="00E973BC">
        <w:rPr>
          <w:noProof/>
          <w:color w:val="002060"/>
        </w:rPr>
        <w:t>CIAL AND TECHNICAL ANALYSIS</w:t>
      </w:r>
      <w:r w:rsidRPr="00E973BC">
        <w:rPr>
          <w:noProof/>
          <w:color w:val="002060"/>
        </w:rPr>
        <w:tab/>
      </w:r>
      <w:r w:rsidR="009E73C3" w:rsidRPr="00E973BC">
        <w:rPr>
          <w:noProof/>
          <w:color w:val="002060"/>
        </w:rPr>
        <w:fldChar w:fldCharType="begin"/>
      </w:r>
      <w:r w:rsidRPr="00E973BC">
        <w:rPr>
          <w:noProof/>
          <w:color w:val="002060"/>
        </w:rPr>
        <w:instrText xml:space="preserve"> PAGEREF _Toc358380194 \h </w:instrText>
      </w:r>
      <w:r w:rsidR="009E73C3" w:rsidRPr="00E973BC">
        <w:rPr>
          <w:noProof/>
          <w:color w:val="002060"/>
        </w:rPr>
      </w:r>
      <w:r w:rsidR="009E73C3" w:rsidRPr="00E973BC">
        <w:rPr>
          <w:noProof/>
          <w:color w:val="002060"/>
        </w:rPr>
        <w:fldChar w:fldCharType="separate"/>
      </w:r>
      <w:r w:rsidR="00F57699">
        <w:rPr>
          <w:noProof/>
          <w:color w:val="002060"/>
        </w:rPr>
        <w:t>17</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3.1.</w:t>
      </w:r>
      <w:r w:rsidRPr="00E973BC">
        <w:rPr>
          <w:rFonts w:eastAsiaTheme="minorEastAsia" w:cstheme="minorBidi"/>
          <w:smallCaps w:val="0"/>
          <w:noProof/>
          <w:color w:val="002060"/>
        </w:rPr>
        <w:tab/>
      </w:r>
      <w:r w:rsidRPr="00E973BC">
        <w:rPr>
          <w:noProof/>
          <w:color w:val="002060"/>
        </w:rPr>
        <w:t>F</w:t>
      </w:r>
      <w:r w:rsidR="00162D30" w:rsidRPr="00E973BC">
        <w:rPr>
          <w:noProof/>
          <w:color w:val="002060"/>
        </w:rPr>
        <w:t xml:space="preserve">INANCIAL </w:t>
      </w:r>
      <w:r w:rsidR="005D2D09" w:rsidRPr="00E973BC">
        <w:rPr>
          <w:noProof/>
          <w:color w:val="002060"/>
        </w:rPr>
        <w:t>INDICATORS</w:t>
      </w:r>
      <w:r w:rsidRPr="00E973BC">
        <w:rPr>
          <w:noProof/>
          <w:color w:val="002060"/>
        </w:rPr>
        <w:tab/>
      </w:r>
      <w:r w:rsidR="009E73C3" w:rsidRPr="00E973BC">
        <w:rPr>
          <w:noProof/>
          <w:color w:val="002060"/>
        </w:rPr>
        <w:fldChar w:fldCharType="begin"/>
      </w:r>
      <w:r w:rsidRPr="00E973BC">
        <w:rPr>
          <w:noProof/>
          <w:color w:val="002060"/>
        </w:rPr>
        <w:instrText xml:space="preserve"> PAGEREF _Toc358380195 \h </w:instrText>
      </w:r>
      <w:r w:rsidR="009E73C3" w:rsidRPr="00E973BC">
        <w:rPr>
          <w:noProof/>
          <w:color w:val="002060"/>
        </w:rPr>
      </w:r>
      <w:r w:rsidR="009E73C3" w:rsidRPr="00E973BC">
        <w:rPr>
          <w:noProof/>
          <w:color w:val="002060"/>
        </w:rPr>
        <w:fldChar w:fldCharType="separate"/>
      </w:r>
      <w:r w:rsidR="00F57699">
        <w:rPr>
          <w:noProof/>
          <w:color w:val="002060"/>
        </w:rPr>
        <w:t>17</w:t>
      </w:r>
      <w:r w:rsidR="009E73C3" w:rsidRPr="00E973BC">
        <w:rPr>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3.1.1. </w:t>
      </w:r>
      <w:r w:rsidR="005D2D09" w:rsidRPr="00E973BC">
        <w:rPr>
          <w:rFonts w:ascii="Century" w:hAnsi="Century"/>
          <w:noProof/>
          <w:color w:val="002060"/>
        </w:rPr>
        <w:t>Assets</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_Toc358380196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17</w:t>
      </w:r>
      <w:r w:rsidR="009E73C3" w:rsidRPr="00E973BC">
        <w:rPr>
          <w:rFonts w:ascii="Century" w:hAnsi="Century"/>
          <w:noProof/>
          <w:color w:val="002060"/>
        </w:rPr>
        <w:fldChar w:fldCharType="end"/>
      </w:r>
    </w:p>
    <w:p w:rsidR="005A31F6" w:rsidRPr="00E973BC" w:rsidRDefault="005D2D09">
      <w:pPr>
        <w:pStyle w:val="TOC3"/>
        <w:rPr>
          <w:rFonts w:ascii="Century" w:eastAsiaTheme="minorEastAsia" w:hAnsi="Century" w:cstheme="minorBidi"/>
          <w:i w:val="0"/>
          <w:iCs w:val="0"/>
          <w:noProof/>
          <w:color w:val="002060"/>
        </w:rPr>
      </w:pPr>
      <w:r w:rsidRPr="00E973BC">
        <w:rPr>
          <w:rFonts w:ascii="Century" w:hAnsi="Century"/>
          <w:noProof/>
          <w:color w:val="002060"/>
        </w:rPr>
        <w:t>3.1.2. Liabilities and Shareholders' Equity</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_Toc358380197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19</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3.1.3. Te</w:t>
      </w:r>
      <w:r w:rsidR="005D2D09" w:rsidRPr="00E973BC">
        <w:rPr>
          <w:rFonts w:ascii="Century" w:hAnsi="Century"/>
          <w:noProof/>
          <w:color w:val="002060"/>
        </w:rPr>
        <w:t>chnical Reserves</w:t>
      </w:r>
      <w:r w:rsidR="008F209E" w:rsidRPr="00E973BC">
        <w:rPr>
          <w:rFonts w:ascii="Century" w:hAnsi="Century"/>
          <w:noProof/>
          <w:color w:val="002060"/>
        </w:rPr>
        <w:t xml:space="preserve"> </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_Toc358380198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21</w:t>
      </w:r>
      <w:r w:rsidR="009E73C3" w:rsidRPr="00E973BC">
        <w:rPr>
          <w:rFonts w:ascii="Century" w:hAnsi="Century"/>
          <w:noProof/>
          <w:color w:val="002060"/>
        </w:rPr>
        <w:fldChar w:fldCharType="end"/>
      </w:r>
    </w:p>
    <w:p w:rsidR="00B73711" w:rsidRPr="00E973BC" w:rsidRDefault="005D2D09">
      <w:pPr>
        <w:pStyle w:val="TOC3"/>
        <w:rPr>
          <w:rFonts w:ascii="Century" w:hAnsi="Century"/>
          <w:i w:val="0"/>
          <w:noProof/>
          <w:color w:val="002060"/>
        </w:rPr>
      </w:pPr>
      <w:r w:rsidRPr="00E973BC">
        <w:rPr>
          <w:rFonts w:ascii="Century" w:hAnsi="Century"/>
          <w:noProof/>
          <w:color w:val="002060"/>
        </w:rPr>
        <w:t>3.1.4</w:t>
      </w:r>
      <w:r w:rsidR="00B73711" w:rsidRPr="00E973BC">
        <w:rPr>
          <w:rFonts w:ascii="Century" w:hAnsi="Century"/>
          <w:noProof/>
          <w:color w:val="002060"/>
        </w:rPr>
        <w:t>. The Source of Premium Pr</w:t>
      </w:r>
      <w:r w:rsidR="00FE2548" w:rsidRPr="00E973BC">
        <w:rPr>
          <w:rFonts w:ascii="Century" w:hAnsi="Century"/>
          <w:noProof/>
          <w:color w:val="002060"/>
        </w:rPr>
        <w:t>oduction…………………………………………………………</w:t>
      </w:r>
      <w:r w:rsidR="00DA25AB" w:rsidRPr="00E973BC">
        <w:rPr>
          <w:rFonts w:ascii="Century" w:hAnsi="Century"/>
          <w:noProof/>
          <w:color w:val="002060"/>
        </w:rPr>
        <w:t>.</w:t>
      </w:r>
      <w:r w:rsidR="003826A4" w:rsidRPr="00E973BC">
        <w:rPr>
          <w:rFonts w:ascii="Century" w:hAnsi="Century"/>
          <w:noProof/>
          <w:color w:val="002060"/>
        </w:rPr>
        <w:t xml:space="preserve"> </w:t>
      </w:r>
      <w:r w:rsidR="00B73711" w:rsidRPr="00E973BC">
        <w:rPr>
          <w:rFonts w:ascii="Century" w:hAnsi="Century"/>
          <w:noProof/>
          <w:color w:val="002060"/>
        </w:rPr>
        <w:t>24</w:t>
      </w:r>
    </w:p>
    <w:p w:rsidR="00B73711" w:rsidRPr="00E973BC" w:rsidRDefault="00B73711" w:rsidP="007D2D11">
      <w:pPr>
        <w:pStyle w:val="TOC3"/>
        <w:rPr>
          <w:rFonts w:ascii="Century" w:hAnsi="Century"/>
          <w:i w:val="0"/>
          <w:noProof/>
          <w:color w:val="002060"/>
        </w:rPr>
      </w:pPr>
      <w:r w:rsidRPr="00E973BC">
        <w:rPr>
          <w:rFonts w:ascii="Century" w:hAnsi="Century"/>
          <w:noProof/>
          <w:color w:val="002060"/>
        </w:rPr>
        <w:t xml:space="preserve">3.1.5. </w:t>
      </w:r>
      <w:r w:rsidR="007D2D11" w:rsidRPr="00E973BC">
        <w:rPr>
          <w:rFonts w:ascii="Century" w:hAnsi="Century"/>
          <w:noProof/>
          <w:color w:val="002060"/>
        </w:rPr>
        <w:t>Paid Loss</w:t>
      </w:r>
      <w:r w:rsidR="00DA25AB" w:rsidRPr="00E973BC">
        <w:rPr>
          <w:rFonts w:ascii="Century" w:hAnsi="Century"/>
          <w:noProof/>
          <w:color w:val="002060"/>
        </w:rPr>
        <w:t>…………………………………………………………………</w:t>
      </w:r>
      <w:r w:rsidR="00AD7C08" w:rsidRPr="00E973BC">
        <w:rPr>
          <w:rFonts w:ascii="Century" w:hAnsi="Century"/>
          <w:noProof/>
          <w:color w:val="002060"/>
        </w:rPr>
        <w:t>…</w:t>
      </w:r>
      <w:r w:rsidR="00162D30" w:rsidRPr="00E973BC">
        <w:rPr>
          <w:rFonts w:ascii="Century" w:hAnsi="Century"/>
          <w:noProof/>
          <w:color w:val="002060"/>
        </w:rPr>
        <w:t>……………………</w:t>
      </w:r>
      <w:r w:rsidR="00AD7C08" w:rsidRPr="00E973BC">
        <w:rPr>
          <w:rFonts w:ascii="Century" w:hAnsi="Century"/>
          <w:noProof/>
          <w:color w:val="002060"/>
        </w:rPr>
        <w:t xml:space="preserve"> </w:t>
      </w:r>
      <w:r w:rsidRPr="00E973BC">
        <w:rPr>
          <w:rFonts w:ascii="Century" w:hAnsi="Century"/>
          <w:noProof/>
          <w:color w:val="002060"/>
        </w:rPr>
        <w:t>25</w:t>
      </w:r>
    </w:p>
    <w:p w:rsidR="007D2D11" w:rsidRPr="00E973BC" w:rsidRDefault="007D2D11" w:rsidP="007D2D11">
      <w:pPr>
        <w:pStyle w:val="TOC3"/>
        <w:rPr>
          <w:rFonts w:ascii="Century" w:hAnsi="Century"/>
          <w:i w:val="0"/>
          <w:noProof/>
          <w:color w:val="002060"/>
        </w:rPr>
      </w:pPr>
      <w:r w:rsidRPr="00E973BC">
        <w:rPr>
          <w:rFonts w:ascii="Century" w:hAnsi="Century"/>
          <w:noProof/>
          <w:color w:val="002060"/>
        </w:rPr>
        <w:t>3.1.</w:t>
      </w:r>
      <w:r w:rsidR="003826A4" w:rsidRPr="00E973BC">
        <w:rPr>
          <w:rFonts w:ascii="Century" w:hAnsi="Century"/>
          <w:noProof/>
          <w:color w:val="002060"/>
        </w:rPr>
        <w:t>6</w:t>
      </w:r>
      <w:r w:rsidRPr="00E973BC">
        <w:rPr>
          <w:rFonts w:ascii="Century" w:hAnsi="Century"/>
          <w:noProof/>
          <w:color w:val="002060"/>
        </w:rPr>
        <w:t xml:space="preserve">. Income </w:t>
      </w:r>
      <w:r w:rsidR="00B73711" w:rsidRPr="00E973BC">
        <w:rPr>
          <w:rFonts w:ascii="Century" w:hAnsi="Century"/>
          <w:noProof/>
          <w:color w:val="002060"/>
        </w:rPr>
        <w:t>Statement of The Sector</w:t>
      </w:r>
      <w:r w:rsidR="005B7BBD" w:rsidRPr="00E973BC">
        <w:rPr>
          <w:rFonts w:ascii="Century" w:hAnsi="Century"/>
          <w:noProof/>
          <w:color w:val="002060"/>
        </w:rPr>
        <w:t>…………………………………………………………</w:t>
      </w:r>
      <w:r w:rsidR="00AD7C08" w:rsidRPr="00E973BC">
        <w:rPr>
          <w:rFonts w:ascii="Century" w:hAnsi="Century"/>
          <w:noProof/>
          <w:color w:val="002060"/>
        </w:rPr>
        <w:t>..</w:t>
      </w:r>
      <w:r w:rsidR="005B7BBD" w:rsidRPr="00E973BC">
        <w:rPr>
          <w:rFonts w:ascii="Century" w:hAnsi="Century"/>
          <w:noProof/>
          <w:color w:val="002060"/>
        </w:rPr>
        <w:t>…</w:t>
      </w:r>
      <w:r w:rsidR="00AD7C08" w:rsidRPr="00E973BC">
        <w:rPr>
          <w:rFonts w:ascii="Century" w:hAnsi="Century"/>
          <w:noProof/>
          <w:color w:val="002060"/>
        </w:rPr>
        <w:t xml:space="preserve"> </w:t>
      </w:r>
      <w:r w:rsidR="00B73711" w:rsidRPr="00E973BC">
        <w:rPr>
          <w:rFonts w:ascii="Century" w:hAnsi="Century"/>
          <w:noProof/>
          <w:color w:val="002060"/>
        </w:rPr>
        <w:t>2</w:t>
      </w:r>
      <w:r w:rsidR="00020B11" w:rsidRPr="00E973BC">
        <w:rPr>
          <w:rFonts w:ascii="Century" w:hAnsi="Century"/>
          <w:noProof/>
          <w:color w:val="002060"/>
        </w:rPr>
        <w:t>6</w:t>
      </w:r>
    </w:p>
    <w:p w:rsidR="005A31F6" w:rsidRPr="00E973BC" w:rsidRDefault="005A31F6">
      <w:pPr>
        <w:pStyle w:val="TOC2"/>
        <w:rPr>
          <w:rFonts w:eastAsiaTheme="minorEastAsia" w:cstheme="minorBidi"/>
          <w:smallCaps w:val="0"/>
          <w:noProof/>
          <w:color w:val="002060"/>
        </w:rPr>
      </w:pPr>
      <w:r w:rsidRPr="00E973BC">
        <w:rPr>
          <w:noProof/>
          <w:color w:val="002060"/>
        </w:rPr>
        <w:t>3.2.</w:t>
      </w:r>
      <w:r w:rsidRPr="00E973BC">
        <w:rPr>
          <w:rFonts w:eastAsiaTheme="minorEastAsia" w:cstheme="minorBidi"/>
          <w:smallCaps w:val="0"/>
          <w:noProof/>
          <w:color w:val="002060"/>
        </w:rPr>
        <w:tab/>
      </w:r>
      <w:r w:rsidR="0081045E" w:rsidRPr="00E973BC">
        <w:rPr>
          <w:noProof/>
          <w:color w:val="002060"/>
        </w:rPr>
        <w:t>CAPITAL ADEQUACY</w:t>
      </w:r>
      <w:r w:rsidR="005D2D09" w:rsidRPr="00E973BC">
        <w:rPr>
          <w:noProof/>
          <w:color w:val="002060"/>
        </w:rPr>
        <w:t xml:space="preserve"> RATIO</w:t>
      </w:r>
      <w:r w:rsidRPr="00E973BC">
        <w:rPr>
          <w:noProof/>
          <w:color w:val="002060"/>
        </w:rPr>
        <w:tab/>
      </w:r>
      <w:r w:rsidR="009E73C3" w:rsidRPr="00E973BC">
        <w:rPr>
          <w:noProof/>
          <w:color w:val="002060"/>
        </w:rPr>
        <w:fldChar w:fldCharType="begin"/>
      </w:r>
      <w:r w:rsidRPr="00E973BC">
        <w:rPr>
          <w:noProof/>
          <w:color w:val="002060"/>
        </w:rPr>
        <w:instrText xml:space="preserve"> PAGEREF _Toc358380200 \h </w:instrText>
      </w:r>
      <w:r w:rsidR="009E73C3" w:rsidRPr="00E973BC">
        <w:rPr>
          <w:noProof/>
          <w:color w:val="002060"/>
        </w:rPr>
      </w:r>
      <w:r w:rsidR="009E73C3" w:rsidRPr="00E973BC">
        <w:rPr>
          <w:noProof/>
          <w:color w:val="002060"/>
        </w:rPr>
        <w:fldChar w:fldCharType="separate"/>
      </w:r>
      <w:r w:rsidR="00F57699">
        <w:rPr>
          <w:noProof/>
          <w:color w:val="002060"/>
        </w:rPr>
        <w:t>27</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3.3.</w:t>
      </w:r>
      <w:r w:rsidRPr="00E973BC">
        <w:rPr>
          <w:rFonts w:eastAsiaTheme="minorEastAsia" w:cstheme="minorBidi"/>
          <w:smallCaps w:val="0"/>
          <w:noProof/>
          <w:color w:val="002060"/>
        </w:rPr>
        <w:tab/>
      </w:r>
      <w:r w:rsidRPr="00E973BC">
        <w:rPr>
          <w:noProof/>
          <w:color w:val="002060"/>
        </w:rPr>
        <w:t>F</w:t>
      </w:r>
      <w:r w:rsidR="005D2D09" w:rsidRPr="00E973BC">
        <w:rPr>
          <w:noProof/>
          <w:color w:val="002060"/>
        </w:rPr>
        <w:t>INANCIAL RATIOS</w:t>
      </w:r>
      <w:r w:rsidRPr="00E973BC">
        <w:rPr>
          <w:noProof/>
          <w:color w:val="002060"/>
        </w:rPr>
        <w:tab/>
      </w:r>
      <w:r w:rsidR="009E73C3" w:rsidRPr="00E973BC">
        <w:rPr>
          <w:noProof/>
          <w:color w:val="002060"/>
        </w:rPr>
        <w:fldChar w:fldCharType="begin"/>
      </w:r>
      <w:r w:rsidRPr="00E973BC">
        <w:rPr>
          <w:noProof/>
          <w:color w:val="002060"/>
        </w:rPr>
        <w:instrText xml:space="preserve"> PAGEREF _Toc358380201 \h </w:instrText>
      </w:r>
      <w:r w:rsidR="009E73C3" w:rsidRPr="00E973BC">
        <w:rPr>
          <w:noProof/>
          <w:color w:val="002060"/>
        </w:rPr>
      </w:r>
      <w:r w:rsidR="009E73C3" w:rsidRPr="00E973BC">
        <w:rPr>
          <w:noProof/>
          <w:color w:val="002060"/>
        </w:rPr>
        <w:fldChar w:fldCharType="separate"/>
      </w:r>
      <w:r w:rsidR="00F57699">
        <w:rPr>
          <w:noProof/>
          <w:color w:val="002060"/>
        </w:rPr>
        <w:t>28</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3.4.</w:t>
      </w:r>
      <w:r w:rsidRPr="00E973BC">
        <w:rPr>
          <w:rFonts w:eastAsiaTheme="minorEastAsia" w:cstheme="minorBidi"/>
          <w:smallCaps w:val="0"/>
          <w:noProof/>
          <w:color w:val="002060"/>
        </w:rPr>
        <w:tab/>
      </w:r>
      <w:r w:rsidRPr="00E973BC">
        <w:rPr>
          <w:noProof/>
          <w:color w:val="002060"/>
        </w:rPr>
        <w:t>T</w:t>
      </w:r>
      <w:r w:rsidR="005D2D09" w:rsidRPr="00E973BC">
        <w:rPr>
          <w:noProof/>
          <w:color w:val="002060"/>
        </w:rPr>
        <w:t>ECHNICAL RATIOS</w:t>
      </w:r>
      <w:r w:rsidRPr="00E973BC">
        <w:rPr>
          <w:noProof/>
          <w:color w:val="002060"/>
        </w:rPr>
        <w:tab/>
      </w:r>
      <w:r w:rsidR="009E73C3" w:rsidRPr="00E973BC">
        <w:rPr>
          <w:noProof/>
          <w:color w:val="002060"/>
        </w:rPr>
        <w:fldChar w:fldCharType="begin"/>
      </w:r>
      <w:r w:rsidRPr="00E973BC">
        <w:rPr>
          <w:noProof/>
          <w:color w:val="002060"/>
        </w:rPr>
        <w:instrText xml:space="preserve"> PAGEREF _Toc358380202 \h </w:instrText>
      </w:r>
      <w:r w:rsidR="009E73C3" w:rsidRPr="00E973BC">
        <w:rPr>
          <w:noProof/>
          <w:color w:val="002060"/>
        </w:rPr>
      </w:r>
      <w:r w:rsidR="009E73C3" w:rsidRPr="00E973BC">
        <w:rPr>
          <w:noProof/>
          <w:color w:val="002060"/>
        </w:rPr>
        <w:fldChar w:fldCharType="separate"/>
      </w:r>
      <w:r w:rsidR="00F57699">
        <w:rPr>
          <w:noProof/>
          <w:color w:val="002060"/>
        </w:rPr>
        <w:t>29</w:t>
      </w:r>
      <w:r w:rsidR="009E73C3" w:rsidRPr="00E973BC">
        <w:rPr>
          <w:noProof/>
          <w:color w:val="002060"/>
        </w:rPr>
        <w:fldChar w:fldCharType="end"/>
      </w:r>
    </w:p>
    <w:p w:rsidR="005A31F6" w:rsidRPr="00E973BC" w:rsidRDefault="005A31F6">
      <w:pPr>
        <w:pStyle w:val="TOC1"/>
        <w:rPr>
          <w:rFonts w:eastAsiaTheme="minorEastAsia" w:cstheme="minorBidi"/>
          <w:b w:val="0"/>
          <w:bCs w:val="0"/>
          <w:caps w:val="0"/>
          <w:noProof/>
          <w:color w:val="002060"/>
        </w:rPr>
      </w:pPr>
      <w:r w:rsidRPr="00E973BC">
        <w:rPr>
          <w:bCs w:val="0"/>
          <w:noProof/>
          <w:color w:val="002060"/>
        </w:rPr>
        <w:t>4.</w:t>
      </w:r>
      <w:r w:rsidRPr="00E973BC">
        <w:rPr>
          <w:rFonts w:eastAsiaTheme="minorEastAsia" w:cstheme="minorBidi"/>
          <w:b w:val="0"/>
          <w:bCs w:val="0"/>
          <w:caps w:val="0"/>
          <w:noProof/>
          <w:color w:val="002060"/>
        </w:rPr>
        <w:tab/>
      </w:r>
      <w:r w:rsidR="00884D81" w:rsidRPr="00E973BC">
        <w:rPr>
          <w:noProof/>
          <w:color w:val="002060"/>
        </w:rPr>
        <w:t>INCOME STATEMENT OF INSURANCE TYPES</w:t>
      </w:r>
      <w:r w:rsidRPr="00E973BC">
        <w:rPr>
          <w:noProof/>
          <w:color w:val="002060"/>
        </w:rPr>
        <w:tab/>
      </w:r>
      <w:r w:rsidR="009E73C3" w:rsidRPr="00E973BC">
        <w:rPr>
          <w:noProof/>
          <w:color w:val="002060"/>
        </w:rPr>
        <w:fldChar w:fldCharType="begin"/>
      </w:r>
      <w:r w:rsidRPr="00E973BC">
        <w:rPr>
          <w:noProof/>
          <w:color w:val="002060"/>
        </w:rPr>
        <w:instrText xml:space="preserve"> PAGEREF _Toc358380203 \h </w:instrText>
      </w:r>
      <w:r w:rsidR="009E73C3" w:rsidRPr="00E973BC">
        <w:rPr>
          <w:noProof/>
          <w:color w:val="002060"/>
        </w:rPr>
      </w:r>
      <w:r w:rsidR="009E73C3" w:rsidRPr="00E973BC">
        <w:rPr>
          <w:noProof/>
          <w:color w:val="002060"/>
        </w:rPr>
        <w:fldChar w:fldCharType="separate"/>
      </w:r>
      <w:r w:rsidR="00F57699">
        <w:rPr>
          <w:noProof/>
          <w:color w:val="002060"/>
        </w:rPr>
        <w:t>32</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4.1.</w:t>
      </w:r>
      <w:r w:rsidRPr="00E973BC">
        <w:rPr>
          <w:rFonts w:eastAsiaTheme="minorEastAsia" w:cstheme="minorBidi"/>
          <w:smallCaps w:val="0"/>
          <w:noProof/>
          <w:color w:val="002060"/>
        </w:rPr>
        <w:tab/>
      </w:r>
      <w:r w:rsidRPr="00E973BC">
        <w:rPr>
          <w:noProof/>
          <w:color w:val="002060"/>
        </w:rPr>
        <w:t>G</w:t>
      </w:r>
      <w:r w:rsidR="00244D25" w:rsidRPr="00E973BC">
        <w:rPr>
          <w:noProof/>
          <w:color w:val="002060"/>
        </w:rPr>
        <w:t>ENERAL OVERVIEW</w:t>
      </w:r>
      <w:r w:rsidRPr="00E973BC">
        <w:rPr>
          <w:noProof/>
          <w:color w:val="002060"/>
        </w:rPr>
        <w:tab/>
      </w:r>
      <w:r w:rsidR="009E73C3" w:rsidRPr="00E973BC">
        <w:rPr>
          <w:noProof/>
          <w:color w:val="002060"/>
        </w:rPr>
        <w:fldChar w:fldCharType="begin"/>
      </w:r>
      <w:r w:rsidRPr="00E973BC">
        <w:rPr>
          <w:noProof/>
          <w:color w:val="002060"/>
        </w:rPr>
        <w:instrText xml:space="preserve"> PAGEREF _Toc358380204 \h </w:instrText>
      </w:r>
      <w:r w:rsidR="009E73C3" w:rsidRPr="00E973BC">
        <w:rPr>
          <w:noProof/>
          <w:color w:val="002060"/>
        </w:rPr>
      </w:r>
      <w:r w:rsidR="009E73C3" w:rsidRPr="00E973BC">
        <w:rPr>
          <w:noProof/>
          <w:color w:val="002060"/>
        </w:rPr>
        <w:fldChar w:fldCharType="separate"/>
      </w:r>
      <w:r w:rsidR="00F57699">
        <w:rPr>
          <w:noProof/>
          <w:color w:val="002060"/>
        </w:rPr>
        <w:t>32</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4.2.</w:t>
      </w:r>
      <w:r w:rsidRPr="00E973BC">
        <w:rPr>
          <w:rFonts w:eastAsiaTheme="minorEastAsia" w:cstheme="minorBidi"/>
          <w:smallCaps w:val="0"/>
          <w:noProof/>
          <w:color w:val="002060"/>
        </w:rPr>
        <w:tab/>
      </w:r>
      <w:r w:rsidR="00884D81" w:rsidRPr="00E973BC">
        <w:rPr>
          <w:noProof/>
          <w:color w:val="002060"/>
        </w:rPr>
        <w:t>NON LIFE INSURANCE</w:t>
      </w:r>
      <w:r w:rsidRPr="00E973BC">
        <w:rPr>
          <w:noProof/>
          <w:color w:val="002060"/>
        </w:rPr>
        <w:tab/>
      </w:r>
      <w:r w:rsidR="009E73C3" w:rsidRPr="00E973BC">
        <w:rPr>
          <w:noProof/>
          <w:color w:val="002060"/>
        </w:rPr>
        <w:fldChar w:fldCharType="begin"/>
      </w:r>
      <w:r w:rsidRPr="00E973BC">
        <w:rPr>
          <w:noProof/>
          <w:color w:val="002060"/>
        </w:rPr>
        <w:instrText xml:space="preserve"> PAGEREF _Toc358380205 \h </w:instrText>
      </w:r>
      <w:r w:rsidR="009E73C3" w:rsidRPr="00E973BC">
        <w:rPr>
          <w:noProof/>
          <w:color w:val="002060"/>
        </w:rPr>
      </w:r>
      <w:r w:rsidR="009E73C3" w:rsidRPr="00E973BC">
        <w:rPr>
          <w:noProof/>
          <w:color w:val="002060"/>
        </w:rPr>
        <w:fldChar w:fldCharType="separate"/>
      </w:r>
      <w:r w:rsidR="00F57699">
        <w:rPr>
          <w:noProof/>
          <w:color w:val="002060"/>
        </w:rPr>
        <w:t>36</w:t>
      </w:r>
      <w:r w:rsidR="009E73C3" w:rsidRPr="00E973BC">
        <w:rPr>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4.2.1. </w:t>
      </w:r>
      <w:r w:rsidR="0081045E" w:rsidRPr="00E973BC">
        <w:rPr>
          <w:rFonts w:ascii="Century" w:hAnsi="Century"/>
          <w:noProof/>
          <w:color w:val="002060"/>
        </w:rPr>
        <w:t>Health / Sickness Business</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_Toc358380206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38</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4.2.2. </w:t>
      </w:r>
      <w:r w:rsidR="0081045E" w:rsidRPr="00E973BC">
        <w:rPr>
          <w:rFonts w:ascii="Century" w:hAnsi="Century"/>
          <w:noProof/>
          <w:color w:val="002060"/>
        </w:rPr>
        <w:t>Casualty Business</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_Toc358380207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40</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4.2.3. </w:t>
      </w:r>
      <w:r w:rsidR="0081045E" w:rsidRPr="00E973BC">
        <w:rPr>
          <w:rFonts w:ascii="Century" w:hAnsi="Century"/>
          <w:noProof/>
          <w:color w:val="002060"/>
        </w:rPr>
        <w:t>Motor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_Toc358380208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42</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4.2.4. </w:t>
      </w:r>
      <w:r w:rsidR="0081045E" w:rsidRPr="00E973BC">
        <w:rPr>
          <w:rFonts w:ascii="Century" w:hAnsi="Century"/>
          <w:noProof/>
          <w:color w:val="002060"/>
        </w:rPr>
        <w:t>Motor Liability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_Toc358380209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44</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4.2.5. </w:t>
      </w:r>
      <w:r w:rsidR="0081045E" w:rsidRPr="00E973BC">
        <w:rPr>
          <w:rFonts w:ascii="Century" w:hAnsi="Century"/>
          <w:noProof/>
          <w:color w:val="002060"/>
        </w:rPr>
        <w:t>Fire and Natural Disasters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_Toc358380210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46</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4.2.6. </w:t>
      </w:r>
      <w:r w:rsidR="0081045E" w:rsidRPr="00E973BC">
        <w:rPr>
          <w:rFonts w:ascii="Century" w:hAnsi="Century"/>
          <w:noProof/>
          <w:color w:val="002060"/>
        </w:rPr>
        <w:t>General Damages Insurance</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_Toc358380211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48</w:t>
      </w:r>
      <w:r w:rsidR="009E73C3" w:rsidRPr="00E973BC">
        <w:rPr>
          <w:rFonts w:ascii="Century" w:hAnsi="Century"/>
          <w:noProof/>
          <w:color w:val="002060"/>
        </w:rPr>
        <w:fldChar w:fldCharType="end"/>
      </w:r>
    </w:p>
    <w:p w:rsidR="005A31F6" w:rsidRPr="00E973BC" w:rsidRDefault="004D5CCA">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4.2.7. </w:t>
      </w:r>
      <w:r w:rsidR="0081045E" w:rsidRPr="00E973BC">
        <w:rPr>
          <w:rFonts w:ascii="Century" w:hAnsi="Century"/>
          <w:noProof/>
          <w:color w:val="002060"/>
        </w:rPr>
        <w:t>Transportation and Marine Vehicles</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_Toc358380212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51</w:t>
      </w:r>
      <w:r w:rsidR="009E73C3" w:rsidRPr="00E973BC">
        <w:rPr>
          <w:rFonts w:ascii="Century" w:hAnsi="Century"/>
          <w:noProof/>
          <w:color w:val="002060"/>
        </w:rPr>
        <w:fldChar w:fldCharType="end"/>
      </w:r>
    </w:p>
    <w:p w:rsidR="005A31F6" w:rsidRPr="00E973BC" w:rsidRDefault="005A31F6">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4.2.8. </w:t>
      </w:r>
      <w:r w:rsidR="0081045E" w:rsidRPr="00E973BC">
        <w:rPr>
          <w:rFonts w:ascii="Century" w:hAnsi="Century"/>
          <w:noProof/>
          <w:color w:val="002060"/>
        </w:rPr>
        <w:t>General Liability Insurance</w:t>
      </w:r>
      <w:r w:rsidRPr="00E973BC">
        <w:rPr>
          <w:rFonts w:ascii="Century" w:hAnsi="Century"/>
          <w:noProof/>
          <w:color w:val="002060"/>
        </w:rPr>
        <w:tab/>
      </w:r>
      <w:r w:rsidR="009E73C3" w:rsidRPr="00E973BC">
        <w:rPr>
          <w:rFonts w:ascii="Century" w:hAnsi="Century"/>
          <w:noProof/>
          <w:color w:val="002060"/>
        </w:rPr>
        <w:fldChar w:fldCharType="begin"/>
      </w:r>
      <w:r w:rsidRPr="00E973BC">
        <w:rPr>
          <w:rFonts w:ascii="Century" w:hAnsi="Century"/>
          <w:noProof/>
          <w:color w:val="002060"/>
        </w:rPr>
        <w:instrText xml:space="preserve"> PAGEREF _Toc358380213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53</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4.2.9. </w:t>
      </w:r>
      <w:r w:rsidR="0081045E" w:rsidRPr="00E973BC">
        <w:rPr>
          <w:rFonts w:ascii="Century" w:hAnsi="Century"/>
          <w:noProof/>
          <w:color w:val="002060"/>
        </w:rPr>
        <w:t>Legal Expenses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_Toc358380214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55</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4.2.10. </w:t>
      </w:r>
      <w:r w:rsidR="0081045E" w:rsidRPr="00E973BC">
        <w:rPr>
          <w:rFonts w:ascii="Century" w:hAnsi="Century"/>
          <w:noProof/>
          <w:color w:val="002060"/>
        </w:rPr>
        <w:t>Credit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_Toc358380215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56</w:t>
      </w:r>
      <w:r w:rsidR="009E73C3" w:rsidRPr="00E973BC">
        <w:rPr>
          <w:rFonts w:ascii="Century" w:hAnsi="Century"/>
          <w:noProof/>
          <w:color w:val="002060"/>
        </w:rPr>
        <w:fldChar w:fldCharType="end"/>
      </w:r>
    </w:p>
    <w:p w:rsidR="005A31F6" w:rsidRPr="00E973BC" w:rsidRDefault="00244D25">
      <w:pPr>
        <w:pStyle w:val="TOC3"/>
        <w:rPr>
          <w:rFonts w:ascii="Century" w:eastAsiaTheme="minorEastAsia" w:hAnsi="Century" w:cstheme="minorBidi"/>
          <w:i w:val="0"/>
          <w:iCs w:val="0"/>
          <w:noProof/>
          <w:color w:val="002060"/>
        </w:rPr>
      </w:pPr>
      <w:r w:rsidRPr="00E973BC">
        <w:rPr>
          <w:rFonts w:ascii="Century" w:hAnsi="Century"/>
          <w:noProof/>
          <w:color w:val="002060"/>
        </w:rPr>
        <w:t xml:space="preserve">4.2.11. </w:t>
      </w:r>
      <w:r w:rsidR="0081045E" w:rsidRPr="00E973BC">
        <w:rPr>
          <w:rFonts w:ascii="Century" w:hAnsi="Century"/>
          <w:noProof/>
          <w:color w:val="002060"/>
        </w:rPr>
        <w:t>Financial Loss Insurance</w:t>
      </w:r>
      <w:r w:rsidR="005A31F6" w:rsidRPr="00E973BC">
        <w:rPr>
          <w:rFonts w:ascii="Century" w:hAnsi="Century"/>
          <w:noProof/>
          <w:color w:val="002060"/>
        </w:rPr>
        <w:tab/>
      </w:r>
      <w:r w:rsidR="009E73C3" w:rsidRPr="00E973BC">
        <w:rPr>
          <w:rFonts w:ascii="Century" w:hAnsi="Century"/>
          <w:noProof/>
          <w:color w:val="002060"/>
        </w:rPr>
        <w:fldChar w:fldCharType="begin"/>
      </w:r>
      <w:r w:rsidR="005A31F6" w:rsidRPr="00E973BC">
        <w:rPr>
          <w:rFonts w:ascii="Century" w:hAnsi="Century"/>
          <w:noProof/>
          <w:color w:val="002060"/>
        </w:rPr>
        <w:instrText xml:space="preserve"> PAGEREF _Toc358380216 \h </w:instrText>
      </w:r>
      <w:r w:rsidR="009E73C3" w:rsidRPr="00E973BC">
        <w:rPr>
          <w:rFonts w:ascii="Century" w:hAnsi="Century"/>
          <w:noProof/>
          <w:color w:val="002060"/>
        </w:rPr>
      </w:r>
      <w:r w:rsidR="009E73C3" w:rsidRPr="00E973BC">
        <w:rPr>
          <w:rFonts w:ascii="Century" w:hAnsi="Century"/>
          <w:noProof/>
          <w:color w:val="002060"/>
        </w:rPr>
        <w:fldChar w:fldCharType="separate"/>
      </w:r>
      <w:r w:rsidR="00F57699">
        <w:rPr>
          <w:rFonts w:ascii="Century" w:hAnsi="Century"/>
          <w:noProof/>
          <w:color w:val="002060"/>
        </w:rPr>
        <w:t>57</w:t>
      </w:r>
      <w:r w:rsidR="009E73C3" w:rsidRPr="00E973BC">
        <w:rPr>
          <w:rFonts w:ascii="Century" w:hAnsi="Century"/>
          <w:noProof/>
          <w:color w:val="002060"/>
        </w:rPr>
        <w:fldChar w:fldCharType="end"/>
      </w:r>
    </w:p>
    <w:p w:rsidR="005A31F6" w:rsidRPr="00E973BC" w:rsidRDefault="005A31F6">
      <w:pPr>
        <w:pStyle w:val="TOC2"/>
        <w:rPr>
          <w:noProof/>
          <w:color w:val="002060"/>
        </w:rPr>
      </w:pPr>
      <w:r w:rsidRPr="00E973BC">
        <w:rPr>
          <w:noProof/>
          <w:color w:val="002060"/>
        </w:rPr>
        <w:t>4.3.</w:t>
      </w:r>
      <w:r w:rsidRPr="00E973BC">
        <w:rPr>
          <w:noProof/>
          <w:color w:val="002060"/>
        </w:rPr>
        <w:tab/>
      </w:r>
      <w:r w:rsidR="007A4942" w:rsidRPr="00E973BC">
        <w:rPr>
          <w:noProof/>
          <w:color w:val="002060"/>
        </w:rPr>
        <w:t>L</w:t>
      </w:r>
      <w:r w:rsidR="007A4942" w:rsidRPr="00E973BC">
        <w:rPr>
          <w:noProof/>
          <w:color w:val="002060"/>
          <w:sz w:val="22"/>
        </w:rPr>
        <w:t>ife</w:t>
      </w:r>
      <w:r w:rsidR="007A4942" w:rsidRPr="00E973BC">
        <w:rPr>
          <w:noProof/>
          <w:color w:val="002060"/>
        </w:rPr>
        <w:t xml:space="preserve"> I</w:t>
      </w:r>
      <w:r w:rsidR="007A4942" w:rsidRPr="00E973BC">
        <w:rPr>
          <w:noProof/>
          <w:color w:val="002060"/>
          <w:sz w:val="22"/>
        </w:rPr>
        <w:t>nsurance</w:t>
      </w:r>
      <w:r w:rsidRPr="00E973BC">
        <w:rPr>
          <w:noProof/>
          <w:color w:val="002060"/>
        </w:rPr>
        <w:tab/>
      </w:r>
      <w:r w:rsidR="009E73C3" w:rsidRPr="00E973BC">
        <w:rPr>
          <w:noProof/>
          <w:color w:val="002060"/>
        </w:rPr>
        <w:fldChar w:fldCharType="begin"/>
      </w:r>
      <w:r w:rsidRPr="00E973BC">
        <w:rPr>
          <w:noProof/>
          <w:color w:val="002060"/>
        </w:rPr>
        <w:instrText xml:space="preserve"> PAGEREF _Toc358380217 \h </w:instrText>
      </w:r>
      <w:r w:rsidR="009E73C3" w:rsidRPr="00E973BC">
        <w:rPr>
          <w:noProof/>
          <w:color w:val="002060"/>
        </w:rPr>
      </w:r>
      <w:r w:rsidR="009E73C3" w:rsidRPr="00E973BC">
        <w:rPr>
          <w:noProof/>
          <w:color w:val="002060"/>
        </w:rPr>
        <w:fldChar w:fldCharType="separate"/>
      </w:r>
      <w:r w:rsidR="00F57699">
        <w:rPr>
          <w:noProof/>
          <w:color w:val="002060"/>
        </w:rPr>
        <w:t>58</w:t>
      </w:r>
      <w:r w:rsidR="009E73C3" w:rsidRPr="00E973BC">
        <w:rPr>
          <w:noProof/>
          <w:color w:val="002060"/>
        </w:rPr>
        <w:fldChar w:fldCharType="end"/>
      </w:r>
    </w:p>
    <w:p w:rsidR="005A31F6" w:rsidRPr="00E973BC" w:rsidRDefault="005A31F6">
      <w:pPr>
        <w:pStyle w:val="TOC2"/>
        <w:rPr>
          <w:noProof/>
          <w:color w:val="002060"/>
        </w:rPr>
      </w:pPr>
      <w:r w:rsidRPr="00E973BC">
        <w:rPr>
          <w:noProof/>
          <w:color w:val="002060"/>
        </w:rPr>
        <w:t>4.4.</w:t>
      </w:r>
      <w:r w:rsidRPr="00E973BC">
        <w:rPr>
          <w:noProof/>
          <w:color w:val="002060"/>
        </w:rPr>
        <w:tab/>
      </w:r>
      <w:r w:rsidR="007A4942" w:rsidRPr="00E973BC">
        <w:rPr>
          <w:noProof/>
          <w:color w:val="002060"/>
        </w:rPr>
        <w:t>PRIVATE</w:t>
      </w:r>
      <w:r w:rsidR="00B32055" w:rsidRPr="00E973BC">
        <w:rPr>
          <w:noProof/>
          <w:color w:val="002060"/>
        </w:rPr>
        <w:t xml:space="preserve"> PENSION SYSTEM</w:t>
      </w:r>
      <w:r w:rsidRPr="00E973BC">
        <w:rPr>
          <w:noProof/>
          <w:color w:val="002060"/>
        </w:rPr>
        <w:tab/>
      </w:r>
      <w:r w:rsidR="009E73C3" w:rsidRPr="00E973BC">
        <w:rPr>
          <w:noProof/>
          <w:color w:val="002060"/>
        </w:rPr>
        <w:fldChar w:fldCharType="begin"/>
      </w:r>
      <w:r w:rsidRPr="00E973BC">
        <w:rPr>
          <w:noProof/>
          <w:color w:val="002060"/>
        </w:rPr>
        <w:instrText xml:space="preserve"> PAGEREF _Toc358380218 \h </w:instrText>
      </w:r>
      <w:r w:rsidR="009E73C3" w:rsidRPr="00E973BC">
        <w:rPr>
          <w:noProof/>
          <w:color w:val="002060"/>
        </w:rPr>
      </w:r>
      <w:r w:rsidR="009E73C3" w:rsidRPr="00E973BC">
        <w:rPr>
          <w:noProof/>
          <w:color w:val="002060"/>
        </w:rPr>
        <w:fldChar w:fldCharType="separate"/>
      </w:r>
      <w:r w:rsidR="00F57699">
        <w:rPr>
          <w:noProof/>
          <w:color w:val="002060"/>
        </w:rPr>
        <w:t>62</w:t>
      </w:r>
      <w:r w:rsidR="009E73C3" w:rsidRPr="00E973BC">
        <w:rPr>
          <w:noProof/>
          <w:color w:val="002060"/>
        </w:rPr>
        <w:fldChar w:fldCharType="end"/>
      </w:r>
    </w:p>
    <w:p w:rsidR="005A31F6" w:rsidRPr="00E973BC" w:rsidRDefault="005A31F6">
      <w:pPr>
        <w:pStyle w:val="TOC1"/>
        <w:rPr>
          <w:rFonts w:eastAsiaTheme="minorEastAsia" w:cstheme="minorBidi"/>
          <w:b w:val="0"/>
          <w:bCs w:val="0"/>
          <w:caps w:val="0"/>
          <w:noProof/>
          <w:color w:val="002060"/>
        </w:rPr>
      </w:pPr>
      <w:r w:rsidRPr="00E973BC">
        <w:rPr>
          <w:bCs w:val="0"/>
          <w:noProof/>
          <w:color w:val="002060"/>
        </w:rPr>
        <w:t>5.</w:t>
      </w:r>
      <w:r w:rsidRPr="00E973BC">
        <w:rPr>
          <w:rFonts w:eastAsiaTheme="minorEastAsia" w:cstheme="minorBidi"/>
          <w:b w:val="0"/>
          <w:bCs w:val="0"/>
          <w:caps w:val="0"/>
          <w:noProof/>
          <w:color w:val="002060"/>
        </w:rPr>
        <w:tab/>
      </w:r>
      <w:r w:rsidR="00B32055" w:rsidRPr="00E973BC">
        <w:rPr>
          <w:noProof/>
          <w:color w:val="002060"/>
        </w:rPr>
        <w:t>OTHER INSTITUTIONS IN INSURANCE SECTOR</w:t>
      </w:r>
      <w:r w:rsidRPr="00E973BC">
        <w:rPr>
          <w:noProof/>
          <w:color w:val="002060"/>
        </w:rPr>
        <w:tab/>
      </w:r>
      <w:r w:rsidR="009E73C3" w:rsidRPr="00E973BC">
        <w:rPr>
          <w:noProof/>
          <w:color w:val="002060"/>
        </w:rPr>
        <w:fldChar w:fldCharType="begin"/>
      </w:r>
      <w:r w:rsidRPr="00E973BC">
        <w:rPr>
          <w:noProof/>
          <w:color w:val="002060"/>
        </w:rPr>
        <w:instrText xml:space="preserve"> PAGEREF _Toc358380219 \h </w:instrText>
      </w:r>
      <w:r w:rsidR="009E73C3" w:rsidRPr="00E973BC">
        <w:rPr>
          <w:noProof/>
          <w:color w:val="002060"/>
        </w:rPr>
      </w:r>
      <w:r w:rsidR="009E73C3" w:rsidRPr="00E973BC">
        <w:rPr>
          <w:noProof/>
          <w:color w:val="002060"/>
        </w:rPr>
        <w:fldChar w:fldCharType="separate"/>
      </w:r>
      <w:r w:rsidR="00F57699">
        <w:rPr>
          <w:noProof/>
          <w:color w:val="002060"/>
        </w:rPr>
        <w:t>66</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5.1.</w:t>
      </w:r>
      <w:r w:rsidRPr="00E973BC">
        <w:rPr>
          <w:rFonts w:eastAsiaTheme="minorEastAsia" w:cstheme="minorBidi"/>
          <w:smallCaps w:val="0"/>
          <w:noProof/>
          <w:color w:val="002060"/>
        </w:rPr>
        <w:tab/>
      </w:r>
      <w:r w:rsidR="00C177EA" w:rsidRPr="00E973BC">
        <w:rPr>
          <w:noProof/>
          <w:color w:val="002060"/>
        </w:rPr>
        <w:t>TURKISH CATASTROPHE INSURANCE POOL</w:t>
      </w:r>
      <w:r w:rsidRPr="00E973BC">
        <w:rPr>
          <w:noProof/>
          <w:color w:val="002060"/>
        </w:rPr>
        <w:t xml:space="preserve"> (</w:t>
      </w:r>
      <w:r w:rsidR="00C177EA" w:rsidRPr="00E973BC">
        <w:rPr>
          <w:noProof/>
          <w:color w:val="002060"/>
        </w:rPr>
        <w:t>TCIP</w:t>
      </w:r>
      <w:r w:rsidRPr="00E973BC">
        <w:rPr>
          <w:noProof/>
          <w:color w:val="002060"/>
        </w:rPr>
        <w:t>)</w:t>
      </w:r>
      <w:r w:rsidRPr="00E973BC">
        <w:rPr>
          <w:noProof/>
          <w:color w:val="002060"/>
        </w:rPr>
        <w:tab/>
      </w:r>
      <w:r w:rsidR="009E73C3" w:rsidRPr="00E973BC">
        <w:rPr>
          <w:noProof/>
          <w:color w:val="002060"/>
        </w:rPr>
        <w:fldChar w:fldCharType="begin"/>
      </w:r>
      <w:r w:rsidRPr="00E973BC">
        <w:rPr>
          <w:noProof/>
          <w:color w:val="002060"/>
        </w:rPr>
        <w:instrText xml:space="preserve"> PAGEREF _Toc358380220 \h </w:instrText>
      </w:r>
      <w:r w:rsidR="009E73C3" w:rsidRPr="00E973BC">
        <w:rPr>
          <w:noProof/>
          <w:color w:val="002060"/>
        </w:rPr>
      </w:r>
      <w:r w:rsidR="009E73C3" w:rsidRPr="00E973BC">
        <w:rPr>
          <w:noProof/>
          <w:color w:val="002060"/>
        </w:rPr>
        <w:fldChar w:fldCharType="separate"/>
      </w:r>
      <w:r w:rsidR="00F57699">
        <w:rPr>
          <w:noProof/>
          <w:color w:val="002060"/>
        </w:rPr>
        <w:t>66</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5.2.</w:t>
      </w:r>
      <w:r w:rsidRPr="00E973BC">
        <w:rPr>
          <w:rFonts w:eastAsiaTheme="minorEastAsia" w:cstheme="minorBidi"/>
          <w:smallCaps w:val="0"/>
          <w:noProof/>
          <w:color w:val="002060"/>
        </w:rPr>
        <w:tab/>
      </w:r>
      <w:r w:rsidR="008B0615" w:rsidRPr="00E973BC">
        <w:rPr>
          <w:noProof/>
          <w:color w:val="002060"/>
        </w:rPr>
        <w:t xml:space="preserve">AGRICULTURAL INSURANCE POOL  </w:t>
      </w:r>
      <w:r w:rsidR="00287BB6" w:rsidRPr="00E973BC">
        <w:rPr>
          <w:noProof/>
          <w:color w:val="002060"/>
        </w:rPr>
        <w:t>(TARSI</w:t>
      </w:r>
      <w:r w:rsidRPr="00E973BC">
        <w:rPr>
          <w:noProof/>
          <w:color w:val="002060"/>
        </w:rPr>
        <w:t>M)</w:t>
      </w:r>
      <w:r w:rsidRPr="00E973BC">
        <w:rPr>
          <w:noProof/>
          <w:color w:val="002060"/>
        </w:rPr>
        <w:tab/>
      </w:r>
      <w:r w:rsidR="009E73C3" w:rsidRPr="00E973BC">
        <w:rPr>
          <w:noProof/>
          <w:color w:val="002060"/>
        </w:rPr>
        <w:fldChar w:fldCharType="begin"/>
      </w:r>
      <w:r w:rsidRPr="00E973BC">
        <w:rPr>
          <w:noProof/>
          <w:color w:val="002060"/>
        </w:rPr>
        <w:instrText xml:space="preserve"> PAGEREF _Toc358380221 \h </w:instrText>
      </w:r>
      <w:r w:rsidR="009E73C3" w:rsidRPr="00E973BC">
        <w:rPr>
          <w:noProof/>
          <w:color w:val="002060"/>
        </w:rPr>
      </w:r>
      <w:r w:rsidR="009E73C3" w:rsidRPr="00E973BC">
        <w:rPr>
          <w:noProof/>
          <w:color w:val="002060"/>
        </w:rPr>
        <w:fldChar w:fldCharType="separate"/>
      </w:r>
      <w:r w:rsidR="00F57699">
        <w:rPr>
          <w:noProof/>
          <w:color w:val="002060"/>
        </w:rPr>
        <w:t>71</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5.3.</w:t>
      </w:r>
      <w:r w:rsidRPr="00E973BC">
        <w:rPr>
          <w:rFonts w:eastAsiaTheme="minorEastAsia" w:cstheme="minorBidi"/>
          <w:smallCaps w:val="0"/>
          <w:noProof/>
          <w:color w:val="002060"/>
        </w:rPr>
        <w:tab/>
      </w:r>
      <w:r w:rsidR="00710D8B" w:rsidRPr="00E973BC">
        <w:rPr>
          <w:noProof/>
          <w:color w:val="002060"/>
        </w:rPr>
        <w:t>TURKISH</w:t>
      </w:r>
      <w:r w:rsidR="008B0615" w:rsidRPr="00E973BC">
        <w:rPr>
          <w:noProof/>
          <w:color w:val="002060"/>
        </w:rPr>
        <w:t xml:space="preserve"> MOTOR INSURANCE BUREAU</w:t>
      </w:r>
      <w:r w:rsidRPr="00E973BC">
        <w:rPr>
          <w:noProof/>
          <w:color w:val="002060"/>
        </w:rPr>
        <w:tab/>
      </w:r>
      <w:r w:rsidR="009E73C3" w:rsidRPr="00E973BC">
        <w:rPr>
          <w:noProof/>
          <w:color w:val="002060"/>
        </w:rPr>
        <w:fldChar w:fldCharType="begin"/>
      </w:r>
      <w:r w:rsidRPr="00E973BC">
        <w:rPr>
          <w:noProof/>
          <w:color w:val="002060"/>
        </w:rPr>
        <w:instrText xml:space="preserve"> PAGEREF _Toc358380222 \h </w:instrText>
      </w:r>
      <w:r w:rsidR="009E73C3" w:rsidRPr="00E973BC">
        <w:rPr>
          <w:noProof/>
          <w:color w:val="002060"/>
        </w:rPr>
      </w:r>
      <w:r w:rsidR="009E73C3" w:rsidRPr="00E973BC">
        <w:rPr>
          <w:noProof/>
          <w:color w:val="002060"/>
        </w:rPr>
        <w:fldChar w:fldCharType="separate"/>
      </w:r>
      <w:r w:rsidR="00F57699">
        <w:rPr>
          <w:noProof/>
          <w:color w:val="002060"/>
        </w:rPr>
        <w:t>74</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5.4.</w:t>
      </w:r>
      <w:r w:rsidRPr="00E973BC">
        <w:rPr>
          <w:rFonts w:eastAsiaTheme="minorEastAsia" w:cstheme="minorBidi"/>
          <w:smallCaps w:val="0"/>
          <w:noProof/>
          <w:color w:val="002060"/>
        </w:rPr>
        <w:tab/>
      </w:r>
      <w:r w:rsidR="008B0615" w:rsidRPr="00E973BC">
        <w:rPr>
          <w:noProof/>
          <w:color w:val="002060"/>
        </w:rPr>
        <w:t>INSURANCE GUARANTEE SCHEME</w:t>
      </w:r>
      <w:r w:rsidRPr="00E973BC">
        <w:rPr>
          <w:noProof/>
          <w:color w:val="002060"/>
        </w:rPr>
        <w:tab/>
      </w:r>
      <w:r w:rsidR="009E73C3" w:rsidRPr="00E973BC">
        <w:rPr>
          <w:noProof/>
          <w:color w:val="002060"/>
        </w:rPr>
        <w:fldChar w:fldCharType="begin"/>
      </w:r>
      <w:r w:rsidRPr="00E973BC">
        <w:rPr>
          <w:noProof/>
          <w:color w:val="002060"/>
        </w:rPr>
        <w:instrText xml:space="preserve"> PAGEREF _Toc358380223 \h </w:instrText>
      </w:r>
      <w:r w:rsidR="009E73C3" w:rsidRPr="00E973BC">
        <w:rPr>
          <w:noProof/>
          <w:color w:val="002060"/>
        </w:rPr>
      </w:r>
      <w:r w:rsidR="009E73C3" w:rsidRPr="00E973BC">
        <w:rPr>
          <w:noProof/>
          <w:color w:val="002060"/>
        </w:rPr>
        <w:fldChar w:fldCharType="separate"/>
      </w:r>
      <w:r w:rsidR="00F57699">
        <w:rPr>
          <w:noProof/>
          <w:color w:val="002060"/>
        </w:rPr>
        <w:t>76</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5.5.</w:t>
      </w:r>
      <w:r w:rsidRPr="00E973BC">
        <w:rPr>
          <w:rFonts w:eastAsiaTheme="minorEastAsia" w:cstheme="minorBidi"/>
          <w:smallCaps w:val="0"/>
          <w:noProof/>
          <w:color w:val="002060"/>
        </w:rPr>
        <w:tab/>
      </w:r>
      <w:r w:rsidR="008B0615" w:rsidRPr="00E973BC">
        <w:rPr>
          <w:noProof/>
          <w:color w:val="002060"/>
        </w:rPr>
        <w:t>INSURANCE ARBITRATION COMMISSION</w:t>
      </w:r>
      <w:r w:rsidRPr="00E973BC">
        <w:rPr>
          <w:noProof/>
          <w:color w:val="002060"/>
        </w:rPr>
        <w:tab/>
      </w:r>
      <w:r w:rsidR="009E73C3" w:rsidRPr="00E973BC">
        <w:rPr>
          <w:noProof/>
          <w:color w:val="002060"/>
        </w:rPr>
        <w:fldChar w:fldCharType="begin"/>
      </w:r>
      <w:r w:rsidRPr="00E973BC">
        <w:rPr>
          <w:noProof/>
          <w:color w:val="002060"/>
        </w:rPr>
        <w:instrText xml:space="preserve"> PAGEREF _Toc358380224 \h </w:instrText>
      </w:r>
      <w:r w:rsidR="009E73C3" w:rsidRPr="00E973BC">
        <w:rPr>
          <w:noProof/>
          <w:color w:val="002060"/>
        </w:rPr>
      </w:r>
      <w:r w:rsidR="009E73C3" w:rsidRPr="00E973BC">
        <w:rPr>
          <w:noProof/>
          <w:color w:val="002060"/>
        </w:rPr>
        <w:fldChar w:fldCharType="separate"/>
      </w:r>
      <w:r w:rsidR="00F57699">
        <w:rPr>
          <w:noProof/>
          <w:color w:val="002060"/>
        </w:rPr>
        <w:t>77</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5.6.</w:t>
      </w:r>
      <w:r w:rsidRPr="00E973BC">
        <w:rPr>
          <w:rFonts w:eastAsiaTheme="minorEastAsia" w:cstheme="minorBidi"/>
          <w:smallCaps w:val="0"/>
          <w:noProof/>
          <w:color w:val="002060"/>
        </w:rPr>
        <w:tab/>
      </w:r>
      <w:r w:rsidR="008B0615" w:rsidRPr="00E973BC">
        <w:rPr>
          <w:noProof/>
          <w:color w:val="002060"/>
        </w:rPr>
        <w:t>INSURANCE INFORMATION AND MONITORING CENTER</w:t>
      </w:r>
      <w:r w:rsidRPr="00E973BC">
        <w:rPr>
          <w:noProof/>
          <w:color w:val="002060"/>
        </w:rPr>
        <w:tab/>
      </w:r>
      <w:r w:rsidR="009E73C3" w:rsidRPr="00E973BC">
        <w:rPr>
          <w:noProof/>
          <w:color w:val="002060"/>
        </w:rPr>
        <w:fldChar w:fldCharType="begin"/>
      </w:r>
      <w:r w:rsidRPr="00E973BC">
        <w:rPr>
          <w:noProof/>
          <w:color w:val="002060"/>
        </w:rPr>
        <w:instrText xml:space="preserve"> PAGEREF _Toc358380225 \h </w:instrText>
      </w:r>
      <w:r w:rsidR="009E73C3" w:rsidRPr="00E973BC">
        <w:rPr>
          <w:noProof/>
          <w:color w:val="002060"/>
        </w:rPr>
      </w:r>
      <w:r w:rsidR="009E73C3" w:rsidRPr="00E973BC">
        <w:rPr>
          <w:noProof/>
          <w:color w:val="002060"/>
        </w:rPr>
        <w:fldChar w:fldCharType="separate"/>
      </w:r>
      <w:r w:rsidR="00F57699">
        <w:rPr>
          <w:noProof/>
          <w:color w:val="002060"/>
        </w:rPr>
        <w:t>79</w:t>
      </w:r>
      <w:r w:rsidR="009E73C3" w:rsidRPr="00E973BC">
        <w:rPr>
          <w:noProof/>
          <w:color w:val="002060"/>
        </w:rPr>
        <w:fldChar w:fldCharType="end"/>
      </w:r>
    </w:p>
    <w:p w:rsidR="005A31F6" w:rsidRPr="00E973BC" w:rsidRDefault="005A31F6">
      <w:pPr>
        <w:pStyle w:val="TOC2"/>
        <w:rPr>
          <w:rFonts w:eastAsiaTheme="minorEastAsia" w:cstheme="minorBidi"/>
          <w:smallCaps w:val="0"/>
          <w:noProof/>
          <w:color w:val="002060"/>
        </w:rPr>
      </w:pPr>
      <w:r w:rsidRPr="00E973BC">
        <w:rPr>
          <w:noProof/>
          <w:color w:val="002060"/>
        </w:rPr>
        <w:t>5.7.</w:t>
      </w:r>
      <w:r w:rsidRPr="00E973BC">
        <w:rPr>
          <w:rFonts w:eastAsiaTheme="minorEastAsia" w:cstheme="minorBidi"/>
          <w:smallCaps w:val="0"/>
          <w:noProof/>
          <w:color w:val="002060"/>
        </w:rPr>
        <w:tab/>
      </w:r>
      <w:r w:rsidR="008B0615" w:rsidRPr="00E973BC">
        <w:rPr>
          <w:noProof/>
          <w:color w:val="002060"/>
        </w:rPr>
        <w:t>PENSION MONITORING CENTER (EGM)</w:t>
      </w:r>
      <w:r w:rsidRPr="00E973BC">
        <w:rPr>
          <w:noProof/>
          <w:color w:val="002060"/>
        </w:rPr>
        <w:tab/>
      </w:r>
      <w:r w:rsidR="009E73C3" w:rsidRPr="00E973BC">
        <w:rPr>
          <w:noProof/>
          <w:color w:val="002060"/>
        </w:rPr>
        <w:fldChar w:fldCharType="begin"/>
      </w:r>
      <w:r w:rsidRPr="00E973BC">
        <w:rPr>
          <w:noProof/>
          <w:color w:val="002060"/>
        </w:rPr>
        <w:instrText xml:space="preserve"> PAGEREF _Toc358380226 \h </w:instrText>
      </w:r>
      <w:r w:rsidR="009E73C3" w:rsidRPr="00E973BC">
        <w:rPr>
          <w:noProof/>
          <w:color w:val="002060"/>
        </w:rPr>
      </w:r>
      <w:r w:rsidR="009E73C3" w:rsidRPr="00E973BC">
        <w:rPr>
          <w:noProof/>
          <w:color w:val="002060"/>
        </w:rPr>
        <w:fldChar w:fldCharType="separate"/>
      </w:r>
      <w:r w:rsidR="00F57699">
        <w:rPr>
          <w:noProof/>
          <w:color w:val="002060"/>
        </w:rPr>
        <w:t>80</w:t>
      </w:r>
      <w:r w:rsidR="009E73C3" w:rsidRPr="00E973BC">
        <w:rPr>
          <w:noProof/>
          <w:color w:val="002060"/>
        </w:rPr>
        <w:fldChar w:fldCharType="end"/>
      </w:r>
    </w:p>
    <w:p w:rsidR="005459D0" w:rsidRPr="00B10D90" w:rsidRDefault="009E73C3" w:rsidP="004406AC">
      <w:pPr>
        <w:jc w:val="center"/>
        <w:rPr>
          <w:color w:val="002060"/>
          <w:sz w:val="20"/>
          <w:szCs w:val="20"/>
          <w:highlight w:val="yellow"/>
        </w:rPr>
      </w:pPr>
      <w:r w:rsidRPr="00E973BC">
        <w:rPr>
          <w:rFonts w:ascii="Century" w:hAnsi="Century"/>
          <w:color w:val="002060"/>
          <w:sz w:val="20"/>
          <w:szCs w:val="20"/>
        </w:rPr>
        <w:fldChar w:fldCharType="end"/>
      </w:r>
    </w:p>
    <w:p w:rsidR="00B5590A" w:rsidRPr="00B10D90" w:rsidRDefault="00B5590A" w:rsidP="004406AC">
      <w:pPr>
        <w:jc w:val="center"/>
        <w:rPr>
          <w:sz w:val="20"/>
          <w:szCs w:val="20"/>
          <w:highlight w:val="yellow"/>
        </w:rPr>
      </w:pPr>
    </w:p>
    <w:p w:rsidR="00F0146E" w:rsidRPr="00B10D90" w:rsidRDefault="003056E1" w:rsidP="004406AC">
      <w:pPr>
        <w:jc w:val="center"/>
        <w:rPr>
          <w:sz w:val="20"/>
          <w:szCs w:val="20"/>
          <w:highlight w:val="yellow"/>
        </w:rPr>
      </w:pPr>
      <w:r w:rsidRPr="003056E1">
        <w:rPr>
          <w:noProof/>
        </w:rPr>
        <w:lastRenderedPageBreak/>
        <w:drawing>
          <wp:inline distT="0" distB="0" distL="0" distR="0" wp14:anchorId="69F6D004" wp14:editId="3C971BF2">
            <wp:extent cx="6057900" cy="769293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7692930"/>
                    </a:xfrm>
                    <a:prstGeom prst="rect">
                      <a:avLst/>
                    </a:prstGeom>
                    <a:noFill/>
                    <a:ln>
                      <a:noFill/>
                    </a:ln>
                  </pic:spPr>
                </pic:pic>
              </a:graphicData>
            </a:graphic>
          </wp:inline>
        </w:drawing>
      </w:r>
    </w:p>
    <w:p w:rsidR="006101E3" w:rsidRPr="00B10D90" w:rsidRDefault="006101E3">
      <w:pPr>
        <w:rPr>
          <w:highlight w:val="yellow"/>
        </w:rPr>
      </w:pPr>
      <w:r w:rsidRPr="00B10D90">
        <w:rPr>
          <w:highlight w:val="yellow"/>
        </w:rPr>
        <w:br w:type="page"/>
      </w:r>
    </w:p>
    <w:p w:rsidR="00C060ED" w:rsidRPr="00B10D90" w:rsidRDefault="008104EA" w:rsidP="003056E1">
      <w:pPr>
        <w:jc w:val="center"/>
        <w:rPr>
          <w:noProof/>
          <w:highlight w:val="yellow"/>
          <w:lang w:val="tr-TR" w:eastAsia="tr-TR"/>
        </w:rPr>
      </w:pPr>
      <w:r w:rsidRPr="008104EA">
        <w:rPr>
          <w:noProof/>
        </w:rPr>
        <w:lastRenderedPageBreak/>
        <w:drawing>
          <wp:inline distT="0" distB="0" distL="0" distR="0" wp14:anchorId="1E93EC65" wp14:editId="2BE09A09">
            <wp:extent cx="6057900" cy="771211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7712115"/>
                    </a:xfrm>
                    <a:prstGeom prst="rect">
                      <a:avLst/>
                    </a:prstGeom>
                    <a:noFill/>
                    <a:ln>
                      <a:noFill/>
                    </a:ln>
                  </pic:spPr>
                </pic:pic>
              </a:graphicData>
            </a:graphic>
          </wp:inline>
        </w:drawing>
      </w:r>
    </w:p>
    <w:p w:rsidR="006101E3" w:rsidRPr="00B10D90" w:rsidRDefault="006101E3">
      <w:pPr>
        <w:rPr>
          <w:sz w:val="20"/>
          <w:szCs w:val="20"/>
          <w:highlight w:val="yellow"/>
        </w:rPr>
      </w:pPr>
      <w:r w:rsidRPr="00B10D90">
        <w:rPr>
          <w:sz w:val="20"/>
          <w:szCs w:val="20"/>
          <w:highlight w:val="yellow"/>
        </w:rPr>
        <w:br w:type="page"/>
      </w:r>
    </w:p>
    <w:p w:rsidR="0099367F" w:rsidRPr="00B10D90" w:rsidRDefault="003056E1" w:rsidP="004406AC">
      <w:pPr>
        <w:jc w:val="center"/>
        <w:rPr>
          <w:sz w:val="20"/>
          <w:szCs w:val="20"/>
          <w:highlight w:val="yellow"/>
        </w:rPr>
      </w:pPr>
      <w:r w:rsidRPr="003056E1">
        <w:rPr>
          <w:noProof/>
        </w:rPr>
        <w:lastRenderedPageBreak/>
        <w:drawing>
          <wp:inline distT="0" distB="0" distL="0" distR="0" wp14:anchorId="7796F6C6" wp14:editId="7585F453">
            <wp:extent cx="6057900" cy="724838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7248383"/>
                    </a:xfrm>
                    <a:prstGeom prst="rect">
                      <a:avLst/>
                    </a:prstGeom>
                    <a:noFill/>
                    <a:ln>
                      <a:noFill/>
                    </a:ln>
                  </pic:spPr>
                </pic:pic>
              </a:graphicData>
            </a:graphic>
          </wp:inline>
        </w:drawing>
      </w:r>
    </w:p>
    <w:p w:rsidR="006101E3" w:rsidRPr="00B10D90" w:rsidRDefault="006101E3">
      <w:pPr>
        <w:rPr>
          <w:sz w:val="20"/>
          <w:szCs w:val="20"/>
          <w:highlight w:val="yellow"/>
        </w:rPr>
      </w:pPr>
      <w:r w:rsidRPr="00B10D90">
        <w:rPr>
          <w:sz w:val="20"/>
          <w:szCs w:val="20"/>
          <w:highlight w:val="yellow"/>
        </w:rPr>
        <w:br w:type="page"/>
      </w:r>
    </w:p>
    <w:p w:rsidR="00C060ED" w:rsidRPr="00B10D90" w:rsidRDefault="008104EA" w:rsidP="004406AC">
      <w:pPr>
        <w:jc w:val="center"/>
        <w:rPr>
          <w:sz w:val="20"/>
          <w:szCs w:val="20"/>
          <w:highlight w:val="yellow"/>
        </w:rPr>
      </w:pPr>
      <w:r w:rsidRPr="008104EA">
        <w:rPr>
          <w:noProof/>
        </w:rPr>
        <w:lastRenderedPageBreak/>
        <w:drawing>
          <wp:inline distT="0" distB="0" distL="0" distR="0" wp14:anchorId="0C1F7F5B" wp14:editId="2F657E7B">
            <wp:extent cx="6057900" cy="72891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7289119"/>
                    </a:xfrm>
                    <a:prstGeom prst="rect">
                      <a:avLst/>
                    </a:prstGeom>
                    <a:noFill/>
                    <a:ln>
                      <a:noFill/>
                    </a:ln>
                  </pic:spPr>
                </pic:pic>
              </a:graphicData>
            </a:graphic>
          </wp:inline>
        </w:drawing>
      </w:r>
    </w:p>
    <w:p w:rsidR="00106578" w:rsidRPr="00B10D90" w:rsidRDefault="00106578" w:rsidP="004406AC">
      <w:pPr>
        <w:jc w:val="center"/>
        <w:rPr>
          <w:sz w:val="20"/>
          <w:szCs w:val="20"/>
          <w:highlight w:val="yellow"/>
        </w:rPr>
      </w:pPr>
    </w:p>
    <w:p w:rsidR="000C0E46" w:rsidRPr="00B10D90" w:rsidRDefault="000C0E46" w:rsidP="004406AC">
      <w:pPr>
        <w:jc w:val="center"/>
        <w:rPr>
          <w:sz w:val="20"/>
          <w:szCs w:val="20"/>
          <w:highlight w:val="yellow"/>
        </w:rPr>
      </w:pPr>
    </w:p>
    <w:p w:rsidR="00EB5B32" w:rsidRPr="00B976EA" w:rsidRDefault="008B5FB4" w:rsidP="00E132D4">
      <w:pPr>
        <w:rPr>
          <w:rFonts w:ascii="Century" w:hAnsi="Century"/>
          <w:b/>
        </w:rPr>
      </w:pPr>
      <w:bookmarkStart w:id="121" w:name="_Toc296364729"/>
      <w:bookmarkStart w:id="122" w:name="_Toc296371938"/>
      <w:bookmarkStart w:id="123" w:name="_Toc296807845"/>
      <w:bookmarkStart w:id="124" w:name="_Toc296808117"/>
      <w:bookmarkStart w:id="125" w:name="_Toc296940797"/>
      <w:bookmarkStart w:id="126" w:name="_Toc297120955"/>
      <w:bookmarkStart w:id="127" w:name="_Toc297121382"/>
      <w:bookmarkStart w:id="128" w:name="_Toc297202374"/>
      <w:bookmarkStart w:id="129" w:name="_Toc297302685"/>
      <w:bookmarkStart w:id="130" w:name="_Toc297302753"/>
      <w:bookmarkStart w:id="131" w:name="_Toc297309770"/>
      <w:bookmarkStart w:id="132" w:name="_Toc297441018"/>
      <w:bookmarkStart w:id="133" w:name="_Toc297441098"/>
      <w:bookmarkStart w:id="134" w:name="_Toc297441680"/>
      <w:bookmarkEnd w:id="114"/>
      <w:bookmarkEnd w:id="115"/>
      <w:bookmarkEnd w:id="116"/>
      <w:bookmarkEnd w:id="117"/>
      <w:bookmarkEnd w:id="118"/>
      <w:bookmarkEnd w:id="119"/>
      <w:bookmarkEnd w:id="120"/>
      <w:r w:rsidRPr="00B10D90">
        <w:rPr>
          <w:rFonts w:ascii="Century" w:hAnsi="Century"/>
          <w:b/>
          <w:highlight w:val="yellow"/>
        </w:rPr>
        <w:br w:type="page"/>
      </w:r>
      <w:r w:rsidR="00EB5B32" w:rsidRPr="00B976EA">
        <w:rPr>
          <w:rFonts w:ascii="Century" w:hAnsi="Century"/>
          <w:b/>
        </w:rPr>
        <w:lastRenderedPageBreak/>
        <w:t>KISALTMALAR</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EB5B32" w:rsidRPr="00B976EA" w:rsidRDefault="00EB5B32" w:rsidP="00EB5B32">
      <w:pPr>
        <w:ind w:firstLine="360"/>
        <w:rPr>
          <w:rFonts w:ascii="Century" w:hAnsi="Century"/>
          <w:sz w:val="10"/>
          <w:szCs w:val="10"/>
        </w:rPr>
      </w:pPr>
    </w:p>
    <w:p w:rsidR="00EB5B32" w:rsidRPr="00B976EA" w:rsidRDefault="00EB5B32" w:rsidP="00EB5B32">
      <w:pPr>
        <w:rPr>
          <w:rFonts w:ascii="Century" w:hAnsi="Century"/>
          <w:sz w:val="17"/>
          <w:szCs w:val="17"/>
        </w:rPr>
      </w:pPr>
      <w:r w:rsidRPr="00B976EA">
        <w:rPr>
          <w:rFonts w:ascii="Century" w:hAnsi="Century"/>
          <w:sz w:val="17"/>
          <w:szCs w:val="17"/>
        </w:rPr>
        <w:t>AA</w:t>
      </w:r>
      <w:r w:rsidRPr="00B976EA">
        <w:rPr>
          <w:rFonts w:ascii="Century" w:hAnsi="Century"/>
          <w:sz w:val="17"/>
          <w:szCs w:val="17"/>
        </w:rPr>
        <w:tab/>
      </w:r>
      <w:r w:rsidRPr="00B976EA">
        <w:rPr>
          <w:rFonts w:ascii="Century" w:hAnsi="Century"/>
          <w:sz w:val="17"/>
          <w:szCs w:val="17"/>
        </w:rPr>
        <w:tab/>
        <w:t>Aracılardan Alacaklar</w:t>
      </w:r>
    </w:p>
    <w:p w:rsidR="00EB5B32" w:rsidRPr="00B976EA" w:rsidRDefault="00EB5B32" w:rsidP="00EB5B32">
      <w:pPr>
        <w:rPr>
          <w:rFonts w:ascii="Century" w:hAnsi="Century"/>
          <w:sz w:val="17"/>
          <w:szCs w:val="17"/>
        </w:rPr>
      </w:pPr>
      <w:r w:rsidRPr="00B976EA">
        <w:rPr>
          <w:rFonts w:ascii="Century" w:hAnsi="Century"/>
          <w:sz w:val="17"/>
          <w:szCs w:val="17"/>
        </w:rPr>
        <w:t>AB</w:t>
      </w:r>
      <w:r w:rsidRPr="00B976EA">
        <w:rPr>
          <w:rFonts w:ascii="Century" w:hAnsi="Century"/>
          <w:sz w:val="17"/>
          <w:szCs w:val="17"/>
        </w:rPr>
        <w:tab/>
      </w:r>
      <w:r w:rsidRPr="00B976EA">
        <w:rPr>
          <w:rFonts w:ascii="Century" w:hAnsi="Century"/>
          <w:sz w:val="17"/>
          <w:szCs w:val="17"/>
        </w:rPr>
        <w:tab/>
        <w:t>Avrupa Birliği</w:t>
      </w:r>
    </w:p>
    <w:p w:rsidR="00EB5B32" w:rsidRPr="00B976EA" w:rsidRDefault="00EB5B32" w:rsidP="00EB5B32">
      <w:pPr>
        <w:rPr>
          <w:rFonts w:ascii="Century" w:hAnsi="Century"/>
          <w:sz w:val="17"/>
          <w:szCs w:val="17"/>
        </w:rPr>
      </w:pPr>
      <w:r w:rsidRPr="00B976EA">
        <w:rPr>
          <w:rFonts w:ascii="Century" w:hAnsi="Century"/>
          <w:sz w:val="17"/>
          <w:szCs w:val="17"/>
        </w:rPr>
        <w:t>ABD</w:t>
      </w:r>
      <w:r w:rsidRPr="00B976EA">
        <w:rPr>
          <w:rFonts w:ascii="Century" w:hAnsi="Century"/>
          <w:sz w:val="17"/>
          <w:szCs w:val="17"/>
        </w:rPr>
        <w:tab/>
      </w:r>
      <w:r w:rsidRPr="00B976EA">
        <w:rPr>
          <w:rFonts w:ascii="Century" w:hAnsi="Century"/>
          <w:sz w:val="17"/>
          <w:szCs w:val="17"/>
        </w:rPr>
        <w:tab/>
        <w:t>Amerika Birleşik Devletleri</w:t>
      </w:r>
    </w:p>
    <w:p w:rsidR="00EB5B32" w:rsidRPr="00B976EA" w:rsidRDefault="00EB5B32" w:rsidP="00EB5B32">
      <w:pPr>
        <w:rPr>
          <w:rFonts w:ascii="Century" w:hAnsi="Century"/>
          <w:sz w:val="17"/>
          <w:szCs w:val="17"/>
        </w:rPr>
      </w:pPr>
      <w:r w:rsidRPr="00B976EA">
        <w:rPr>
          <w:rFonts w:ascii="Century" w:hAnsi="Century"/>
          <w:sz w:val="17"/>
          <w:szCs w:val="17"/>
        </w:rPr>
        <w:t>AŞ</w:t>
      </w:r>
      <w:r w:rsidRPr="00B976EA">
        <w:rPr>
          <w:rFonts w:ascii="Century" w:hAnsi="Century"/>
          <w:sz w:val="17"/>
          <w:szCs w:val="17"/>
        </w:rPr>
        <w:tab/>
      </w:r>
      <w:r w:rsidRPr="00B976EA">
        <w:rPr>
          <w:rFonts w:ascii="Century" w:hAnsi="Century"/>
          <w:sz w:val="17"/>
          <w:szCs w:val="17"/>
        </w:rPr>
        <w:tab/>
        <w:t>Anonim Şirket</w:t>
      </w:r>
    </w:p>
    <w:p w:rsidR="00EB5B32" w:rsidRPr="00B976EA" w:rsidRDefault="00EB5B32" w:rsidP="00EB5B32">
      <w:pPr>
        <w:rPr>
          <w:rFonts w:ascii="Century" w:hAnsi="Century"/>
          <w:sz w:val="17"/>
          <w:szCs w:val="17"/>
        </w:rPr>
      </w:pPr>
      <w:r w:rsidRPr="00B976EA">
        <w:rPr>
          <w:rFonts w:ascii="Century" w:hAnsi="Century"/>
          <w:sz w:val="17"/>
          <w:szCs w:val="17"/>
        </w:rPr>
        <w:t>BDDK</w:t>
      </w:r>
      <w:r w:rsidRPr="00B976EA">
        <w:rPr>
          <w:rFonts w:ascii="Century" w:hAnsi="Century"/>
          <w:sz w:val="17"/>
          <w:szCs w:val="17"/>
        </w:rPr>
        <w:tab/>
      </w:r>
      <w:r w:rsidRPr="00B976EA">
        <w:rPr>
          <w:rFonts w:ascii="Century" w:hAnsi="Century"/>
          <w:sz w:val="17"/>
          <w:szCs w:val="17"/>
        </w:rPr>
        <w:tab/>
        <w:t>Bankacılık Düzenleme ve Denetleme Kurulu</w:t>
      </w:r>
    </w:p>
    <w:p w:rsidR="00EB5B32" w:rsidRPr="00B976EA" w:rsidRDefault="00EB5B32" w:rsidP="00EB5B32">
      <w:pPr>
        <w:rPr>
          <w:rFonts w:ascii="Century" w:hAnsi="Century"/>
          <w:sz w:val="17"/>
          <w:szCs w:val="17"/>
        </w:rPr>
      </w:pPr>
      <w:r w:rsidRPr="00B976EA">
        <w:rPr>
          <w:rFonts w:ascii="Century" w:hAnsi="Century"/>
          <w:sz w:val="17"/>
          <w:szCs w:val="17"/>
        </w:rPr>
        <w:t>BES</w:t>
      </w:r>
      <w:r w:rsidRPr="00B976EA">
        <w:rPr>
          <w:rFonts w:ascii="Century" w:hAnsi="Century"/>
          <w:sz w:val="17"/>
          <w:szCs w:val="17"/>
        </w:rPr>
        <w:tab/>
      </w:r>
      <w:r w:rsidRPr="00B976EA">
        <w:rPr>
          <w:rFonts w:ascii="Century" w:hAnsi="Century"/>
          <w:sz w:val="17"/>
          <w:szCs w:val="17"/>
        </w:rPr>
        <w:tab/>
        <w:t>Bireysel Emeklilik Sistemi</w:t>
      </w:r>
    </w:p>
    <w:p w:rsidR="00EB5B32" w:rsidRPr="00B976EA" w:rsidRDefault="00EB5B32" w:rsidP="00EB5B32">
      <w:pPr>
        <w:rPr>
          <w:rFonts w:ascii="Century" w:hAnsi="Century"/>
          <w:sz w:val="17"/>
          <w:szCs w:val="17"/>
        </w:rPr>
      </w:pPr>
      <w:r w:rsidRPr="00B976EA">
        <w:rPr>
          <w:rFonts w:ascii="Century" w:hAnsi="Century"/>
          <w:sz w:val="17"/>
          <w:szCs w:val="17"/>
        </w:rPr>
        <w:t>BO</w:t>
      </w:r>
      <w:r w:rsidRPr="00B976EA">
        <w:rPr>
          <w:rFonts w:ascii="Century" w:hAnsi="Century"/>
          <w:sz w:val="17"/>
          <w:szCs w:val="17"/>
        </w:rPr>
        <w:tab/>
      </w:r>
      <w:r w:rsidRPr="00B976EA">
        <w:rPr>
          <w:rFonts w:ascii="Century" w:hAnsi="Century"/>
          <w:sz w:val="17"/>
          <w:szCs w:val="17"/>
        </w:rPr>
        <w:tab/>
        <w:t>Bağlı Ortaklık</w:t>
      </w:r>
    </w:p>
    <w:p w:rsidR="00EB5B32" w:rsidRPr="00B976EA" w:rsidRDefault="00EB5B32" w:rsidP="00EB5B32">
      <w:pPr>
        <w:rPr>
          <w:rFonts w:ascii="Century" w:hAnsi="Century"/>
          <w:sz w:val="17"/>
          <w:szCs w:val="17"/>
        </w:rPr>
      </w:pPr>
      <w:r w:rsidRPr="00B976EA">
        <w:rPr>
          <w:rFonts w:ascii="Century" w:hAnsi="Century"/>
          <w:sz w:val="17"/>
          <w:szCs w:val="17"/>
        </w:rPr>
        <w:t>DASK</w:t>
      </w:r>
      <w:r w:rsidRPr="00B976EA">
        <w:rPr>
          <w:rFonts w:ascii="Century" w:hAnsi="Century"/>
          <w:sz w:val="17"/>
          <w:szCs w:val="17"/>
        </w:rPr>
        <w:tab/>
      </w:r>
      <w:r w:rsidRPr="00B976EA">
        <w:rPr>
          <w:rFonts w:ascii="Century" w:hAnsi="Century"/>
          <w:sz w:val="17"/>
          <w:szCs w:val="17"/>
        </w:rPr>
        <w:tab/>
        <w:t>Doğal Afet Sigortaları Kurumu</w:t>
      </w:r>
    </w:p>
    <w:p w:rsidR="00EB5B32" w:rsidRPr="00B976EA" w:rsidRDefault="00EB5B32" w:rsidP="00EB5B32">
      <w:pPr>
        <w:rPr>
          <w:rFonts w:ascii="Century" w:hAnsi="Century"/>
          <w:sz w:val="17"/>
          <w:szCs w:val="17"/>
        </w:rPr>
      </w:pPr>
      <w:r w:rsidRPr="00B976EA">
        <w:rPr>
          <w:rFonts w:ascii="Century" w:hAnsi="Century"/>
          <w:sz w:val="17"/>
          <w:szCs w:val="17"/>
        </w:rPr>
        <w:t>DD</w:t>
      </w:r>
      <w:r w:rsidRPr="00B976EA">
        <w:rPr>
          <w:rFonts w:ascii="Century" w:hAnsi="Century"/>
          <w:sz w:val="17"/>
          <w:szCs w:val="17"/>
        </w:rPr>
        <w:tab/>
      </w:r>
      <w:r w:rsidRPr="00B976EA">
        <w:rPr>
          <w:rFonts w:ascii="Century" w:hAnsi="Century"/>
          <w:sz w:val="17"/>
          <w:szCs w:val="17"/>
        </w:rPr>
        <w:tab/>
        <w:t>Devlet Destekli</w:t>
      </w:r>
    </w:p>
    <w:p w:rsidR="00EB5B32" w:rsidRPr="00B976EA" w:rsidRDefault="00EB5B32" w:rsidP="00EB5B32">
      <w:pPr>
        <w:rPr>
          <w:rFonts w:ascii="Century" w:hAnsi="Century"/>
          <w:sz w:val="17"/>
          <w:szCs w:val="17"/>
        </w:rPr>
      </w:pPr>
      <w:r w:rsidRPr="00B976EA">
        <w:rPr>
          <w:rFonts w:ascii="Century" w:hAnsi="Century"/>
          <w:sz w:val="17"/>
          <w:szCs w:val="17"/>
        </w:rPr>
        <w:t>DERK</w:t>
      </w:r>
      <w:r w:rsidRPr="00B976EA">
        <w:rPr>
          <w:rFonts w:ascii="Century" w:hAnsi="Century"/>
          <w:sz w:val="17"/>
          <w:szCs w:val="17"/>
        </w:rPr>
        <w:tab/>
      </w:r>
      <w:r w:rsidRPr="00B976EA">
        <w:rPr>
          <w:rFonts w:ascii="Century" w:hAnsi="Century"/>
          <w:sz w:val="17"/>
          <w:szCs w:val="17"/>
        </w:rPr>
        <w:tab/>
        <w:t>Devam Eden Riskler Karşılığı</w:t>
      </w:r>
    </w:p>
    <w:p w:rsidR="00EB5B32" w:rsidRPr="00B976EA" w:rsidRDefault="00EB5B32" w:rsidP="00EB5B32">
      <w:pPr>
        <w:rPr>
          <w:rFonts w:ascii="Century" w:hAnsi="Century"/>
          <w:sz w:val="17"/>
          <w:szCs w:val="17"/>
        </w:rPr>
      </w:pPr>
      <w:r w:rsidRPr="00B976EA">
        <w:rPr>
          <w:rFonts w:ascii="Century" w:hAnsi="Century"/>
          <w:sz w:val="17"/>
          <w:szCs w:val="17"/>
        </w:rPr>
        <w:t>DT</w:t>
      </w:r>
      <w:r w:rsidRPr="00B976EA">
        <w:rPr>
          <w:rFonts w:ascii="Century" w:hAnsi="Century"/>
          <w:sz w:val="17"/>
          <w:szCs w:val="17"/>
        </w:rPr>
        <w:tab/>
      </w:r>
      <w:r w:rsidRPr="00B976EA">
        <w:rPr>
          <w:rFonts w:ascii="Century" w:hAnsi="Century"/>
          <w:sz w:val="17"/>
          <w:szCs w:val="17"/>
        </w:rPr>
        <w:tab/>
        <w:t xml:space="preserve">Devlet Tahvili </w:t>
      </w:r>
    </w:p>
    <w:p w:rsidR="00EB5B32" w:rsidRPr="00B976EA" w:rsidRDefault="00EB5B32" w:rsidP="00EB5B32">
      <w:pPr>
        <w:rPr>
          <w:rFonts w:ascii="Century" w:hAnsi="Century"/>
          <w:sz w:val="17"/>
          <w:szCs w:val="17"/>
        </w:rPr>
      </w:pPr>
      <w:r w:rsidRPr="00B976EA">
        <w:rPr>
          <w:rFonts w:ascii="Century" w:hAnsi="Century"/>
          <w:sz w:val="17"/>
          <w:szCs w:val="17"/>
        </w:rPr>
        <w:t>EGM</w:t>
      </w:r>
      <w:r w:rsidRPr="00B976EA">
        <w:rPr>
          <w:rFonts w:ascii="Century" w:hAnsi="Century"/>
          <w:sz w:val="17"/>
          <w:szCs w:val="17"/>
        </w:rPr>
        <w:tab/>
      </w:r>
      <w:r w:rsidRPr="00B976EA">
        <w:rPr>
          <w:rFonts w:ascii="Century" w:hAnsi="Century"/>
          <w:sz w:val="17"/>
          <w:szCs w:val="17"/>
        </w:rPr>
        <w:tab/>
        <w:t>Emeklilik Gözetim Merkezi</w:t>
      </w:r>
    </w:p>
    <w:p w:rsidR="00EB5B32" w:rsidRPr="00B976EA" w:rsidRDefault="00EB5B32" w:rsidP="00EB5B32">
      <w:pPr>
        <w:rPr>
          <w:rFonts w:ascii="Century" w:hAnsi="Century"/>
          <w:sz w:val="17"/>
          <w:szCs w:val="17"/>
        </w:rPr>
      </w:pPr>
      <w:r w:rsidRPr="00B976EA">
        <w:rPr>
          <w:rFonts w:ascii="Century" w:hAnsi="Century"/>
          <w:sz w:val="17"/>
          <w:szCs w:val="17"/>
        </w:rPr>
        <w:t>Fin.</w:t>
      </w:r>
      <w:r w:rsidRPr="00B976EA">
        <w:rPr>
          <w:rFonts w:ascii="Century" w:hAnsi="Century"/>
          <w:sz w:val="17"/>
          <w:szCs w:val="17"/>
        </w:rPr>
        <w:tab/>
      </w:r>
      <w:r w:rsidRPr="00B976EA">
        <w:rPr>
          <w:rFonts w:ascii="Century" w:hAnsi="Century"/>
          <w:sz w:val="17"/>
          <w:szCs w:val="17"/>
        </w:rPr>
        <w:tab/>
        <w:t>Finansal</w:t>
      </w:r>
    </w:p>
    <w:p w:rsidR="00EB5B32" w:rsidRPr="00B976EA" w:rsidRDefault="00EB5B32" w:rsidP="00EB5B32">
      <w:pPr>
        <w:rPr>
          <w:rFonts w:ascii="Century" w:hAnsi="Century"/>
          <w:sz w:val="17"/>
          <w:szCs w:val="17"/>
        </w:rPr>
      </w:pPr>
      <w:r w:rsidRPr="00B976EA">
        <w:rPr>
          <w:rFonts w:ascii="Century" w:hAnsi="Century"/>
          <w:sz w:val="17"/>
          <w:szCs w:val="17"/>
        </w:rPr>
        <w:t>FK</w:t>
      </w:r>
      <w:r w:rsidRPr="00B976EA">
        <w:rPr>
          <w:rFonts w:ascii="Century" w:hAnsi="Century"/>
          <w:sz w:val="17"/>
          <w:szCs w:val="17"/>
        </w:rPr>
        <w:tab/>
      </w:r>
      <w:r w:rsidRPr="00B976EA">
        <w:rPr>
          <w:rFonts w:ascii="Century" w:hAnsi="Century"/>
          <w:sz w:val="17"/>
          <w:szCs w:val="17"/>
        </w:rPr>
        <w:tab/>
        <w:t>Ferdi Kaza</w:t>
      </w:r>
    </w:p>
    <w:p w:rsidR="00EB5B32" w:rsidRPr="00B976EA" w:rsidRDefault="00EB5B32" w:rsidP="00EB5B32">
      <w:pPr>
        <w:rPr>
          <w:rFonts w:ascii="Century" w:hAnsi="Century"/>
          <w:sz w:val="17"/>
          <w:szCs w:val="17"/>
        </w:rPr>
      </w:pPr>
      <w:r w:rsidRPr="00B976EA">
        <w:rPr>
          <w:rFonts w:ascii="Century" w:hAnsi="Century"/>
          <w:sz w:val="17"/>
          <w:szCs w:val="17"/>
        </w:rPr>
        <w:t>FV</w:t>
      </w:r>
      <w:r w:rsidRPr="00B976EA">
        <w:rPr>
          <w:rFonts w:ascii="Century" w:hAnsi="Century"/>
          <w:sz w:val="17"/>
          <w:szCs w:val="17"/>
        </w:rPr>
        <w:tab/>
      </w:r>
      <w:r w:rsidRPr="00B976EA">
        <w:rPr>
          <w:rFonts w:ascii="Century" w:hAnsi="Century"/>
          <w:sz w:val="17"/>
          <w:szCs w:val="17"/>
        </w:rPr>
        <w:tab/>
        <w:t>Finansal Varlıklar</w:t>
      </w:r>
    </w:p>
    <w:p w:rsidR="00EB5B32" w:rsidRPr="00B976EA" w:rsidRDefault="00B87A5C" w:rsidP="00EB5B32">
      <w:pPr>
        <w:rPr>
          <w:rFonts w:ascii="Century" w:hAnsi="Century"/>
          <w:sz w:val="17"/>
          <w:szCs w:val="17"/>
        </w:rPr>
      </w:pPr>
      <w:r w:rsidRPr="00B976EA">
        <w:rPr>
          <w:rFonts w:ascii="Century" w:hAnsi="Century"/>
          <w:sz w:val="17"/>
          <w:szCs w:val="17"/>
        </w:rPr>
        <w:t>GSY</w:t>
      </w:r>
      <w:r w:rsidR="00EB5B32" w:rsidRPr="00B976EA">
        <w:rPr>
          <w:rFonts w:ascii="Century" w:hAnsi="Century"/>
          <w:sz w:val="17"/>
          <w:szCs w:val="17"/>
        </w:rPr>
        <w:t>H</w:t>
      </w:r>
      <w:r w:rsidR="00EB5B32" w:rsidRPr="00B976EA">
        <w:rPr>
          <w:rFonts w:ascii="Century" w:hAnsi="Century"/>
          <w:sz w:val="17"/>
          <w:szCs w:val="17"/>
        </w:rPr>
        <w:tab/>
      </w:r>
      <w:r w:rsidR="00EB5B32" w:rsidRPr="00B976EA">
        <w:rPr>
          <w:rFonts w:ascii="Century" w:hAnsi="Century"/>
          <w:sz w:val="17"/>
          <w:szCs w:val="17"/>
        </w:rPr>
        <w:tab/>
        <w:t>Gayri Safi Yurtiçi Hasıla</w:t>
      </w:r>
    </w:p>
    <w:p w:rsidR="00EB5B32" w:rsidRPr="00B976EA" w:rsidRDefault="00EB5B32" w:rsidP="00EB5B32">
      <w:pPr>
        <w:rPr>
          <w:rFonts w:ascii="Century" w:hAnsi="Century"/>
          <w:sz w:val="17"/>
          <w:szCs w:val="17"/>
        </w:rPr>
      </w:pPr>
      <w:r w:rsidRPr="00B976EA">
        <w:rPr>
          <w:rFonts w:ascii="Century" w:hAnsi="Century"/>
          <w:sz w:val="17"/>
          <w:szCs w:val="17"/>
        </w:rPr>
        <w:t>GŞ</w:t>
      </w:r>
      <w:r w:rsidRPr="00B976EA">
        <w:rPr>
          <w:rFonts w:ascii="Century" w:hAnsi="Century"/>
          <w:sz w:val="17"/>
          <w:szCs w:val="17"/>
        </w:rPr>
        <w:tab/>
      </w:r>
      <w:r w:rsidRPr="00B976EA">
        <w:rPr>
          <w:rFonts w:ascii="Century" w:hAnsi="Century"/>
          <w:sz w:val="17"/>
          <w:szCs w:val="17"/>
        </w:rPr>
        <w:tab/>
        <w:t>Genel Şart</w:t>
      </w:r>
    </w:p>
    <w:p w:rsidR="00EB5B32" w:rsidRPr="00B976EA" w:rsidRDefault="00EB5B32" w:rsidP="00EB5B32">
      <w:pPr>
        <w:rPr>
          <w:rFonts w:ascii="Century" w:hAnsi="Century"/>
          <w:sz w:val="17"/>
          <w:szCs w:val="17"/>
        </w:rPr>
      </w:pPr>
      <w:r w:rsidRPr="00B976EA">
        <w:rPr>
          <w:rFonts w:ascii="Century" w:hAnsi="Century"/>
          <w:sz w:val="17"/>
          <w:szCs w:val="17"/>
        </w:rPr>
        <w:t>HB</w:t>
      </w:r>
      <w:r w:rsidRPr="00B976EA">
        <w:rPr>
          <w:rFonts w:ascii="Century" w:hAnsi="Century"/>
          <w:sz w:val="17"/>
          <w:szCs w:val="17"/>
        </w:rPr>
        <w:tab/>
      </w:r>
      <w:r w:rsidRPr="00B976EA">
        <w:rPr>
          <w:rFonts w:ascii="Century" w:hAnsi="Century"/>
          <w:sz w:val="17"/>
          <w:szCs w:val="17"/>
        </w:rPr>
        <w:tab/>
        <w:t>Hazine Bonosu</w:t>
      </w:r>
    </w:p>
    <w:p w:rsidR="00EB5B32" w:rsidRPr="00B976EA" w:rsidRDefault="00EB5B32" w:rsidP="00EB5B32">
      <w:pPr>
        <w:rPr>
          <w:rFonts w:ascii="Century" w:hAnsi="Century"/>
          <w:sz w:val="17"/>
          <w:szCs w:val="17"/>
        </w:rPr>
      </w:pPr>
      <w:r w:rsidRPr="00B976EA">
        <w:rPr>
          <w:rFonts w:ascii="Century" w:hAnsi="Century"/>
          <w:sz w:val="17"/>
          <w:szCs w:val="17"/>
        </w:rPr>
        <w:t>HD</w:t>
      </w:r>
      <w:r w:rsidRPr="00B976EA">
        <w:rPr>
          <w:rFonts w:ascii="Century" w:hAnsi="Century"/>
          <w:sz w:val="17"/>
          <w:szCs w:val="17"/>
        </w:rPr>
        <w:tab/>
      </w:r>
      <w:r w:rsidRPr="00B976EA">
        <w:rPr>
          <w:rFonts w:ascii="Century" w:hAnsi="Century"/>
          <w:sz w:val="17"/>
          <w:szCs w:val="17"/>
        </w:rPr>
        <w:tab/>
        <w:t>Hayat Dışı</w:t>
      </w:r>
    </w:p>
    <w:p w:rsidR="00EB5B32" w:rsidRPr="00B976EA" w:rsidRDefault="00C402AA" w:rsidP="00EB5B32">
      <w:pPr>
        <w:rPr>
          <w:rFonts w:ascii="Century" w:hAnsi="Century"/>
          <w:sz w:val="17"/>
          <w:szCs w:val="17"/>
        </w:rPr>
      </w:pPr>
      <w:r w:rsidRPr="00B976EA">
        <w:rPr>
          <w:rFonts w:ascii="Century" w:hAnsi="Century"/>
          <w:sz w:val="17"/>
          <w:szCs w:val="17"/>
        </w:rPr>
        <w:t>H/E</w:t>
      </w:r>
      <w:r w:rsidRPr="00B976EA">
        <w:rPr>
          <w:rFonts w:ascii="Century" w:hAnsi="Century"/>
          <w:sz w:val="17"/>
          <w:szCs w:val="17"/>
        </w:rPr>
        <w:tab/>
      </w:r>
      <w:r w:rsidRPr="00B976EA">
        <w:rPr>
          <w:rFonts w:ascii="Century" w:hAnsi="Century"/>
          <w:sz w:val="17"/>
          <w:szCs w:val="17"/>
        </w:rPr>
        <w:tab/>
        <w:t>Hayat</w:t>
      </w:r>
      <w:r w:rsidR="000D1DF2" w:rsidRPr="00B976EA">
        <w:rPr>
          <w:rFonts w:ascii="Century" w:hAnsi="Century"/>
          <w:sz w:val="17"/>
          <w:szCs w:val="17"/>
        </w:rPr>
        <w:t xml:space="preserve"> </w:t>
      </w:r>
      <w:r w:rsidR="00BB6987" w:rsidRPr="00B976EA">
        <w:rPr>
          <w:rFonts w:ascii="Century" w:hAnsi="Century"/>
          <w:sz w:val="17"/>
          <w:szCs w:val="17"/>
        </w:rPr>
        <w:t>Sigorta Şirketleri il</w:t>
      </w:r>
      <w:r w:rsidR="001B3F94" w:rsidRPr="00B976EA">
        <w:rPr>
          <w:rFonts w:ascii="Century" w:hAnsi="Century"/>
          <w:sz w:val="17"/>
          <w:szCs w:val="17"/>
        </w:rPr>
        <w:t xml:space="preserve">e </w:t>
      </w:r>
      <w:r w:rsidR="00EB5B32" w:rsidRPr="00B976EA">
        <w:rPr>
          <w:rFonts w:ascii="Century" w:hAnsi="Century"/>
          <w:sz w:val="17"/>
          <w:szCs w:val="17"/>
        </w:rPr>
        <w:t>Emeklilik</w:t>
      </w:r>
      <w:r w:rsidR="00BB6987" w:rsidRPr="00B976EA">
        <w:rPr>
          <w:rFonts w:ascii="Century" w:hAnsi="Century"/>
          <w:sz w:val="17"/>
          <w:szCs w:val="17"/>
        </w:rPr>
        <w:t xml:space="preserve"> Şirketleri</w:t>
      </w:r>
    </w:p>
    <w:p w:rsidR="00EB5B32" w:rsidRPr="00B976EA" w:rsidRDefault="00EB5B32" w:rsidP="00EB5B32">
      <w:pPr>
        <w:rPr>
          <w:rFonts w:ascii="Century" w:hAnsi="Century"/>
          <w:sz w:val="17"/>
          <w:szCs w:val="17"/>
        </w:rPr>
      </w:pPr>
      <w:r w:rsidRPr="00B976EA">
        <w:rPr>
          <w:rFonts w:ascii="Century" w:hAnsi="Century"/>
          <w:sz w:val="17"/>
          <w:szCs w:val="17"/>
        </w:rPr>
        <w:t>HS</w:t>
      </w:r>
      <w:r w:rsidRPr="00B976EA">
        <w:rPr>
          <w:rFonts w:ascii="Century" w:hAnsi="Century"/>
          <w:sz w:val="17"/>
          <w:szCs w:val="17"/>
        </w:rPr>
        <w:tab/>
      </w:r>
      <w:r w:rsidRPr="00B976EA">
        <w:rPr>
          <w:rFonts w:ascii="Century" w:hAnsi="Century"/>
          <w:sz w:val="17"/>
          <w:szCs w:val="17"/>
        </w:rPr>
        <w:tab/>
        <w:t>Hisse Senetleri</w:t>
      </w:r>
    </w:p>
    <w:p w:rsidR="00EB5B32" w:rsidRPr="00B976EA" w:rsidRDefault="00EB5B32" w:rsidP="00EB5B32">
      <w:pPr>
        <w:rPr>
          <w:rFonts w:ascii="Century" w:hAnsi="Century"/>
          <w:sz w:val="17"/>
          <w:szCs w:val="17"/>
        </w:rPr>
      </w:pPr>
      <w:r w:rsidRPr="00B976EA">
        <w:rPr>
          <w:rFonts w:ascii="Century" w:hAnsi="Century"/>
          <w:sz w:val="17"/>
          <w:szCs w:val="17"/>
        </w:rPr>
        <w:t>HSP</w:t>
      </w:r>
      <w:r w:rsidRPr="00B976EA">
        <w:rPr>
          <w:rFonts w:ascii="Century" w:hAnsi="Century"/>
          <w:sz w:val="17"/>
          <w:szCs w:val="17"/>
        </w:rPr>
        <w:tab/>
      </w:r>
      <w:r w:rsidRPr="00B976EA">
        <w:rPr>
          <w:rFonts w:ascii="Century" w:hAnsi="Century"/>
          <w:sz w:val="17"/>
          <w:szCs w:val="17"/>
        </w:rPr>
        <w:tab/>
        <w:t>Hayat Sigortası Poliçesi</w:t>
      </w:r>
    </w:p>
    <w:p w:rsidR="00EB5B32" w:rsidRPr="00B976EA" w:rsidRDefault="00EB5B32" w:rsidP="00EB5B32">
      <w:pPr>
        <w:rPr>
          <w:rFonts w:ascii="Century" w:hAnsi="Century"/>
          <w:sz w:val="17"/>
          <w:szCs w:val="17"/>
        </w:rPr>
      </w:pPr>
      <w:r w:rsidRPr="00B976EA">
        <w:rPr>
          <w:rFonts w:ascii="Century" w:hAnsi="Century"/>
          <w:sz w:val="17"/>
          <w:szCs w:val="17"/>
        </w:rPr>
        <w:t>HSPS</w:t>
      </w:r>
      <w:r w:rsidRPr="00B976EA">
        <w:rPr>
          <w:rFonts w:ascii="Century" w:hAnsi="Century"/>
          <w:sz w:val="17"/>
          <w:szCs w:val="17"/>
        </w:rPr>
        <w:tab/>
      </w:r>
      <w:r w:rsidRPr="00B976EA">
        <w:rPr>
          <w:rFonts w:ascii="Century" w:hAnsi="Century"/>
          <w:sz w:val="17"/>
          <w:szCs w:val="17"/>
        </w:rPr>
        <w:tab/>
        <w:t>Hayat Sigortası Poliçesi Sahipleri</w:t>
      </w:r>
    </w:p>
    <w:p w:rsidR="00EB5B32" w:rsidRPr="00B976EA" w:rsidRDefault="00EB5B32" w:rsidP="00EB5B32">
      <w:pPr>
        <w:rPr>
          <w:rFonts w:ascii="Century" w:hAnsi="Century"/>
          <w:sz w:val="17"/>
          <w:szCs w:val="17"/>
        </w:rPr>
      </w:pPr>
      <w:proofErr w:type="gramStart"/>
      <w:r w:rsidRPr="00B976EA">
        <w:rPr>
          <w:rFonts w:ascii="Century" w:hAnsi="Century"/>
          <w:sz w:val="17"/>
          <w:szCs w:val="17"/>
        </w:rPr>
        <w:t>İşt.</w:t>
      </w:r>
      <w:proofErr w:type="gramEnd"/>
      <w:r w:rsidRPr="00B976EA">
        <w:rPr>
          <w:rFonts w:ascii="Century" w:hAnsi="Century"/>
          <w:sz w:val="17"/>
          <w:szCs w:val="17"/>
        </w:rPr>
        <w:tab/>
      </w:r>
      <w:r w:rsidRPr="00B976EA">
        <w:rPr>
          <w:rFonts w:ascii="Century" w:hAnsi="Century"/>
          <w:sz w:val="17"/>
          <w:szCs w:val="17"/>
        </w:rPr>
        <w:tab/>
        <w:t>İştirak</w:t>
      </w:r>
    </w:p>
    <w:p w:rsidR="00EB5B32" w:rsidRPr="00B976EA" w:rsidRDefault="00EB5B32" w:rsidP="00EB5B32">
      <w:pPr>
        <w:rPr>
          <w:rFonts w:ascii="Century" w:hAnsi="Century"/>
          <w:sz w:val="17"/>
          <w:szCs w:val="17"/>
        </w:rPr>
      </w:pPr>
      <w:r w:rsidRPr="00B976EA">
        <w:rPr>
          <w:rFonts w:ascii="Century" w:hAnsi="Century"/>
          <w:sz w:val="17"/>
          <w:szCs w:val="17"/>
        </w:rPr>
        <w:t>Karş.</w:t>
      </w:r>
      <w:r w:rsidRPr="00B976EA">
        <w:rPr>
          <w:rFonts w:ascii="Century" w:hAnsi="Century"/>
          <w:sz w:val="17"/>
          <w:szCs w:val="17"/>
        </w:rPr>
        <w:tab/>
      </w:r>
      <w:r w:rsidRPr="00B976EA">
        <w:rPr>
          <w:rFonts w:ascii="Century" w:hAnsi="Century"/>
          <w:sz w:val="17"/>
          <w:szCs w:val="17"/>
        </w:rPr>
        <w:tab/>
        <w:t>Karşılığı</w:t>
      </w:r>
    </w:p>
    <w:p w:rsidR="00EB5B32" w:rsidRPr="00B976EA" w:rsidRDefault="00EB5B32" w:rsidP="00EB5B32">
      <w:pPr>
        <w:rPr>
          <w:rFonts w:ascii="Century" w:hAnsi="Century"/>
          <w:sz w:val="17"/>
          <w:szCs w:val="17"/>
        </w:rPr>
      </w:pPr>
      <w:r w:rsidRPr="00B976EA">
        <w:rPr>
          <w:rFonts w:ascii="Century" w:hAnsi="Century"/>
          <w:sz w:val="17"/>
          <w:szCs w:val="17"/>
        </w:rPr>
        <w:t>KHK</w:t>
      </w:r>
      <w:r w:rsidRPr="00B976EA">
        <w:rPr>
          <w:rFonts w:ascii="Century" w:hAnsi="Century"/>
          <w:sz w:val="17"/>
          <w:szCs w:val="17"/>
        </w:rPr>
        <w:tab/>
      </w:r>
      <w:r w:rsidRPr="00B976EA">
        <w:rPr>
          <w:rFonts w:ascii="Century" w:hAnsi="Century"/>
          <w:sz w:val="17"/>
          <w:szCs w:val="17"/>
        </w:rPr>
        <w:tab/>
        <w:t>Kanun Hükmünde Kararname</w:t>
      </w:r>
    </w:p>
    <w:p w:rsidR="00EB5B32" w:rsidRPr="00B976EA" w:rsidRDefault="00EB5B32" w:rsidP="00EB5B32">
      <w:pPr>
        <w:rPr>
          <w:rFonts w:ascii="Century" w:hAnsi="Century"/>
          <w:sz w:val="17"/>
          <w:szCs w:val="17"/>
        </w:rPr>
      </w:pPr>
      <w:r w:rsidRPr="00B976EA">
        <w:rPr>
          <w:rFonts w:ascii="Century" w:hAnsi="Century"/>
          <w:sz w:val="17"/>
          <w:szCs w:val="17"/>
        </w:rPr>
        <w:t>KPK</w:t>
      </w:r>
      <w:r w:rsidRPr="00B976EA">
        <w:rPr>
          <w:rFonts w:ascii="Century" w:hAnsi="Century"/>
          <w:sz w:val="17"/>
          <w:szCs w:val="17"/>
        </w:rPr>
        <w:tab/>
      </w:r>
      <w:r w:rsidRPr="00B976EA">
        <w:rPr>
          <w:rFonts w:ascii="Century" w:hAnsi="Century"/>
          <w:sz w:val="17"/>
          <w:szCs w:val="17"/>
        </w:rPr>
        <w:tab/>
        <w:t>Kazanılmamış Primler Karşılığı</w:t>
      </w:r>
    </w:p>
    <w:p w:rsidR="00EB5B32" w:rsidRPr="00B976EA" w:rsidRDefault="00EB5B32" w:rsidP="00EB5B32">
      <w:pPr>
        <w:rPr>
          <w:rFonts w:ascii="Century" w:hAnsi="Century"/>
          <w:sz w:val="17"/>
          <w:szCs w:val="17"/>
        </w:rPr>
      </w:pPr>
      <w:r w:rsidRPr="00B976EA">
        <w:rPr>
          <w:rFonts w:ascii="Century" w:hAnsi="Century"/>
          <w:sz w:val="17"/>
          <w:szCs w:val="17"/>
        </w:rPr>
        <w:t>KTK</w:t>
      </w:r>
      <w:r w:rsidRPr="00B976EA">
        <w:rPr>
          <w:rFonts w:ascii="Century" w:hAnsi="Century"/>
          <w:sz w:val="17"/>
          <w:szCs w:val="17"/>
        </w:rPr>
        <w:tab/>
      </w:r>
      <w:r w:rsidRPr="00B976EA">
        <w:rPr>
          <w:rFonts w:ascii="Century" w:hAnsi="Century"/>
          <w:sz w:val="17"/>
          <w:szCs w:val="17"/>
        </w:rPr>
        <w:tab/>
        <w:t>Karayolları Trafik Kanunu</w:t>
      </w:r>
    </w:p>
    <w:p w:rsidR="00D46FA4" w:rsidRPr="00B976EA" w:rsidRDefault="00D46FA4" w:rsidP="00EB5B32">
      <w:pPr>
        <w:rPr>
          <w:rFonts w:ascii="Century" w:hAnsi="Century"/>
          <w:sz w:val="17"/>
          <w:szCs w:val="17"/>
        </w:rPr>
      </w:pPr>
      <w:r w:rsidRPr="00B976EA">
        <w:rPr>
          <w:rFonts w:ascii="Century" w:hAnsi="Century"/>
          <w:sz w:val="17"/>
          <w:szCs w:val="17"/>
        </w:rPr>
        <w:t>KYT</w:t>
      </w:r>
      <w:r w:rsidRPr="00B976EA">
        <w:rPr>
          <w:rFonts w:ascii="Century" w:hAnsi="Century"/>
          <w:sz w:val="17"/>
          <w:szCs w:val="17"/>
        </w:rPr>
        <w:tab/>
      </w:r>
      <w:r w:rsidRPr="00B976EA">
        <w:rPr>
          <w:rFonts w:ascii="Century" w:hAnsi="Century"/>
          <w:sz w:val="17"/>
          <w:szCs w:val="17"/>
        </w:rPr>
        <w:tab/>
        <w:t>Karayolu Yolcu Taşımacılığı</w:t>
      </w:r>
    </w:p>
    <w:p w:rsidR="00EB5B32" w:rsidRPr="00B976EA" w:rsidRDefault="001573E8" w:rsidP="00EB5B32">
      <w:pPr>
        <w:rPr>
          <w:rFonts w:ascii="Century" w:hAnsi="Century"/>
          <w:sz w:val="17"/>
          <w:szCs w:val="17"/>
        </w:rPr>
      </w:pPr>
      <w:r w:rsidRPr="00B976EA">
        <w:rPr>
          <w:rFonts w:ascii="Century" w:hAnsi="Century"/>
          <w:sz w:val="17"/>
          <w:szCs w:val="17"/>
        </w:rPr>
        <w:t>K/Z</w:t>
      </w:r>
      <w:r w:rsidRPr="00B976EA">
        <w:rPr>
          <w:rFonts w:ascii="Century" w:hAnsi="Century"/>
          <w:sz w:val="17"/>
          <w:szCs w:val="17"/>
        </w:rPr>
        <w:tab/>
      </w:r>
      <w:r w:rsidRPr="00B976EA">
        <w:rPr>
          <w:rFonts w:ascii="Century" w:hAnsi="Century"/>
          <w:sz w:val="17"/>
          <w:szCs w:val="17"/>
        </w:rPr>
        <w:tab/>
        <w:t>Kâ</w:t>
      </w:r>
      <w:r w:rsidR="00EB5B32" w:rsidRPr="00B976EA">
        <w:rPr>
          <w:rFonts w:ascii="Century" w:hAnsi="Century"/>
          <w:sz w:val="17"/>
          <w:szCs w:val="17"/>
        </w:rPr>
        <w:t>r/Zarar</w:t>
      </w:r>
    </w:p>
    <w:p w:rsidR="00EB5B32" w:rsidRPr="00B976EA" w:rsidRDefault="00EB5B32" w:rsidP="00EB5B32">
      <w:pPr>
        <w:rPr>
          <w:rFonts w:ascii="Century" w:hAnsi="Century"/>
          <w:sz w:val="17"/>
          <w:szCs w:val="17"/>
        </w:rPr>
      </w:pPr>
      <w:r w:rsidRPr="00B976EA">
        <w:rPr>
          <w:rFonts w:ascii="Century" w:hAnsi="Century"/>
          <w:sz w:val="17"/>
          <w:szCs w:val="17"/>
        </w:rPr>
        <w:t>MK</w:t>
      </w:r>
      <w:r w:rsidRPr="00B976EA">
        <w:rPr>
          <w:rFonts w:ascii="Century" w:hAnsi="Century"/>
          <w:sz w:val="17"/>
          <w:szCs w:val="17"/>
        </w:rPr>
        <w:tab/>
      </w:r>
      <w:r w:rsidRPr="00B976EA">
        <w:rPr>
          <w:rFonts w:ascii="Century" w:hAnsi="Century"/>
          <w:sz w:val="17"/>
          <w:szCs w:val="17"/>
        </w:rPr>
        <w:tab/>
        <w:t>Matematik Karşılıklar</w:t>
      </w:r>
    </w:p>
    <w:p w:rsidR="00EB5B32" w:rsidRPr="00B976EA" w:rsidRDefault="00EB5B32" w:rsidP="00EB5B32">
      <w:pPr>
        <w:rPr>
          <w:rFonts w:ascii="Century" w:hAnsi="Century"/>
          <w:sz w:val="17"/>
          <w:szCs w:val="17"/>
        </w:rPr>
      </w:pPr>
      <w:r w:rsidRPr="00B976EA">
        <w:rPr>
          <w:rFonts w:ascii="Century" w:hAnsi="Century"/>
          <w:sz w:val="17"/>
          <w:szCs w:val="17"/>
        </w:rPr>
        <w:t>MS</w:t>
      </w:r>
      <w:r w:rsidRPr="00B976EA">
        <w:rPr>
          <w:rFonts w:ascii="Century" w:hAnsi="Century"/>
          <w:sz w:val="17"/>
          <w:szCs w:val="17"/>
        </w:rPr>
        <w:tab/>
      </w:r>
      <w:r w:rsidRPr="00B976EA">
        <w:rPr>
          <w:rFonts w:ascii="Century" w:hAnsi="Century"/>
          <w:sz w:val="17"/>
          <w:szCs w:val="17"/>
        </w:rPr>
        <w:tab/>
        <w:t>Mali Sorumluluk</w:t>
      </w:r>
    </w:p>
    <w:p w:rsidR="00EB5B32" w:rsidRPr="00B976EA" w:rsidRDefault="00EB5B32" w:rsidP="00EB5B32">
      <w:pPr>
        <w:rPr>
          <w:rFonts w:ascii="Century" w:hAnsi="Century"/>
          <w:sz w:val="17"/>
          <w:szCs w:val="17"/>
        </w:rPr>
      </w:pPr>
      <w:r w:rsidRPr="00B976EA">
        <w:rPr>
          <w:rFonts w:ascii="Century" w:hAnsi="Century"/>
          <w:sz w:val="17"/>
          <w:szCs w:val="17"/>
        </w:rPr>
        <w:t>MSS</w:t>
      </w:r>
      <w:r w:rsidRPr="00B976EA">
        <w:rPr>
          <w:rFonts w:ascii="Century" w:hAnsi="Century"/>
          <w:sz w:val="17"/>
          <w:szCs w:val="17"/>
        </w:rPr>
        <w:tab/>
      </w:r>
      <w:r w:rsidRPr="00B976EA">
        <w:rPr>
          <w:rFonts w:ascii="Century" w:hAnsi="Century"/>
          <w:sz w:val="17"/>
          <w:szCs w:val="17"/>
        </w:rPr>
        <w:tab/>
        <w:t>Mali Sorumluluk Sigortası</w:t>
      </w:r>
    </w:p>
    <w:p w:rsidR="00EB5B32" w:rsidRPr="00B976EA" w:rsidRDefault="00EB5B32" w:rsidP="00EB5B32">
      <w:pPr>
        <w:rPr>
          <w:rFonts w:ascii="Century" w:hAnsi="Century"/>
          <w:sz w:val="17"/>
          <w:szCs w:val="17"/>
        </w:rPr>
      </w:pPr>
      <w:r w:rsidRPr="00B976EA">
        <w:rPr>
          <w:rFonts w:ascii="Century" w:hAnsi="Century"/>
          <w:sz w:val="17"/>
          <w:szCs w:val="17"/>
        </w:rPr>
        <w:t xml:space="preserve">MTK      </w:t>
      </w:r>
      <w:r w:rsidRPr="00B976EA">
        <w:rPr>
          <w:rFonts w:ascii="Century" w:hAnsi="Century"/>
          <w:sz w:val="17"/>
          <w:szCs w:val="17"/>
        </w:rPr>
        <w:tab/>
      </w:r>
      <w:r w:rsidR="003C70CC" w:rsidRPr="00B976EA">
        <w:rPr>
          <w:rFonts w:ascii="Century" w:hAnsi="Century"/>
          <w:sz w:val="17"/>
          <w:szCs w:val="17"/>
        </w:rPr>
        <w:tab/>
      </w:r>
      <w:r w:rsidRPr="00B976EA">
        <w:rPr>
          <w:rFonts w:ascii="Century" w:hAnsi="Century"/>
          <w:sz w:val="17"/>
          <w:szCs w:val="17"/>
        </w:rPr>
        <w:t>Muallak Tazminat Karşılığı</w:t>
      </w:r>
    </w:p>
    <w:p w:rsidR="00EB5B32" w:rsidRPr="00B976EA" w:rsidRDefault="00EB5B32" w:rsidP="00C852AE">
      <w:pPr>
        <w:rPr>
          <w:rFonts w:ascii="Century" w:hAnsi="Century"/>
          <w:sz w:val="17"/>
          <w:szCs w:val="17"/>
        </w:rPr>
      </w:pPr>
      <w:r w:rsidRPr="00B976EA">
        <w:rPr>
          <w:rFonts w:ascii="Century" w:hAnsi="Century"/>
          <w:sz w:val="17"/>
          <w:szCs w:val="17"/>
        </w:rPr>
        <w:t>MYTO</w:t>
      </w:r>
      <w:r w:rsidRPr="00B976EA">
        <w:rPr>
          <w:rFonts w:ascii="Century" w:hAnsi="Century"/>
          <w:sz w:val="17"/>
          <w:szCs w:val="17"/>
        </w:rPr>
        <w:tab/>
      </w:r>
      <w:r w:rsidRPr="00B976EA">
        <w:rPr>
          <w:rFonts w:ascii="Century" w:hAnsi="Century"/>
          <w:sz w:val="17"/>
          <w:szCs w:val="17"/>
        </w:rPr>
        <w:tab/>
        <w:t>Müşterek Yönetime Tabi Ortaklık</w:t>
      </w:r>
    </w:p>
    <w:p w:rsidR="00EB5B32" w:rsidRPr="00B976EA" w:rsidRDefault="00EB5B32" w:rsidP="00440966">
      <w:pPr>
        <w:rPr>
          <w:rFonts w:ascii="Century" w:hAnsi="Century"/>
          <w:sz w:val="17"/>
          <w:szCs w:val="17"/>
        </w:rPr>
      </w:pPr>
      <w:r w:rsidRPr="00B976EA">
        <w:rPr>
          <w:rFonts w:ascii="Century" w:hAnsi="Century"/>
          <w:sz w:val="17"/>
          <w:szCs w:val="17"/>
        </w:rPr>
        <w:t>ÖMB</w:t>
      </w:r>
      <w:r w:rsidRPr="00B976EA">
        <w:rPr>
          <w:rFonts w:ascii="Century" w:hAnsi="Century"/>
          <w:sz w:val="17"/>
          <w:szCs w:val="17"/>
        </w:rPr>
        <w:tab/>
      </w:r>
      <w:r w:rsidRPr="00B976EA">
        <w:rPr>
          <w:rFonts w:ascii="Century" w:hAnsi="Century"/>
          <w:sz w:val="17"/>
          <w:szCs w:val="17"/>
        </w:rPr>
        <w:tab/>
        <w:t>Özel Maliyet Bedeli</w:t>
      </w:r>
    </w:p>
    <w:p w:rsidR="00EB5B32" w:rsidRPr="00B976EA" w:rsidRDefault="00EB5B32" w:rsidP="00EB5B32">
      <w:pPr>
        <w:rPr>
          <w:rFonts w:ascii="Century" w:hAnsi="Century"/>
          <w:sz w:val="17"/>
          <w:szCs w:val="17"/>
        </w:rPr>
      </w:pPr>
      <w:r w:rsidRPr="00B976EA">
        <w:rPr>
          <w:rFonts w:ascii="Century" w:hAnsi="Century"/>
          <w:sz w:val="17"/>
          <w:szCs w:val="17"/>
        </w:rPr>
        <w:t>RG</w:t>
      </w:r>
      <w:r w:rsidRPr="00B976EA">
        <w:rPr>
          <w:rFonts w:ascii="Century" w:hAnsi="Century"/>
          <w:sz w:val="17"/>
          <w:szCs w:val="17"/>
        </w:rPr>
        <w:tab/>
      </w:r>
      <w:r w:rsidRPr="00B976EA">
        <w:rPr>
          <w:rFonts w:ascii="Century" w:hAnsi="Century"/>
          <w:sz w:val="17"/>
          <w:szCs w:val="17"/>
        </w:rPr>
        <w:tab/>
        <w:t>Resmi Gazete</w:t>
      </w:r>
    </w:p>
    <w:p w:rsidR="00EB5B32" w:rsidRPr="00B976EA" w:rsidRDefault="00EB5B32" w:rsidP="00EB5B32">
      <w:pPr>
        <w:rPr>
          <w:rFonts w:ascii="Century" w:hAnsi="Century"/>
          <w:sz w:val="17"/>
          <w:szCs w:val="17"/>
        </w:rPr>
      </w:pPr>
      <w:r w:rsidRPr="00B976EA">
        <w:rPr>
          <w:rFonts w:ascii="Century" w:hAnsi="Century"/>
          <w:sz w:val="17"/>
          <w:szCs w:val="17"/>
        </w:rPr>
        <w:t>RP</w:t>
      </w:r>
      <w:r w:rsidRPr="00B976EA">
        <w:rPr>
          <w:rFonts w:ascii="Century" w:hAnsi="Century"/>
          <w:sz w:val="17"/>
          <w:szCs w:val="17"/>
        </w:rPr>
        <w:tab/>
      </w:r>
      <w:r w:rsidRPr="00B976EA">
        <w:rPr>
          <w:rFonts w:ascii="Century" w:hAnsi="Century"/>
          <w:sz w:val="17"/>
          <w:szCs w:val="17"/>
        </w:rPr>
        <w:tab/>
        <w:t>Reasürans Payı</w:t>
      </w:r>
    </w:p>
    <w:p w:rsidR="003C70CC" w:rsidRPr="00B976EA" w:rsidRDefault="003C70CC" w:rsidP="00EB5B32">
      <w:pPr>
        <w:rPr>
          <w:rFonts w:ascii="Century" w:hAnsi="Century"/>
          <w:sz w:val="17"/>
          <w:szCs w:val="17"/>
        </w:rPr>
      </w:pPr>
      <w:r w:rsidRPr="00B976EA">
        <w:rPr>
          <w:rFonts w:ascii="Century" w:hAnsi="Century"/>
          <w:sz w:val="17"/>
          <w:szCs w:val="17"/>
        </w:rPr>
        <w:t>SBGM</w:t>
      </w:r>
      <w:r w:rsidRPr="00B976EA">
        <w:rPr>
          <w:rFonts w:ascii="Century" w:hAnsi="Century"/>
          <w:sz w:val="17"/>
          <w:szCs w:val="17"/>
        </w:rPr>
        <w:tab/>
      </w:r>
      <w:r w:rsidRPr="00B976EA">
        <w:rPr>
          <w:rFonts w:ascii="Century" w:hAnsi="Century"/>
          <w:sz w:val="17"/>
          <w:szCs w:val="17"/>
        </w:rPr>
        <w:tab/>
        <w:t>Sigorta Bilgi ve Gözetim Merkezi</w:t>
      </w:r>
    </w:p>
    <w:p w:rsidR="00EB5B32" w:rsidRPr="00B976EA" w:rsidRDefault="00EB5B32" w:rsidP="00EB5B32">
      <w:pPr>
        <w:rPr>
          <w:rFonts w:ascii="Century" w:hAnsi="Century"/>
          <w:sz w:val="17"/>
          <w:szCs w:val="17"/>
        </w:rPr>
      </w:pPr>
      <w:r w:rsidRPr="00B976EA">
        <w:rPr>
          <w:rFonts w:ascii="Century" w:hAnsi="Century"/>
          <w:sz w:val="17"/>
          <w:szCs w:val="17"/>
        </w:rPr>
        <w:t>SA</w:t>
      </w:r>
      <w:r w:rsidRPr="00B976EA">
        <w:rPr>
          <w:rFonts w:ascii="Century" w:hAnsi="Century"/>
          <w:sz w:val="17"/>
          <w:szCs w:val="17"/>
        </w:rPr>
        <w:tab/>
      </w:r>
      <w:r w:rsidRPr="00B976EA">
        <w:rPr>
          <w:rFonts w:ascii="Century" w:hAnsi="Century"/>
          <w:sz w:val="17"/>
          <w:szCs w:val="17"/>
        </w:rPr>
        <w:tab/>
        <w:t>Sigortalılardan Alacaklar</w:t>
      </w:r>
    </w:p>
    <w:p w:rsidR="00EB5B32" w:rsidRPr="00B976EA" w:rsidRDefault="00EB5B32" w:rsidP="00EB5B32">
      <w:pPr>
        <w:rPr>
          <w:rFonts w:ascii="Century" w:hAnsi="Century"/>
          <w:sz w:val="17"/>
          <w:szCs w:val="17"/>
        </w:rPr>
      </w:pPr>
      <w:r w:rsidRPr="00B976EA">
        <w:rPr>
          <w:rFonts w:ascii="Century" w:hAnsi="Century"/>
          <w:sz w:val="17"/>
          <w:szCs w:val="17"/>
        </w:rPr>
        <w:t>SDK</w:t>
      </w:r>
      <w:r w:rsidRPr="00B976EA">
        <w:rPr>
          <w:rFonts w:ascii="Century" w:hAnsi="Century"/>
          <w:sz w:val="17"/>
          <w:szCs w:val="17"/>
        </w:rPr>
        <w:tab/>
      </w:r>
      <w:r w:rsidRPr="00B976EA">
        <w:rPr>
          <w:rFonts w:ascii="Century" w:hAnsi="Century"/>
          <w:sz w:val="17"/>
          <w:szCs w:val="17"/>
        </w:rPr>
        <w:tab/>
        <w:t>Sigorta Denetleme Kurulu</w:t>
      </w:r>
    </w:p>
    <w:p w:rsidR="003C70CC" w:rsidRPr="00B976EA" w:rsidRDefault="003C70CC" w:rsidP="00EB5B32">
      <w:pPr>
        <w:rPr>
          <w:rFonts w:ascii="Century" w:hAnsi="Century"/>
          <w:sz w:val="17"/>
          <w:szCs w:val="17"/>
        </w:rPr>
      </w:pPr>
      <w:r w:rsidRPr="00B976EA">
        <w:rPr>
          <w:rFonts w:ascii="Century" w:hAnsi="Century"/>
          <w:sz w:val="17"/>
          <w:szCs w:val="17"/>
        </w:rPr>
        <w:t>SPK</w:t>
      </w:r>
      <w:r w:rsidRPr="00B976EA">
        <w:rPr>
          <w:rFonts w:ascii="Century" w:hAnsi="Century"/>
          <w:sz w:val="17"/>
          <w:szCs w:val="17"/>
        </w:rPr>
        <w:tab/>
      </w:r>
      <w:r w:rsidRPr="00B976EA">
        <w:rPr>
          <w:rFonts w:ascii="Century" w:hAnsi="Century"/>
          <w:sz w:val="17"/>
          <w:szCs w:val="17"/>
        </w:rPr>
        <w:tab/>
        <w:t>Sermaye Piyasası Kurulu</w:t>
      </w:r>
    </w:p>
    <w:p w:rsidR="008B1424" w:rsidRPr="00B976EA" w:rsidRDefault="008B1424" w:rsidP="00EB5B32">
      <w:pPr>
        <w:rPr>
          <w:rFonts w:ascii="Century" w:hAnsi="Century"/>
          <w:sz w:val="17"/>
          <w:szCs w:val="17"/>
        </w:rPr>
      </w:pPr>
      <w:r w:rsidRPr="00B976EA">
        <w:rPr>
          <w:rFonts w:ascii="Century" w:hAnsi="Century"/>
          <w:sz w:val="17"/>
          <w:szCs w:val="17"/>
        </w:rPr>
        <w:t>SGK</w:t>
      </w:r>
      <w:r w:rsidRPr="00B976EA">
        <w:rPr>
          <w:rFonts w:ascii="Century" w:hAnsi="Century"/>
          <w:sz w:val="17"/>
          <w:szCs w:val="17"/>
        </w:rPr>
        <w:tab/>
      </w:r>
      <w:r w:rsidRPr="00B976EA">
        <w:rPr>
          <w:rFonts w:ascii="Century" w:hAnsi="Century"/>
          <w:sz w:val="17"/>
          <w:szCs w:val="17"/>
        </w:rPr>
        <w:tab/>
        <w:t>Sosyal Güvenlik Kurumu</w:t>
      </w:r>
    </w:p>
    <w:p w:rsidR="00EB5B32" w:rsidRPr="00B976EA" w:rsidRDefault="00EB5B32" w:rsidP="00EB5B32">
      <w:pPr>
        <w:rPr>
          <w:rFonts w:ascii="Century" w:hAnsi="Century"/>
          <w:sz w:val="17"/>
          <w:szCs w:val="17"/>
        </w:rPr>
      </w:pPr>
      <w:r w:rsidRPr="00B976EA">
        <w:rPr>
          <w:rFonts w:ascii="Century" w:hAnsi="Century"/>
          <w:sz w:val="17"/>
          <w:szCs w:val="17"/>
        </w:rPr>
        <w:t>SK</w:t>
      </w:r>
      <w:r w:rsidRPr="00B976EA">
        <w:rPr>
          <w:rFonts w:ascii="Century" w:hAnsi="Century"/>
          <w:sz w:val="17"/>
          <w:szCs w:val="17"/>
        </w:rPr>
        <w:tab/>
      </w:r>
      <w:r w:rsidRPr="00B976EA">
        <w:rPr>
          <w:rFonts w:ascii="Century" w:hAnsi="Century"/>
          <w:sz w:val="17"/>
          <w:szCs w:val="17"/>
        </w:rPr>
        <w:tab/>
        <w:t>Sigortacılık Kanunu</w:t>
      </w:r>
    </w:p>
    <w:p w:rsidR="00EB5B32" w:rsidRPr="00B976EA" w:rsidRDefault="00EB5B32" w:rsidP="00EB5B32">
      <w:pPr>
        <w:rPr>
          <w:rFonts w:ascii="Century" w:hAnsi="Century"/>
          <w:sz w:val="17"/>
          <w:szCs w:val="17"/>
        </w:rPr>
      </w:pPr>
      <w:r w:rsidRPr="00B976EA">
        <w:rPr>
          <w:rFonts w:ascii="Century" w:hAnsi="Century"/>
          <w:sz w:val="17"/>
          <w:szCs w:val="17"/>
        </w:rPr>
        <w:t>SRŞA</w:t>
      </w:r>
      <w:r w:rsidRPr="00B976EA">
        <w:rPr>
          <w:rFonts w:ascii="Century" w:hAnsi="Century"/>
          <w:sz w:val="17"/>
          <w:szCs w:val="17"/>
        </w:rPr>
        <w:tab/>
      </w:r>
      <w:r w:rsidRPr="00B976EA">
        <w:rPr>
          <w:rFonts w:ascii="Century" w:hAnsi="Century"/>
          <w:sz w:val="17"/>
          <w:szCs w:val="17"/>
        </w:rPr>
        <w:tab/>
        <w:t>Sigorta ve Reasürans Şirketlerinden Alacaklar</w:t>
      </w:r>
    </w:p>
    <w:p w:rsidR="00EB5B32" w:rsidRPr="00B976EA" w:rsidRDefault="00EB5B32" w:rsidP="00EB5B32">
      <w:pPr>
        <w:rPr>
          <w:rFonts w:ascii="Century" w:hAnsi="Century"/>
          <w:sz w:val="17"/>
          <w:szCs w:val="17"/>
        </w:rPr>
      </w:pPr>
      <w:proofErr w:type="gramStart"/>
      <w:r w:rsidRPr="00B976EA">
        <w:rPr>
          <w:rFonts w:ascii="Century" w:hAnsi="Century"/>
          <w:sz w:val="17"/>
          <w:szCs w:val="17"/>
        </w:rPr>
        <w:t>Tah.</w:t>
      </w:r>
      <w:proofErr w:type="gramEnd"/>
      <w:r w:rsidRPr="00B976EA">
        <w:rPr>
          <w:rFonts w:ascii="Century" w:hAnsi="Century"/>
          <w:sz w:val="17"/>
          <w:szCs w:val="17"/>
        </w:rPr>
        <w:tab/>
      </w:r>
      <w:r w:rsidRPr="00B976EA">
        <w:rPr>
          <w:rFonts w:ascii="Century" w:hAnsi="Century"/>
          <w:sz w:val="17"/>
          <w:szCs w:val="17"/>
        </w:rPr>
        <w:tab/>
        <w:t>Tahakkukları</w:t>
      </w:r>
    </w:p>
    <w:p w:rsidR="00EB5B32" w:rsidRPr="00B976EA" w:rsidRDefault="00EB5B32" w:rsidP="00EB5B32">
      <w:pPr>
        <w:rPr>
          <w:rFonts w:ascii="Century" w:hAnsi="Century"/>
          <w:sz w:val="17"/>
          <w:szCs w:val="17"/>
        </w:rPr>
      </w:pPr>
      <w:r w:rsidRPr="00B976EA">
        <w:rPr>
          <w:rFonts w:ascii="Century" w:hAnsi="Century"/>
          <w:sz w:val="17"/>
          <w:szCs w:val="17"/>
        </w:rPr>
        <w:t>TL</w:t>
      </w:r>
      <w:r w:rsidR="00800ED1" w:rsidRPr="00B976EA">
        <w:rPr>
          <w:rFonts w:ascii="Century" w:hAnsi="Century"/>
          <w:sz w:val="17"/>
          <w:szCs w:val="17"/>
        </w:rPr>
        <w:t>/</w:t>
      </w:r>
      <w:r w:rsidR="00800ED1" w:rsidRPr="00B976EA">
        <w:rPr>
          <w:rFonts w:ascii="AbakuTLSymSans" w:hAnsi="AbakuTLSymSans"/>
          <w:sz w:val="17"/>
          <w:szCs w:val="17"/>
        </w:rPr>
        <w:t>¨</w:t>
      </w:r>
      <w:r w:rsidRPr="00B976EA">
        <w:rPr>
          <w:rFonts w:ascii="Century" w:hAnsi="Century"/>
          <w:sz w:val="17"/>
          <w:szCs w:val="17"/>
        </w:rPr>
        <w:tab/>
      </w:r>
      <w:r w:rsidRPr="00B976EA">
        <w:rPr>
          <w:rFonts w:ascii="Century" w:hAnsi="Century"/>
          <w:sz w:val="17"/>
          <w:szCs w:val="17"/>
        </w:rPr>
        <w:tab/>
        <w:t>Türk Lirası</w:t>
      </w:r>
      <w:r w:rsidRPr="00B976EA">
        <w:rPr>
          <w:rFonts w:ascii="Century" w:hAnsi="Century"/>
          <w:sz w:val="17"/>
          <w:szCs w:val="17"/>
        </w:rPr>
        <w:tab/>
      </w:r>
      <w:r w:rsidRPr="00B976EA">
        <w:rPr>
          <w:rFonts w:ascii="Century" w:hAnsi="Century"/>
          <w:sz w:val="17"/>
          <w:szCs w:val="17"/>
        </w:rPr>
        <w:tab/>
      </w:r>
    </w:p>
    <w:p w:rsidR="00557ED7" w:rsidRPr="00B976EA" w:rsidRDefault="00557ED7" w:rsidP="00EB5B32">
      <w:pPr>
        <w:rPr>
          <w:rFonts w:ascii="Century" w:hAnsi="Century"/>
          <w:sz w:val="17"/>
          <w:szCs w:val="17"/>
        </w:rPr>
      </w:pPr>
      <w:r w:rsidRPr="00B976EA">
        <w:rPr>
          <w:rFonts w:ascii="Century" w:hAnsi="Century"/>
          <w:sz w:val="17"/>
          <w:szCs w:val="17"/>
        </w:rPr>
        <w:t>TAHKİM</w:t>
      </w:r>
      <w:r w:rsidRPr="00B976EA">
        <w:rPr>
          <w:rFonts w:ascii="Century" w:hAnsi="Century"/>
          <w:sz w:val="17"/>
          <w:szCs w:val="17"/>
        </w:rPr>
        <w:tab/>
        <w:t>Sigorta Tahkim Komisyonu</w:t>
      </w:r>
    </w:p>
    <w:p w:rsidR="00EB5B32" w:rsidRPr="00B976EA" w:rsidRDefault="00EB5B32" w:rsidP="00EB5B32">
      <w:pPr>
        <w:rPr>
          <w:rFonts w:ascii="Century" w:hAnsi="Century"/>
          <w:sz w:val="17"/>
          <w:szCs w:val="17"/>
        </w:rPr>
      </w:pPr>
      <w:r w:rsidRPr="00B976EA">
        <w:rPr>
          <w:rFonts w:ascii="Century" w:hAnsi="Century"/>
          <w:sz w:val="17"/>
          <w:szCs w:val="17"/>
        </w:rPr>
        <w:t>TARSİM</w:t>
      </w:r>
      <w:r w:rsidRPr="00B976EA">
        <w:rPr>
          <w:rFonts w:ascii="Century" w:hAnsi="Century"/>
          <w:sz w:val="17"/>
          <w:szCs w:val="17"/>
        </w:rPr>
        <w:tab/>
      </w:r>
      <w:r w:rsidR="003C70CC" w:rsidRPr="00B976EA">
        <w:rPr>
          <w:rFonts w:ascii="Century" w:hAnsi="Century"/>
          <w:sz w:val="17"/>
          <w:szCs w:val="17"/>
        </w:rPr>
        <w:tab/>
      </w:r>
      <w:r w:rsidRPr="00B976EA">
        <w:rPr>
          <w:rFonts w:ascii="Century" w:hAnsi="Century"/>
          <w:sz w:val="17"/>
          <w:szCs w:val="17"/>
        </w:rPr>
        <w:t>Tarı</w:t>
      </w:r>
      <w:r w:rsidR="00C402AA" w:rsidRPr="00B976EA">
        <w:rPr>
          <w:rFonts w:ascii="Century" w:hAnsi="Century"/>
          <w:sz w:val="17"/>
          <w:szCs w:val="17"/>
        </w:rPr>
        <w:t>m Sigortaları Havuzu</w:t>
      </w:r>
    </w:p>
    <w:p w:rsidR="00557ED7" w:rsidRPr="00B976EA" w:rsidRDefault="00557ED7" w:rsidP="00EB5B32">
      <w:pPr>
        <w:rPr>
          <w:rFonts w:ascii="Century" w:hAnsi="Century"/>
          <w:sz w:val="17"/>
          <w:szCs w:val="17"/>
        </w:rPr>
      </w:pPr>
      <w:r w:rsidRPr="00B976EA">
        <w:rPr>
          <w:rFonts w:ascii="Century" w:hAnsi="Century"/>
          <w:sz w:val="17"/>
          <w:szCs w:val="17"/>
        </w:rPr>
        <w:t>TMTB</w:t>
      </w:r>
      <w:r w:rsidRPr="00B976EA">
        <w:rPr>
          <w:rFonts w:ascii="Century" w:hAnsi="Century"/>
          <w:sz w:val="17"/>
          <w:szCs w:val="17"/>
        </w:rPr>
        <w:tab/>
      </w:r>
      <w:r w:rsidRPr="00B976EA">
        <w:rPr>
          <w:rFonts w:ascii="Century" w:hAnsi="Century"/>
          <w:sz w:val="17"/>
          <w:szCs w:val="17"/>
        </w:rPr>
        <w:tab/>
        <w:t>Türkiye Motorlu Taşıt Bürosu</w:t>
      </w:r>
    </w:p>
    <w:p w:rsidR="00EB5B32" w:rsidRPr="00B976EA" w:rsidRDefault="00EB5B32" w:rsidP="00EB5B32">
      <w:pPr>
        <w:rPr>
          <w:rFonts w:ascii="Century" w:hAnsi="Century"/>
          <w:sz w:val="17"/>
          <w:szCs w:val="17"/>
        </w:rPr>
      </w:pPr>
      <w:r w:rsidRPr="00B976EA">
        <w:rPr>
          <w:rFonts w:ascii="Century" w:hAnsi="Century"/>
          <w:sz w:val="17"/>
          <w:szCs w:val="17"/>
        </w:rPr>
        <w:t>TOBB</w:t>
      </w:r>
      <w:r w:rsidRPr="00B976EA">
        <w:rPr>
          <w:rFonts w:ascii="Century" w:hAnsi="Century"/>
          <w:sz w:val="17"/>
          <w:szCs w:val="17"/>
        </w:rPr>
        <w:tab/>
      </w:r>
      <w:r w:rsidRPr="00B976EA">
        <w:rPr>
          <w:rFonts w:ascii="Century" w:hAnsi="Century"/>
          <w:sz w:val="17"/>
          <w:szCs w:val="17"/>
        </w:rPr>
        <w:tab/>
        <w:t>Türkiye Odalar ve Borsalar Birliği</w:t>
      </w:r>
    </w:p>
    <w:p w:rsidR="00EB5B32" w:rsidRPr="00B976EA" w:rsidRDefault="00EB5B32" w:rsidP="00EB5B32">
      <w:pPr>
        <w:rPr>
          <w:rFonts w:ascii="Century" w:hAnsi="Century"/>
          <w:sz w:val="17"/>
          <w:szCs w:val="17"/>
        </w:rPr>
      </w:pPr>
      <w:r w:rsidRPr="00B976EA">
        <w:rPr>
          <w:rFonts w:ascii="Century" w:hAnsi="Century"/>
          <w:sz w:val="17"/>
          <w:szCs w:val="17"/>
        </w:rPr>
        <w:t>TRAMER</w:t>
      </w:r>
      <w:r w:rsidRPr="00B976EA">
        <w:rPr>
          <w:rFonts w:ascii="Century" w:hAnsi="Century"/>
          <w:sz w:val="17"/>
          <w:szCs w:val="17"/>
        </w:rPr>
        <w:tab/>
        <w:t xml:space="preserve">Trafik </w:t>
      </w:r>
      <w:r w:rsidR="001B5694" w:rsidRPr="00B976EA">
        <w:rPr>
          <w:rFonts w:ascii="Century" w:hAnsi="Century"/>
          <w:sz w:val="17"/>
          <w:szCs w:val="17"/>
        </w:rPr>
        <w:t>Sigortaları</w:t>
      </w:r>
      <w:r w:rsidRPr="00B976EA">
        <w:rPr>
          <w:rFonts w:ascii="Century" w:hAnsi="Century"/>
          <w:sz w:val="17"/>
          <w:szCs w:val="17"/>
        </w:rPr>
        <w:t xml:space="preserve"> Bilgi</w:t>
      </w:r>
      <w:r w:rsidR="001B5694" w:rsidRPr="00B976EA">
        <w:rPr>
          <w:rFonts w:ascii="Century" w:hAnsi="Century"/>
          <w:sz w:val="17"/>
          <w:szCs w:val="17"/>
        </w:rPr>
        <w:t xml:space="preserve"> ve Gözetim</w:t>
      </w:r>
      <w:r w:rsidRPr="00B976EA">
        <w:rPr>
          <w:rFonts w:ascii="Century" w:hAnsi="Century"/>
          <w:sz w:val="17"/>
          <w:szCs w:val="17"/>
        </w:rPr>
        <w:t xml:space="preserve"> Merkezi</w:t>
      </w:r>
    </w:p>
    <w:p w:rsidR="00EB5B32" w:rsidRPr="00B976EA" w:rsidRDefault="00EB5B32" w:rsidP="00EB5B32">
      <w:pPr>
        <w:rPr>
          <w:rFonts w:ascii="Century" w:hAnsi="Century"/>
          <w:sz w:val="17"/>
          <w:szCs w:val="17"/>
        </w:rPr>
      </w:pPr>
      <w:r w:rsidRPr="00B976EA">
        <w:rPr>
          <w:rFonts w:ascii="Century" w:hAnsi="Century"/>
          <w:sz w:val="17"/>
          <w:szCs w:val="17"/>
        </w:rPr>
        <w:t>TS</w:t>
      </w:r>
      <w:r w:rsidR="00800ED1" w:rsidRPr="00B976EA">
        <w:rPr>
          <w:rFonts w:ascii="Century" w:hAnsi="Century"/>
          <w:sz w:val="17"/>
          <w:szCs w:val="17"/>
        </w:rPr>
        <w:t>B</w:t>
      </w:r>
      <w:r w:rsidRPr="00B976EA">
        <w:rPr>
          <w:rFonts w:ascii="Century" w:hAnsi="Century"/>
          <w:sz w:val="17"/>
          <w:szCs w:val="17"/>
        </w:rPr>
        <w:tab/>
      </w:r>
      <w:r w:rsidR="004F12ED" w:rsidRPr="00B976EA">
        <w:rPr>
          <w:rFonts w:ascii="Century" w:hAnsi="Century"/>
          <w:sz w:val="17"/>
          <w:szCs w:val="17"/>
        </w:rPr>
        <w:tab/>
      </w:r>
      <w:r w:rsidRPr="00B976EA">
        <w:rPr>
          <w:rFonts w:ascii="Century" w:hAnsi="Century"/>
          <w:sz w:val="17"/>
          <w:szCs w:val="17"/>
        </w:rPr>
        <w:t>Türkiye Sigorta</w:t>
      </w:r>
      <w:r w:rsidR="00800ED1" w:rsidRPr="00B976EA">
        <w:rPr>
          <w:rFonts w:ascii="Century" w:hAnsi="Century"/>
          <w:sz w:val="17"/>
          <w:szCs w:val="17"/>
        </w:rPr>
        <w:t>,</w:t>
      </w:r>
      <w:r w:rsidRPr="00B976EA">
        <w:rPr>
          <w:rFonts w:ascii="Century" w:hAnsi="Century"/>
          <w:sz w:val="17"/>
          <w:szCs w:val="17"/>
        </w:rPr>
        <w:t xml:space="preserve"> Reasürans </w:t>
      </w:r>
      <w:r w:rsidR="00800ED1" w:rsidRPr="00B976EA">
        <w:rPr>
          <w:rFonts w:ascii="Century" w:hAnsi="Century"/>
          <w:sz w:val="17"/>
          <w:szCs w:val="17"/>
        </w:rPr>
        <w:t xml:space="preserve">ve Emeklilik </w:t>
      </w:r>
      <w:r w:rsidRPr="00B976EA">
        <w:rPr>
          <w:rFonts w:ascii="Century" w:hAnsi="Century"/>
          <w:sz w:val="17"/>
          <w:szCs w:val="17"/>
        </w:rPr>
        <w:t>Şirketleri Birliği</w:t>
      </w:r>
    </w:p>
    <w:p w:rsidR="00917A63" w:rsidRPr="00B976EA" w:rsidRDefault="00917A63" w:rsidP="00917A63">
      <w:pPr>
        <w:rPr>
          <w:rFonts w:ascii="Century" w:hAnsi="Century"/>
          <w:sz w:val="17"/>
          <w:szCs w:val="17"/>
        </w:rPr>
      </w:pPr>
      <w:r w:rsidRPr="00B976EA">
        <w:rPr>
          <w:rFonts w:ascii="Century" w:hAnsi="Century"/>
          <w:sz w:val="17"/>
          <w:szCs w:val="17"/>
        </w:rPr>
        <w:t>TSPB</w:t>
      </w:r>
      <w:r w:rsidRPr="00B976EA">
        <w:rPr>
          <w:rFonts w:ascii="Century" w:hAnsi="Century"/>
          <w:sz w:val="17"/>
          <w:szCs w:val="17"/>
        </w:rPr>
        <w:tab/>
      </w:r>
      <w:r w:rsidRPr="00B976EA">
        <w:rPr>
          <w:rFonts w:ascii="Century" w:hAnsi="Century"/>
          <w:sz w:val="17"/>
          <w:szCs w:val="17"/>
        </w:rPr>
        <w:tab/>
        <w:t>Türkiye Sermaye Piyasaları Birliği</w:t>
      </w:r>
    </w:p>
    <w:p w:rsidR="00EB5B32" w:rsidRPr="00B976EA" w:rsidRDefault="00EB5B32" w:rsidP="00EB5B32">
      <w:pPr>
        <w:rPr>
          <w:rFonts w:ascii="Century" w:hAnsi="Century"/>
          <w:sz w:val="17"/>
          <w:szCs w:val="17"/>
        </w:rPr>
      </w:pPr>
      <w:r w:rsidRPr="00B976EA">
        <w:rPr>
          <w:rFonts w:ascii="Century" w:hAnsi="Century"/>
          <w:sz w:val="17"/>
          <w:szCs w:val="17"/>
        </w:rPr>
        <w:t>TÜFE</w:t>
      </w:r>
      <w:r w:rsidRPr="00B976EA">
        <w:rPr>
          <w:rFonts w:ascii="Century" w:hAnsi="Century"/>
          <w:sz w:val="17"/>
          <w:szCs w:val="17"/>
        </w:rPr>
        <w:tab/>
      </w:r>
      <w:r w:rsidRPr="00B976EA">
        <w:rPr>
          <w:rFonts w:ascii="Century" w:hAnsi="Century"/>
          <w:sz w:val="17"/>
          <w:szCs w:val="17"/>
        </w:rPr>
        <w:tab/>
        <w:t>Tüketici Fiyatları Ende</w:t>
      </w:r>
      <w:r w:rsidR="00681A52" w:rsidRPr="00B976EA">
        <w:rPr>
          <w:rFonts w:ascii="Century" w:hAnsi="Century"/>
          <w:sz w:val="17"/>
          <w:szCs w:val="17"/>
        </w:rPr>
        <w:t>ksi</w:t>
      </w:r>
    </w:p>
    <w:p w:rsidR="004E0832" w:rsidRPr="00B976EA" w:rsidRDefault="004E0832" w:rsidP="00EB5B32">
      <w:pPr>
        <w:rPr>
          <w:rFonts w:ascii="Century" w:hAnsi="Century"/>
          <w:sz w:val="17"/>
          <w:szCs w:val="17"/>
        </w:rPr>
      </w:pPr>
      <w:proofErr w:type="gramStart"/>
      <w:r w:rsidRPr="00B976EA">
        <w:rPr>
          <w:rFonts w:ascii="Century" w:hAnsi="Century"/>
          <w:sz w:val="17"/>
          <w:szCs w:val="17"/>
        </w:rPr>
        <w:t>v.y.</w:t>
      </w:r>
      <w:proofErr w:type="gramEnd"/>
      <w:r w:rsidRPr="00B976EA">
        <w:rPr>
          <w:rFonts w:ascii="Century" w:hAnsi="Century"/>
          <w:sz w:val="17"/>
          <w:szCs w:val="17"/>
        </w:rPr>
        <w:tab/>
      </w:r>
      <w:r w:rsidRPr="00B976EA">
        <w:rPr>
          <w:rFonts w:ascii="Century" w:hAnsi="Century"/>
          <w:sz w:val="17"/>
          <w:szCs w:val="17"/>
        </w:rPr>
        <w:tab/>
        <w:t>Veri Yok</w:t>
      </w:r>
    </w:p>
    <w:p w:rsidR="00EB5B32" w:rsidRPr="00B976EA" w:rsidRDefault="00EB5B32" w:rsidP="00D36DDB">
      <w:pPr>
        <w:rPr>
          <w:rFonts w:ascii="Century" w:hAnsi="Century"/>
          <w:sz w:val="17"/>
          <w:szCs w:val="17"/>
        </w:rPr>
      </w:pPr>
      <w:r w:rsidRPr="00B976EA">
        <w:rPr>
          <w:rFonts w:ascii="Century" w:hAnsi="Century"/>
          <w:sz w:val="17"/>
          <w:szCs w:val="17"/>
        </w:rPr>
        <w:t>YAGM</w:t>
      </w:r>
      <w:r w:rsidRPr="00B976EA">
        <w:rPr>
          <w:rFonts w:ascii="Century" w:hAnsi="Century"/>
          <w:sz w:val="17"/>
          <w:szCs w:val="17"/>
        </w:rPr>
        <w:tab/>
      </w:r>
      <w:r w:rsidRPr="00B976EA">
        <w:rPr>
          <w:rFonts w:ascii="Century" w:hAnsi="Century"/>
          <w:sz w:val="17"/>
          <w:szCs w:val="17"/>
        </w:rPr>
        <w:tab/>
        <w:t>Yatırım Amaçlı Gayrimenkuller</w:t>
      </w:r>
    </w:p>
    <w:p w:rsidR="00EB5B32" w:rsidRPr="00B976EA" w:rsidRDefault="00EB5B32" w:rsidP="00440966">
      <w:pPr>
        <w:rPr>
          <w:rFonts w:ascii="Century" w:hAnsi="Century"/>
          <w:sz w:val="17"/>
          <w:szCs w:val="17"/>
        </w:rPr>
      </w:pPr>
      <w:proofErr w:type="gramStart"/>
      <w:r w:rsidRPr="00B976EA">
        <w:rPr>
          <w:rFonts w:ascii="Century" w:hAnsi="Century"/>
          <w:sz w:val="17"/>
          <w:szCs w:val="17"/>
        </w:rPr>
        <w:t>Yat.</w:t>
      </w:r>
      <w:proofErr w:type="gramEnd"/>
      <w:r w:rsidRPr="00B976EA">
        <w:rPr>
          <w:rFonts w:ascii="Century" w:hAnsi="Century"/>
          <w:sz w:val="17"/>
          <w:szCs w:val="17"/>
        </w:rPr>
        <w:tab/>
      </w:r>
      <w:r w:rsidRPr="00B976EA">
        <w:rPr>
          <w:rFonts w:ascii="Century" w:hAnsi="Century"/>
          <w:sz w:val="17"/>
          <w:szCs w:val="17"/>
        </w:rPr>
        <w:tab/>
        <w:t>Yatırımlar</w:t>
      </w:r>
    </w:p>
    <w:p w:rsidR="00EB5B32" w:rsidRPr="00B976EA" w:rsidRDefault="00EB5B32" w:rsidP="00440966">
      <w:pPr>
        <w:rPr>
          <w:rFonts w:ascii="Century" w:hAnsi="Century"/>
          <w:sz w:val="17"/>
          <w:szCs w:val="17"/>
        </w:rPr>
      </w:pPr>
      <w:r w:rsidRPr="00B976EA">
        <w:rPr>
          <w:rFonts w:ascii="Century" w:hAnsi="Century"/>
          <w:sz w:val="17"/>
          <w:szCs w:val="17"/>
        </w:rPr>
        <w:t>YG</w:t>
      </w:r>
      <w:r w:rsidRPr="00B976EA">
        <w:rPr>
          <w:rFonts w:ascii="Century" w:hAnsi="Century"/>
          <w:sz w:val="17"/>
          <w:szCs w:val="17"/>
        </w:rPr>
        <w:tab/>
      </w:r>
      <w:r w:rsidRPr="00B976EA">
        <w:rPr>
          <w:rFonts w:ascii="Century" w:hAnsi="Century"/>
          <w:sz w:val="17"/>
          <w:szCs w:val="17"/>
        </w:rPr>
        <w:tab/>
        <w:t>Yatırım Gelirleri</w:t>
      </w:r>
    </w:p>
    <w:p w:rsidR="00EB5B32" w:rsidRPr="00B976EA" w:rsidRDefault="00EB5B32">
      <w:pPr>
        <w:rPr>
          <w:rFonts w:ascii="Century" w:hAnsi="Century"/>
          <w:sz w:val="17"/>
          <w:szCs w:val="17"/>
        </w:rPr>
      </w:pPr>
      <w:r w:rsidRPr="00B976EA">
        <w:rPr>
          <w:rFonts w:ascii="Century" w:hAnsi="Century"/>
          <w:sz w:val="17"/>
          <w:szCs w:val="17"/>
        </w:rPr>
        <w:t>YR</w:t>
      </w:r>
      <w:r w:rsidRPr="00B976EA">
        <w:rPr>
          <w:rFonts w:ascii="Century" w:hAnsi="Century"/>
          <w:sz w:val="17"/>
          <w:szCs w:val="17"/>
        </w:rPr>
        <w:tab/>
      </w:r>
      <w:r w:rsidRPr="00B976EA">
        <w:rPr>
          <w:rFonts w:ascii="Century" w:hAnsi="Century"/>
          <w:sz w:val="17"/>
          <w:szCs w:val="17"/>
        </w:rPr>
        <w:tab/>
        <w:t>Yatırım Riski</w:t>
      </w:r>
    </w:p>
    <w:p w:rsidR="00EB5B32" w:rsidRPr="00B976EA" w:rsidRDefault="00EB5B32">
      <w:pPr>
        <w:rPr>
          <w:rFonts w:ascii="Century" w:hAnsi="Century"/>
          <w:sz w:val="17"/>
          <w:szCs w:val="17"/>
        </w:rPr>
      </w:pPr>
      <w:proofErr w:type="gramStart"/>
      <w:r w:rsidRPr="00B976EA">
        <w:rPr>
          <w:rFonts w:ascii="Century" w:hAnsi="Century"/>
          <w:sz w:val="17"/>
          <w:szCs w:val="17"/>
        </w:rPr>
        <w:t>Yük.</w:t>
      </w:r>
      <w:proofErr w:type="gramEnd"/>
      <w:r w:rsidRPr="00B976EA">
        <w:rPr>
          <w:rFonts w:ascii="Century" w:hAnsi="Century"/>
          <w:sz w:val="17"/>
          <w:szCs w:val="17"/>
        </w:rPr>
        <w:tab/>
      </w:r>
      <w:r w:rsidRPr="00B976EA">
        <w:rPr>
          <w:rFonts w:ascii="Century" w:hAnsi="Century"/>
          <w:sz w:val="17"/>
          <w:szCs w:val="17"/>
        </w:rPr>
        <w:tab/>
        <w:t>Yükümlülükler</w:t>
      </w:r>
    </w:p>
    <w:p w:rsidR="00EB5B32" w:rsidRPr="00B976EA" w:rsidRDefault="00EB5B32" w:rsidP="00EB5B32">
      <w:pPr>
        <w:rPr>
          <w:rFonts w:ascii="Century" w:hAnsi="Century"/>
          <w:sz w:val="17"/>
          <w:szCs w:val="17"/>
        </w:rPr>
      </w:pPr>
      <w:r w:rsidRPr="00B976EA">
        <w:rPr>
          <w:rFonts w:ascii="Century" w:hAnsi="Century"/>
          <w:sz w:val="17"/>
          <w:szCs w:val="17"/>
        </w:rPr>
        <w:t>ZKTMS</w:t>
      </w:r>
      <w:r w:rsidR="00176C96" w:rsidRPr="00B976EA">
        <w:rPr>
          <w:rFonts w:ascii="Century" w:hAnsi="Century"/>
          <w:sz w:val="17"/>
          <w:szCs w:val="17"/>
        </w:rPr>
        <w:tab/>
      </w:r>
      <w:r w:rsidRPr="00B976EA">
        <w:rPr>
          <w:rFonts w:ascii="Century" w:hAnsi="Century"/>
          <w:sz w:val="17"/>
          <w:szCs w:val="17"/>
        </w:rPr>
        <w:tab/>
        <w:t>Zorunlu Karayolu Taşımacılık Mali Sorumluluk Sigortası</w:t>
      </w:r>
    </w:p>
    <w:p w:rsidR="00EB5B32" w:rsidRPr="00B976EA" w:rsidRDefault="00EB5B32" w:rsidP="00EB5B32">
      <w:pPr>
        <w:rPr>
          <w:rFonts w:ascii="Century" w:hAnsi="Century"/>
          <w:sz w:val="17"/>
          <w:szCs w:val="17"/>
        </w:rPr>
      </w:pPr>
      <w:r w:rsidRPr="00B976EA">
        <w:rPr>
          <w:rFonts w:ascii="Century" w:hAnsi="Century"/>
          <w:sz w:val="17"/>
          <w:szCs w:val="17"/>
        </w:rPr>
        <w:t>ZMSS</w:t>
      </w:r>
      <w:r w:rsidRPr="00B976EA">
        <w:rPr>
          <w:rFonts w:ascii="Century" w:hAnsi="Century"/>
          <w:sz w:val="17"/>
          <w:szCs w:val="17"/>
        </w:rPr>
        <w:tab/>
      </w:r>
      <w:r w:rsidRPr="00B976EA">
        <w:rPr>
          <w:rFonts w:ascii="Century" w:hAnsi="Century"/>
          <w:sz w:val="17"/>
          <w:szCs w:val="17"/>
        </w:rPr>
        <w:tab/>
        <w:t>Zorunlu Mali Sorumluluk Sigortası</w:t>
      </w:r>
    </w:p>
    <w:p w:rsidR="009854F9" w:rsidRPr="00B976EA" w:rsidRDefault="00EB5B32" w:rsidP="009854F9">
      <w:pPr>
        <w:rPr>
          <w:rFonts w:ascii="Century" w:hAnsi="Century"/>
          <w:sz w:val="17"/>
          <w:szCs w:val="17"/>
        </w:rPr>
      </w:pPr>
      <w:r w:rsidRPr="00B976EA">
        <w:rPr>
          <w:rFonts w:ascii="Century" w:hAnsi="Century"/>
          <w:sz w:val="17"/>
          <w:szCs w:val="17"/>
        </w:rPr>
        <w:t>ZSS</w:t>
      </w:r>
      <w:r w:rsidRPr="00B976EA">
        <w:rPr>
          <w:rFonts w:ascii="Century" w:hAnsi="Century"/>
          <w:sz w:val="17"/>
          <w:szCs w:val="17"/>
        </w:rPr>
        <w:tab/>
      </w:r>
      <w:r w:rsidRPr="00B976EA">
        <w:rPr>
          <w:rFonts w:ascii="Century" w:hAnsi="Century"/>
          <w:sz w:val="17"/>
          <w:szCs w:val="17"/>
        </w:rPr>
        <w:tab/>
        <w:t>Zorunlu Sorumluluk Sigortası</w:t>
      </w:r>
      <w:bookmarkStart w:id="135" w:name="_Toc296364730"/>
      <w:bookmarkStart w:id="136" w:name="_Toc296371939"/>
      <w:bookmarkStart w:id="137" w:name="_Toc296807846"/>
      <w:bookmarkStart w:id="138" w:name="_Toc296808118"/>
      <w:bookmarkStart w:id="139" w:name="_Toc296940798"/>
      <w:bookmarkStart w:id="140" w:name="_Toc297121383"/>
      <w:bookmarkStart w:id="141" w:name="_Toc297202375"/>
      <w:bookmarkStart w:id="142" w:name="_Toc297302686"/>
      <w:bookmarkStart w:id="143" w:name="_Toc297302754"/>
      <w:bookmarkStart w:id="144" w:name="_Toc297309771"/>
      <w:bookmarkStart w:id="145" w:name="_Toc297441019"/>
      <w:bookmarkStart w:id="146" w:name="_Toc297441099"/>
      <w:bookmarkStart w:id="147" w:name="_Toc297441681"/>
    </w:p>
    <w:p w:rsidR="00557ED7" w:rsidRPr="00B10D90" w:rsidRDefault="00557ED7" w:rsidP="009854F9">
      <w:pPr>
        <w:rPr>
          <w:rFonts w:ascii="Century" w:hAnsi="Century"/>
          <w:b/>
          <w:highlight w:val="yellow"/>
        </w:rPr>
      </w:pPr>
    </w:p>
    <w:p w:rsidR="00EB5B32" w:rsidRPr="00B976EA" w:rsidRDefault="00EB5B32" w:rsidP="009854F9">
      <w:pPr>
        <w:rPr>
          <w:rFonts w:ascii="Century" w:hAnsi="Century"/>
          <w:b/>
        </w:rPr>
      </w:pPr>
      <w:r w:rsidRPr="00B976EA">
        <w:rPr>
          <w:rFonts w:ascii="Century" w:hAnsi="Century"/>
          <w:b/>
        </w:rPr>
        <w:lastRenderedPageBreak/>
        <w:t>ABBREVIATIONS</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Adv.</w:t>
      </w:r>
      <w:proofErr w:type="gramEnd"/>
      <w:r w:rsidRPr="00B976EA">
        <w:rPr>
          <w:rFonts w:ascii="Century" w:hAnsi="Century"/>
          <w:color w:val="1C1C1C"/>
          <w:sz w:val="17"/>
          <w:szCs w:val="17"/>
        </w:rPr>
        <w:tab/>
      </w:r>
      <w:r w:rsidRPr="00B976EA">
        <w:rPr>
          <w:rFonts w:ascii="Century" w:hAnsi="Century"/>
          <w:color w:val="1C1C1C"/>
          <w:sz w:val="17"/>
          <w:szCs w:val="17"/>
        </w:rPr>
        <w:tab/>
        <w:t>Advances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Aff.</w:t>
      </w:r>
      <w:proofErr w:type="gramEnd"/>
      <w:r w:rsidRPr="00B976EA">
        <w:rPr>
          <w:rFonts w:ascii="Century" w:hAnsi="Century"/>
          <w:color w:val="1C1C1C"/>
          <w:sz w:val="17"/>
          <w:szCs w:val="17"/>
        </w:rPr>
        <w:tab/>
      </w:r>
      <w:r w:rsidRPr="00B976EA">
        <w:rPr>
          <w:rFonts w:ascii="Century" w:hAnsi="Century"/>
          <w:color w:val="1C1C1C"/>
          <w:sz w:val="17"/>
          <w:szCs w:val="17"/>
        </w:rPr>
        <w:tab/>
        <w:t>Affiliates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Ass.</w:t>
      </w:r>
      <w:proofErr w:type="gramEnd"/>
      <w:r w:rsidRPr="00B976EA">
        <w:rPr>
          <w:rFonts w:ascii="Century" w:hAnsi="Century"/>
          <w:color w:val="1C1C1C"/>
          <w:sz w:val="17"/>
          <w:szCs w:val="17"/>
        </w:rPr>
        <w:tab/>
      </w:r>
      <w:r w:rsidRPr="00B976EA">
        <w:rPr>
          <w:rFonts w:ascii="Century" w:hAnsi="Century"/>
          <w:color w:val="1C1C1C"/>
          <w:sz w:val="17"/>
          <w:szCs w:val="17"/>
        </w:rPr>
        <w:tab/>
        <w:t>Assets</w:t>
      </w:r>
    </w:p>
    <w:p w:rsidR="00917A63" w:rsidRPr="00B976EA" w:rsidRDefault="00917A63" w:rsidP="00EB5B32">
      <w:pPr>
        <w:rPr>
          <w:rFonts w:ascii="Century" w:hAnsi="Century"/>
          <w:color w:val="1C1C1C"/>
          <w:sz w:val="17"/>
          <w:szCs w:val="17"/>
        </w:rPr>
      </w:pPr>
      <w:r w:rsidRPr="00B976EA">
        <w:rPr>
          <w:rFonts w:ascii="Century" w:hAnsi="Century"/>
          <w:color w:val="1C1C1C"/>
          <w:sz w:val="17"/>
          <w:szCs w:val="17"/>
        </w:rPr>
        <w:t>AIRPCT</w:t>
      </w:r>
      <w:r w:rsidRPr="00B976EA">
        <w:rPr>
          <w:rFonts w:ascii="Century" w:hAnsi="Century"/>
          <w:color w:val="1C1C1C"/>
          <w:sz w:val="17"/>
          <w:szCs w:val="17"/>
        </w:rPr>
        <w:tab/>
      </w:r>
      <w:r w:rsidRPr="00B976EA">
        <w:rPr>
          <w:rFonts w:ascii="Century" w:hAnsi="Century"/>
          <w:color w:val="1C1C1C"/>
          <w:sz w:val="17"/>
          <w:szCs w:val="17"/>
        </w:rPr>
        <w:tab/>
        <w:t>Association of Insurance, Reinsurance and Pension Companies of Turkey</w:t>
      </w:r>
    </w:p>
    <w:p w:rsidR="00A81D73" w:rsidRPr="00B976EA" w:rsidRDefault="00A81D73" w:rsidP="00A81D73">
      <w:pPr>
        <w:rPr>
          <w:rFonts w:ascii="Century" w:hAnsi="Century"/>
          <w:color w:val="1C1C1C"/>
          <w:sz w:val="17"/>
          <w:szCs w:val="17"/>
        </w:rPr>
      </w:pPr>
      <w:r w:rsidRPr="00B976EA">
        <w:rPr>
          <w:rFonts w:ascii="Century" w:hAnsi="Century"/>
          <w:color w:val="1C1C1C"/>
          <w:sz w:val="17"/>
          <w:szCs w:val="17"/>
        </w:rPr>
        <w:t>ATCM</w:t>
      </w:r>
      <w:r w:rsidRPr="00B976EA">
        <w:rPr>
          <w:rFonts w:ascii="Century" w:hAnsi="Century"/>
          <w:color w:val="1C1C1C"/>
          <w:sz w:val="17"/>
          <w:szCs w:val="17"/>
        </w:rPr>
        <w:tab/>
      </w:r>
      <w:r w:rsidRPr="00B976EA">
        <w:rPr>
          <w:rFonts w:ascii="Century" w:hAnsi="Century"/>
          <w:color w:val="1C1C1C"/>
          <w:sz w:val="17"/>
          <w:szCs w:val="17"/>
        </w:rPr>
        <w:tab/>
        <w:t xml:space="preserve">Association of Turkish Capital Markets </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Br.</w:t>
      </w:r>
      <w:r w:rsidRPr="00B976EA">
        <w:rPr>
          <w:rFonts w:ascii="Century" w:hAnsi="Century"/>
          <w:color w:val="1C1C1C"/>
          <w:sz w:val="17"/>
          <w:szCs w:val="17"/>
        </w:rPr>
        <w:tab/>
      </w:r>
      <w:r w:rsidRPr="00B976EA">
        <w:rPr>
          <w:rFonts w:ascii="Century" w:hAnsi="Century"/>
          <w:color w:val="1C1C1C"/>
          <w:sz w:val="17"/>
          <w:szCs w:val="17"/>
        </w:rPr>
        <w:tab/>
        <w:t>Brought</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BRSA</w:t>
      </w:r>
      <w:r w:rsidRPr="00B976EA">
        <w:rPr>
          <w:rFonts w:ascii="Century" w:hAnsi="Century"/>
          <w:color w:val="1C1C1C"/>
          <w:sz w:val="17"/>
          <w:szCs w:val="17"/>
        </w:rPr>
        <w:tab/>
      </w:r>
      <w:r w:rsidRPr="00B976EA">
        <w:rPr>
          <w:rFonts w:ascii="Century" w:hAnsi="Century"/>
          <w:color w:val="1C1C1C"/>
          <w:sz w:val="17"/>
          <w:szCs w:val="17"/>
        </w:rPr>
        <w:tab/>
        <w:t>Banking Regulation and Supervision Agency</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CAT</w:t>
      </w:r>
      <w:r w:rsidRPr="00B976EA">
        <w:rPr>
          <w:rFonts w:ascii="Century" w:hAnsi="Century"/>
          <w:color w:val="1C1C1C"/>
          <w:sz w:val="17"/>
          <w:szCs w:val="17"/>
        </w:rPr>
        <w:tab/>
      </w:r>
      <w:r w:rsidRPr="00B976EA">
        <w:rPr>
          <w:rFonts w:ascii="Century" w:hAnsi="Century"/>
          <w:color w:val="1C1C1C"/>
          <w:sz w:val="17"/>
          <w:szCs w:val="17"/>
        </w:rPr>
        <w:tab/>
        <w:t>Catastrophic</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Ch.</w:t>
      </w:r>
      <w:r w:rsidRPr="00B976EA">
        <w:rPr>
          <w:rFonts w:ascii="Century" w:hAnsi="Century"/>
          <w:color w:val="1C1C1C"/>
          <w:sz w:val="17"/>
          <w:szCs w:val="17"/>
        </w:rPr>
        <w:tab/>
      </w:r>
      <w:r w:rsidRPr="00B976EA">
        <w:rPr>
          <w:rFonts w:ascii="Century" w:hAnsi="Century"/>
          <w:color w:val="1C1C1C"/>
          <w:sz w:val="17"/>
          <w:szCs w:val="17"/>
        </w:rPr>
        <w:tab/>
        <w:t>Change</w:t>
      </w:r>
    </w:p>
    <w:p w:rsidR="003C70CC" w:rsidRPr="00B976EA" w:rsidRDefault="003C70CC" w:rsidP="003C70CC">
      <w:pPr>
        <w:rPr>
          <w:rFonts w:ascii="Century" w:hAnsi="Century"/>
          <w:color w:val="1C1C1C"/>
          <w:sz w:val="17"/>
          <w:szCs w:val="17"/>
        </w:rPr>
      </w:pPr>
      <w:r w:rsidRPr="00B976EA">
        <w:rPr>
          <w:rFonts w:ascii="Century" w:hAnsi="Century"/>
          <w:color w:val="1C1C1C"/>
          <w:sz w:val="17"/>
          <w:szCs w:val="17"/>
        </w:rPr>
        <w:t>CII</w:t>
      </w:r>
      <w:r w:rsidR="00BF2C3A" w:rsidRPr="00B976EA">
        <w:rPr>
          <w:rFonts w:ascii="Century" w:hAnsi="Century"/>
          <w:color w:val="1C1C1C"/>
          <w:sz w:val="17"/>
          <w:szCs w:val="17"/>
        </w:rPr>
        <w:t>M</w:t>
      </w:r>
      <w:r w:rsidRPr="00B976EA">
        <w:rPr>
          <w:rFonts w:ascii="Century" w:hAnsi="Century"/>
          <w:color w:val="1C1C1C"/>
          <w:sz w:val="17"/>
          <w:szCs w:val="17"/>
        </w:rPr>
        <w:tab/>
      </w:r>
      <w:r w:rsidRPr="00B976EA">
        <w:rPr>
          <w:rFonts w:ascii="Century" w:hAnsi="Century"/>
          <w:color w:val="1C1C1C"/>
          <w:sz w:val="17"/>
          <w:szCs w:val="17"/>
        </w:rPr>
        <w:tab/>
        <w:t xml:space="preserve">Center of Insurance Information and </w:t>
      </w:r>
      <w:r w:rsidR="00BF2C3A" w:rsidRPr="00B976EA">
        <w:rPr>
          <w:rFonts w:ascii="Century" w:hAnsi="Century"/>
          <w:color w:val="1C1C1C"/>
          <w:sz w:val="17"/>
          <w:szCs w:val="17"/>
        </w:rPr>
        <w:t>Monitoring</w:t>
      </w:r>
      <w:r w:rsidRPr="00B976EA">
        <w:rPr>
          <w:rFonts w:ascii="Century" w:hAnsi="Century"/>
          <w:color w:val="1C1C1C"/>
          <w:sz w:val="17"/>
          <w:szCs w:val="17"/>
        </w:rPr>
        <w:t xml:space="preserve"> </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CLTL</w:t>
      </w:r>
      <w:r w:rsidRPr="00B976EA">
        <w:rPr>
          <w:rFonts w:ascii="Century" w:hAnsi="Century"/>
          <w:color w:val="1C1C1C"/>
          <w:sz w:val="17"/>
          <w:szCs w:val="17"/>
        </w:rPr>
        <w:tab/>
      </w:r>
      <w:r w:rsidRPr="00B976EA">
        <w:rPr>
          <w:rFonts w:ascii="Century" w:hAnsi="Century"/>
          <w:color w:val="1C1C1C"/>
          <w:sz w:val="17"/>
          <w:szCs w:val="17"/>
        </w:rPr>
        <w:tab/>
        <w:t>Compulsory Land Transportation Liability</w:t>
      </w:r>
    </w:p>
    <w:p w:rsidR="003C70CC" w:rsidRPr="00B976EA" w:rsidRDefault="003C70CC" w:rsidP="00EB5B32">
      <w:pPr>
        <w:rPr>
          <w:rFonts w:ascii="Century" w:hAnsi="Century"/>
          <w:color w:val="1C1C1C"/>
          <w:sz w:val="17"/>
          <w:szCs w:val="17"/>
        </w:rPr>
      </w:pPr>
      <w:r w:rsidRPr="00B976EA">
        <w:rPr>
          <w:rFonts w:ascii="Century" w:hAnsi="Century"/>
          <w:color w:val="1C1C1C"/>
          <w:sz w:val="17"/>
          <w:szCs w:val="17"/>
        </w:rPr>
        <w:t>CMB</w:t>
      </w:r>
      <w:r w:rsidRPr="00B976EA">
        <w:rPr>
          <w:rFonts w:ascii="Century" w:hAnsi="Century"/>
          <w:color w:val="1C1C1C"/>
          <w:sz w:val="17"/>
          <w:szCs w:val="17"/>
        </w:rPr>
        <w:tab/>
      </w:r>
      <w:r w:rsidRPr="00B976EA">
        <w:rPr>
          <w:rFonts w:ascii="Century" w:hAnsi="Century"/>
          <w:color w:val="1C1C1C"/>
          <w:sz w:val="17"/>
          <w:szCs w:val="17"/>
        </w:rPr>
        <w:tab/>
        <w:t>Capital Market Board</w:t>
      </w:r>
    </w:p>
    <w:p w:rsidR="000F7018" w:rsidRPr="00B976EA" w:rsidRDefault="0031185D" w:rsidP="00EB5B32">
      <w:pPr>
        <w:rPr>
          <w:rFonts w:ascii="Century" w:hAnsi="Century"/>
          <w:color w:val="1C1C1C"/>
          <w:sz w:val="17"/>
          <w:szCs w:val="17"/>
        </w:rPr>
      </w:pPr>
      <w:proofErr w:type="gramStart"/>
      <w:r w:rsidRPr="00B976EA">
        <w:rPr>
          <w:rFonts w:ascii="Century" w:hAnsi="Century"/>
          <w:color w:val="1C1C1C"/>
          <w:sz w:val="17"/>
          <w:szCs w:val="17"/>
        </w:rPr>
        <w:t>Co.</w:t>
      </w:r>
      <w:proofErr w:type="gramEnd"/>
      <w:r w:rsidR="00EB5B32" w:rsidRPr="00B976EA">
        <w:rPr>
          <w:rFonts w:ascii="Century" w:hAnsi="Century"/>
          <w:color w:val="1C1C1C"/>
          <w:sz w:val="17"/>
          <w:szCs w:val="17"/>
        </w:rPr>
        <w:tab/>
      </w:r>
      <w:r w:rsidR="000F7018" w:rsidRPr="00B976EA">
        <w:rPr>
          <w:rFonts w:ascii="Century" w:hAnsi="Century"/>
          <w:color w:val="1C1C1C"/>
          <w:sz w:val="17"/>
          <w:szCs w:val="17"/>
        </w:rPr>
        <w:tab/>
      </w:r>
      <w:r w:rsidR="00EB5B32" w:rsidRPr="00B976EA">
        <w:rPr>
          <w:rFonts w:ascii="Century" w:hAnsi="Century"/>
          <w:color w:val="1C1C1C"/>
          <w:sz w:val="17"/>
          <w:szCs w:val="17"/>
        </w:rPr>
        <w:t>Companies</w:t>
      </w:r>
    </w:p>
    <w:p w:rsidR="00EB5B32" w:rsidRPr="00B976EA" w:rsidRDefault="000F7018" w:rsidP="00EB5B32">
      <w:pPr>
        <w:rPr>
          <w:rFonts w:ascii="Century" w:hAnsi="Century"/>
          <w:color w:val="1C1C1C"/>
          <w:sz w:val="17"/>
          <w:szCs w:val="17"/>
        </w:rPr>
      </w:pPr>
      <w:r w:rsidRPr="00B976EA">
        <w:rPr>
          <w:rFonts w:ascii="Century" w:hAnsi="Century"/>
          <w:color w:val="1C1C1C"/>
          <w:sz w:val="17"/>
          <w:szCs w:val="17"/>
        </w:rPr>
        <w:t>Comp.</w:t>
      </w:r>
      <w:r w:rsidRPr="00B976EA">
        <w:rPr>
          <w:rFonts w:ascii="Century" w:hAnsi="Century"/>
          <w:color w:val="1C1C1C"/>
          <w:sz w:val="17"/>
          <w:szCs w:val="17"/>
        </w:rPr>
        <w:tab/>
      </w:r>
      <w:r w:rsidRPr="00B976EA">
        <w:rPr>
          <w:rFonts w:ascii="Century" w:hAnsi="Century"/>
          <w:color w:val="1C1C1C"/>
          <w:sz w:val="17"/>
          <w:szCs w:val="17"/>
        </w:rPr>
        <w:tab/>
        <w:t>Compulsory</w:t>
      </w:r>
      <w:r w:rsidR="00EB5B32" w:rsidRPr="00B976EA">
        <w:rPr>
          <w:rFonts w:ascii="Century" w:hAnsi="Century"/>
          <w:color w:val="1C1C1C"/>
          <w:sz w:val="17"/>
          <w:szCs w:val="17"/>
        </w:rPr>
        <w:t xml:space="preserve"> </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CPI</w:t>
      </w:r>
      <w:r w:rsidRPr="00B976EA">
        <w:rPr>
          <w:rFonts w:ascii="Century" w:hAnsi="Century"/>
          <w:color w:val="1C1C1C"/>
          <w:sz w:val="17"/>
          <w:szCs w:val="17"/>
        </w:rPr>
        <w:tab/>
      </w:r>
      <w:r w:rsidRPr="00B976EA">
        <w:rPr>
          <w:rFonts w:ascii="Century" w:hAnsi="Century"/>
          <w:color w:val="1C1C1C"/>
          <w:sz w:val="17"/>
          <w:szCs w:val="17"/>
        </w:rPr>
        <w:tab/>
        <w:t>Consumer Price Index</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Dis.</w:t>
      </w:r>
      <w:r w:rsidRPr="00B976EA">
        <w:rPr>
          <w:rFonts w:ascii="Century" w:hAnsi="Century"/>
          <w:color w:val="1C1C1C"/>
          <w:sz w:val="17"/>
          <w:szCs w:val="17"/>
        </w:rPr>
        <w:tab/>
      </w:r>
      <w:r w:rsidRPr="00B976EA">
        <w:rPr>
          <w:rFonts w:ascii="Century" w:hAnsi="Century"/>
          <w:color w:val="1C1C1C"/>
          <w:sz w:val="17"/>
          <w:szCs w:val="17"/>
        </w:rPr>
        <w:tab/>
        <w:t>Disasters</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Disc.</w:t>
      </w:r>
      <w:r w:rsidRPr="00B976EA">
        <w:rPr>
          <w:rFonts w:ascii="Century" w:hAnsi="Century"/>
          <w:color w:val="1C1C1C"/>
          <w:sz w:val="17"/>
          <w:szCs w:val="17"/>
        </w:rPr>
        <w:tab/>
      </w:r>
      <w:r w:rsidRPr="00B976EA">
        <w:rPr>
          <w:rFonts w:ascii="Century" w:hAnsi="Century"/>
          <w:color w:val="1C1C1C"/>
          <w:sz w:val="17"/>
          <w:szCs w:val="17"/>
        </w:rPr>
        <w:tab/>
        <w:t>Discount</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EGM</w:t>
      </w:r>
      <w:r w:rsidRPr="00B976EA">
        <w:rPr>
          <w:rFonts w:ascii="Century" w:hAnsi="Century"/>
          <w:color w:val="1C1C1C"/>
          <w:sz w:val="17"/>
          <w:szCs w:val="17"/>
        </w:rPr>
        <w:tab/>
      </w:r>
      <w:r w:rsidRPr="00B976EA">
        <w:rPr>
          <w:rFonts w:ascii="Century" w:hAnsi="Century"/>
          <w:color w:val="1C1C1C"/>
          <w:sz w:val="17"/>
          <w:szCs w:val="17"/>
        </w:rPr>
        <w:tab/>
        <w:t>Pension Monitoring Center</w:t>
      </w:r>
    </w:p>
    <w:p w:rsidR="007F7E4A" w:rsidRPr="00B976EA" w:rsidRDefault="007F7E4A" w:rsidP="00EB5B32">
      <w:pPr>
        <w:rPr>
          <w:rFonts w:ascii="Century" w:hAnsi="Century"/>
          <w:color w:val="1C1C1C"/>
          <w:sz w:val="17"/>
          <w:szCs w:val="17"/>
        </w:rPr>
      </w:pPr>
      <w:r w:rsidRPr="00B976EA">
        <w:rPr>
          <w:rFonts w:ascii="Century" w:hAnsi="Century"/>
          <w:color w:val="1C1C1C"/>
          <w:sz w:val="17"/>
          <w:szCs w:val="17"/>
        </w:rPr>
        <w:t>Eng.</w:t>
      </w:r>
      <w:r w:rsidRPr="00B976EA">
        <w:rPr>
          <w:rFonts w:ascii="Century" w:hAnsi="Century"/>
          <w:color w:val="1C1C1C"/>
          <w:sz w:val="17"/>
          <w:szCs w:val="17"/>
        </w:rPr>
        <w:tab/>
      </w:r>
      <w:r w:rsidRPr="00B976EA">
        <w:rPr>
          <w:rFonts w:ascii="Century" w:hAnsi="Century"/>
          <w:color w:val="1C1C1C"/>
          <w:sz w:val="17"/>
          <w:szCs w:val="17"/>
        </w:rPr>
        <w:tab/>
        <w:t>Engineering</w:t>
      </w:r>
    </w:p>
    <w:p w:rsidR="00531FDB" w:rsidRPr="00B976EA" w:rsidRDefault="00531FDB" w:rsidP="00EB5B32">
      <w:pPr>
        <w:rPr>
          <w:rFonts w:ascii="Century" w:hAnsi="Century"/>
          <w:color w:val="1C1C1C"/>
          <w:sz w:val="17"/>
          <w:szCs w:val="17"/>
        </w:rPr>
      </w:pPr>
      <w:proofErr w:type="gramStart"/>
      <w:r w:rsidRPr="00B976EA">
        <w:rPr>
          <w:rFonts w:ascii="Century" w:hAnsi="Century"/>
          <w:color w:val="1C1C1C"/>
          <w:sz w:val="17"/>
          <w:szCs w:val="17"/>
        </w:rPr>
        <w:t>Eq.</w:t>
      </w:r>
      <w:proofErr w:type="gramEnd"/>
      <w:r w:rsidRPr="00B976EA">
        <w:rPr>
          <w:rFonts w:ascii="Century" w:hAnsi="Century"/>
          <w:color w:val="1C1C1C"/>
          <w:sz w:val="17"/>
          <w:szCs w:val="17"/>
        </w:rPr>
        <w:tab/>
      </w:r>
      <w:r w:rsidRPr="00B976EA">
        <w:rPr>
          <w:rFonts w:ascii="Century" w:hAnsi="Century"/>
          <w:color w:val="1C1C1C"/>
          <w:sz w:val="17"/>
          <w:szCs w:val="17"/>
        </w:rPr>
        <w:tab/>
        <w:t>Equity</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 xml:space="preserve">EU </w:t>
      </w:r>
      <w:r w:rsidRPr="00B976EA">
        <w:rPr>
          <w:rFonts w:ascii="Century" w:hAnsi="Century"/>
          <w:color w:val="1C1C1C"/>
          <w:sz w:val="17"/>
          <w:szCs w:val="17"/>
        </w:rPr>
        <w:tab/>
      </w:r>
      <w:r w:rsidRPr="00B976EA">
        <w:rPr>
          <w:rFonts w:ascii="Century" w:hAnsi="Century"/>
          <w:color w:val="1C1C1C"/>
          <w:sz w:val="17"/>
          <w:szCs w:val="17"/>
        </w:rPr>
        <w:tab/>
        <w:t>European Union</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Exp.</w:t>
      </w:r>
      <w:proofErr w:type="gramEnd"/>
      <w:r w:rsidRPr="00B976EA">
        <w:rPr>
          <w:rFonts w:ascii="Century" w:hAnsi="Century"/>
          <w:color w:val="1C1C1C"/>
          <w:sz w:val="17"/>
          <w:szCs w:val="17"/>
        </w:rPr>
        <w:tab/>
      </w:r>
      <w:r w:rsidRPr="00B976EA">
        <w:rPr>
          <w:rFonts w:ascii="Century" w:hAnsi="Century"/>
          <w:color w:val="1C1C1C"/>
          <w:sz w:val="17"/>
          <w:szCs w:val="17"/>
        </w:rPr>
        <w:tab/>
        <w:t>Explosion</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Fin.</w:t>
      </w:r>
      <w:r w:rsidRPr="00B976EA">
        <w:rPr>
          <w:rFonts w:ascii="Century" w:hAnsi="Century"/>
          <w:color w:val="1C1C1C"/>
          <w:sz w:val="17"/>
          <w:szCs w:val="17"/>
        </w:rPr>
        <w:tab/>
      </w:r>
      <w:r w:rsidRPr="00B976EA">
        <w:rPr>
          <w:rFonts w:ascii="Century" w:hAnsi="Century"/>
          <w:color w:val="1C1C1C"/>
          <w:sz w:val="17"/>
          <w:szCs w:val="17"/>
        </w:rPr>
        <w:tab/>
        <w:t>Financial</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Forw.</w:t>
      </w:r>
      <w:proofErr w:type="gramEnd"/>
      <w:r w:rsidRPr="00B976EA">
        <w:rPr>
          <w:rFonts w:ascii="Century" w:hAnsi="Century"/>
          <w:color w:val="1C1C1C"/>
          <w:sz w:val="17"/>
          <w:szCs w:val="17"/>
        </w:rPr>
        <w:tab/>
      </w:r>
      <w:r w:rsidRPr="00B976EA">
        <w:rPr>
          <w:rFonts w:ascii="Century" w:hAnsi="Century"/>
          <w:color w:val="1C1C1C"/>
          <w:sz w:val="17"/>
          <w:szCs w:val="17"/>
        </w:rPr>
        <w:tab/>
        <w:t>Forward</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GDP</w:t>
      </w:r>
      <w:r w:rsidRPr="00B976EA">
        <w:rPr>
          <w:rFonts w:ascii="Century" w:hAnsi="Century"/>
          <w:color w:val="1C1C1C"/>
          <w:sz w:val="17"/>
          <w:szCs w:val="17"/>
        </w:rPr>
        <w:tab/>
      </w:r>
      <w:r w:rsidRPr="00B976EA">
        <w:rPr>
          <w:rFonts w:ascii="Century" w:hAnsi="Century"/>
          <w:color w:val="1C1C1C"/>
          <w:sz w:val="17"/>
          <w:szCs w:val="17"/>
        </w:rPr>
        <w:tab/>
        <w:t>Gross Domestic Product</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Haz.</w:t>
      </w:r>
      <w:proofErr w:type="gramEnd"/>
      <w:r w:rsidRPr="00B976EA">
        <w:rPr>
          <w:rFonts w:ascii="Century" w:hAnsi="Century"/>
          <w:color w:val="1C1C1C"/>
          <w:sz w:val="17"/>
          <w:szCs w:val="17"/>
        </w:rPr>
        <w:tab/>
      </w:r>
      <w:r w:rsidRPr="00B976EA">
        <w:rPr>
          <w:rFonts w:ascii="Century" w:hAnsi="Century"/>
          <w:color w:val="1C1C1C"/>
          <w:sz w:val="17"/>
          <w:szCs w:val="17"/>
        </w:rPr>
        <w:tab/>
        <w:t>Hazardous</w:t>
      </w:r>
    </w:p>
    <w:p w:rsidR="007A679F" w:rsidRPr="00B976EA" w:rsidRDefault="007A679F" w:rsidP="00EB5B32">
      <w:pPr>
        <w:rPr>
          <w:rFonts w:ascii="Century" w:hAnsi="Century"/>
          <w:color w:val="1C1C1C"/>
          <w:sz w:val="17"/>
          <w:szCs w:val="17"/>
        </w:rPr>
      </w:pPr>
      <w:r w:rsidRPr="00B976EA">
        <w:rPr>
          <w:rFonts w:ascii="Century" w:hAnsi="Century"/>
          <w:color w:val="1C1C1C"/>
          <w:sz w:val="17"/>
          <w:szCs w:val="17"/>
        </w:rPr>
        <w:t>IBNR</w:t>
      </w:r>
      <w:r w:rsidRPr="00B976EA">
        <w:rPr>
          <w:rFonts w:ascii="Century" w:hAnsi="Century"/>
          <w:color w:val="1C1C1C"/>
          <w:sz w:val="17"/>
          <w:szCs w:val="17"/>
        </w:rPr>
        <w:tab/>
      </w:r>
      <w:r w:rsidRPr="00B976EA">
        <w:rPr>
          <w:rFonts w:ascii="Century" w:hAnsi="Century"/>
          <w:color w:val="1C1C1C"/>
          <w:sz w:val="17"/>
          <w:szCs w:val="17"/>
        </w:rPr>
        <w:tab/>
        <w:t>Incurred But Not Reported (Claim Reserve)</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Impr.</w:t>
      </w:r>
      <w:proofErr w:type="gramEnd"/>
      <w:r w:rsidRPr="00B976EA">
        <w:rPr>
          <w:rFonts w:ascii="Century" w:hAnsi="Century"/>
          <w:color w:val="1C1C1C"/>
          <w:sz w:val="17"/>
          <w:szCs w:val="17"/>
        </w:rPr>
        <w:tab/>
      </w:r>
      <w:r w:rsidRPr="00B976EA">
        <w:rPr>
          <w:rFonts w:ascii="Century" w:hAnsi="Century"/>
          <w:color w:val="1C1C1C"/>
          <w:sz w:val="17"/>
          <w:szCs w:val="17"/>
        </w:rPr>
        <w:tab/>
        <w:t>Improvement</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Inc.</w:t>
      </w:r>
      <w:proofErr w:type="gramEnd"/>
      <w:r w:rsidRPr="00B976EA">
        <w:rPr>
          <w:rFonts w:ascii="Century" w:hAnsi="Century"/>
          <w:color w:val="1C1C1C"/>
          <w:sz w:val="17"/>
          <w:szCs w:val="17"/>
        </w:rPr>
        <w:tab/>
      </w:r>
      <w:r w:rsidRPr="00B976EA">
        <w:rPr>
          <w:rFonts w:ascii="Century" w:hAnsi="Century"/>
          <w:color w:val="1C1C1C"/>
          <w:sz w:val="17"/>
          <w:szCs w:val="17"/>
        </w:rPr>
        <w:tab/>
        <w:t>Included</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Ins.</w:t>
      </w:r>
      <w:proofErr w:type="gramEnd"/>
      <w:r w:rsidRPr="00B976EA">
        <w:rPr>
          <w:rFonts w:ascii="Century" w:hAnsi="Century"/>
          <w:color w:val="1C1C1C"/>
          <w:sz w:val="17"/>
          <w:szCs w:val="17"/>
        </w:rPr>
        <w:tab/>
      </w:r>
      <w:r w:rsidRPr="00B976EA">
        <w:rPr>
          <w:rFonts w:ascii="Century" w:hAnsi="Century"/>
          <w:color w:val="1C1C1C"/>
          <w:sz w:val="17"/>
          <w:szCs w:val="17"/>
        </w:rPr>
        <w:tab/>
        <w:t>Insurance</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Inv.</w:t>
      </w:r>
      <w:proofErr w:type="gramEnd"/>
      <w:r w:rsidRPr="00B976EA">
        <w:rPr>
          <w:rFonts w:ascii="Century" w:hAnsi="Century"/>
          <w:color w:val="1C1C1C"/>
          <w:sz w:val="17"/>
          <w:szCs w:val="17"/>
        </w:rPr>
        <w:tab/>
      </w:r>
      <w:r w:rsidRPr="00B976EA">
        <w:rPr>
          <w:rFonts w:ascii="Century" w:hAnsi="Century"/>
          <w:color w:val="1C1C1C"/>
          <w:sz w:val="17"/>
          <w:szCs w:val="17"/>
        </w:rPr>
        <w:tab/>
        <w:t>Investment</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ISB</w:t>
      </w:r>
      <w:r w:rsidRPr="00B976EA">
        <w:rPr>
          <w:rFonts w:ascii="Century" w:hAnsi="Century"/>
          <w:color w:val="1C1C1C"/>
          <w:sz w:val="17"/>
          <w:szCs w:val="17"/>
        </w:rPr>
        <w:tab/>
      </w:r>
      <w:r w:rsidRPr="00B976EA">
        <w:rPr>
          <w:rFonts w:ascii="Century" w:hAnsi="Century"/>
          <w:color w:val="1C1C1C"/>
          <w:sz w:val="17"/>
          <w:szCs w:val="17"/>
        </w:rPr>
        <w:tab/>
        <w:t>Insurance Supervision Board</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Liab.</w:t>
      </w:r>
      <w:proofErr w:type="gramEnd"/>
      <w:r w:rsidRPr="00B976EA">
        <w:rPr>
          <w:rFonts w:ascii="Century" w:hAnsi="Century"/>
          <w:color w:val="1C1C1C"/>
          <w:sz w:val="17"/>
          <w:szCs w:val="17"/>
        </w:rPr>
        <w:tab/>
      </w:r>
      <w:r w:rsidRPr="00B976EA">
        <w:rPr>
          <w:rFonts w:ascii="Century" w:hAnsi="Century"/>
          <w:color w:val="1C1C1C"/>
          <w:sz w:val="17"/>
          <w:szCs w:val="17"/>
        </w:rPr>
        <w:tab/>
        <w:t>Liability</w:t>
      </w:r>
    </w:p>
    <w:p w:rsidR="00EB5B32" w:rsidRPr="00B976EA" w:rsidRDefault="0050289C" w:rsidP="00EB5B32">
      <w:pPr>
        <w:rPr>
          <w:rFonts w:ascii="Century" w:hAnsi="Century"/>
          <w:color w:val="1C1C1C"/>
          <w:sz w:val="17"/>
          <w:szCs w:val="17"/>
        </w:rPr>
      </w:pPr>
      <w:r w:rsidRPr="00B976EA">
        <w:rPr>
          <w:rFonts w:ascii="Century" w:hAnsi="Century"/>
          <w:color w:val="1C1C1C"/>
          <w:sz w:val="17"/>
          <w:szCs w:val="17"/>
        </w:rPr>
        <w:t>L</w:t>
      </w:r>
      <w:r w:rsidR="001B3F94" w:rsidRPr="00B976EA">
        <w:rPr>
          <w:rFonts w:ascii="Century" w:hAnsi="Century"/>
          <w:color w:val="1C1C1C"/>
          <w:sz w:val="17"/>
          <w:szCs w:val="17"/>
        </w:rPr>
        <w:t xml:space="preserve"> </w:t>
      </w:r>
      <w:r w:rsidRPr="00B976EA">
        <w:rPr>
          <w:rFonts w:ascii="Century" w:hAnsi="Century"/>
          <w:color w:val="1C1C1C"/>
          <w:sz w:val="17"/>
          <w:szCs w:val="17"/>
        </w:rPr>
        <w:t>/</w:t>
      </w:r>
      <w:r w:rsidR="001B3F94" w:rsidRPr="00B976EA">
        <w:rPr>
          <w:rFonts w:ascii="Century" w:hAnsi="Century"/>
          <w:color w:val="1C1C1C"/>
          <w:sz w:val="17"/>
          <w:szCs w:val="17"/>
        </w:rPr>
        <w:t xml:space="preserve"> </w:t>
      </w:r>
      <w:r w:rsidRPr="00B976EA">
        <w:rPr>
          <w:rFonts w:ascii="Century" w:hAnsi="Century"/>
          <w:color w:val="1C1C1C"/>
          <w:sz w:val="17"/>
          <w:szCs w:val="17"/>
        </w:rPr>
        <w:t>P</w:t>
      </w:r>
      <w:r w:rsidRPr="00B976EA">
        <w:rPr>
          <w:rFonts w:ascii="Century" w:hAnsi="Century"/>
          <w:color w:val="1C1C1C"/>
          <w:sz w:val="17"/>
          <w:szCs w:val="17"/>
        </w:rPr>
        <w:tab/>
      </w:r>
      <w:r w:rsidRPr="00B976EA">
        <w:rPr>
          <w:rFonts w:ascii="Century" w:hAnsi="Century"/>
          <w:color w:val="1C1C1C"/>
          <w:sz w:val="17"/>
          <w:szCs w:val="17"/>
        </w:rPr>
        <w:tab/>
        <w:t xml:space="preserve">Life </w:t>
      </w:r>
      <w:r w:rsidR="00BB6987" w:rsidRPr="00B976EA">
        <w:rPr>
          <w:rFonts w:ascii="Century" w:hAnsi="Century"/>
          <w:color w:val="1C1C1C"/>
          <w:sz w:val="17"/>
          <w:szCs w:val="17"/>
        </w:rPr>
        <w:t xml:space="preserve">Insurance Companies </w:t>
      </w:r>
      <w:r w:rsidR="001B3F94" w:rsidRPr="00B976EA">
        <w:rPr>
          <w:rFonts w:ascii="Century" w:hAnsi="Century"/>
          <w:color w:val="1C1C1C"/>
          <w:sz w:val="17"/>
          <w:szCs w:val="17"/>
        </w:rPr>
        <w:t>and</w:t>
      </w:r>
      <w:r w:rsidRPr="00B976EA">
        <w:rPr>
          <w:rFonts w:ascii="Century" w:hAnsi="Century"/>
          <w:color w:val="1C1C1C"/>
          <w:sz w:val="17"/>
          <w:szCs w:val="17"/>
        </w:rPr>
        <w:t xml:space="preserve"> </w:t>
      </w:r>
      <w:r w:rsidR="00EB5B32" w:rsidRPr="00B976EA">
        <w:rPr>
          <w:rFonts w:ascii="Century" w:hAnsi="Century"/>
          <w:color w:val="1C1C1C"/>
          <w:sz w:val="17"/>
          <w:szCs w:val="17"/>
        </w:rPr>
        <w:t>Pension</w:t>
      </w:r>
      <w:r w:rsidR="00BB6987" w:rsidRPr="00B976EA">
        <w:rPr>
          <w:rFonts w:ascii="Century" w:hAnsi="Century"/>
          <w:color w:val="1C1C1C"/>
          <w:sz w:val="17"/>
          <w:szCs w:val="17"/>
        </w:rPr>
        <w:t xml:space="preserve"> Companies</w:t>
      </w:r>
    </w:p>
    <w:p w:rsidR="00866799" w:rsidRPr="00B976EA" w:rsidRDefault="00866799" w:rsidP="00EB5B32">
      <w:pPr>
        <w:rPr>
          <w:rFonts w:ascii="Century" w:hAnsi="Century"/>
          <w:color w:val="1C1C1C"/>
          <w:sz w:val="17"/>
          <w:szCs w:val="17"/>
        </w:rPr>
      </w:pPr>
      <w:r w:rsidRPr="00B976EA">
        <w:rPr>
          <w:rFonts w:ascii="Century" w:hAnsi="Century"/>
          <w:color w:val="1C1C1C"/>
          <w:sz w:val="17"/>
          <w:szCs w:val="17"/>
        </w:rPr>
        <w:t>LoB</w:t>
      </w:r>
      <w:r w:rsidRPr="00B976EA">
        <w:rPr>
          <w:rFonts w:ascii="Century" w:hAnsi="Century"/>
          <w:color w:val="1C1C1C"/>
          <w:sz w:val="17"/>
          <w:szCs w:val="17"/>
        </w:rPr>
        <w:tab/>
      </w:r>
      <w:r w:rsidRPr="00B976EA">
        <w:rPr>
          <w:rFonts w:ascii="Century" w:hAnsi="Century"/>
          <w:color w:val="1C1C1C"/>
          <w:sz w:val="17"/>
          <w:szCs w:val="17"/>
        </w:rPr>
        <w:tab/>
        <w:t>Line of Business</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Man.</w:t>
      </w:r>
      <w:r w:rsidRPr="00B976EA">
        <w:rPr>
          <w:rFonts w:ascii="Century" w:hAnsi="Century"/>
          <w:color w:val="1C1C1C"/>
          <w:sz w:val="17"/>
          <w:szCs w:val="17"/>
        </w:rPr>
        <w:tab/>
      </w:r>
      <w:r w:rsidRPr="00B976EA">
        <w:rPr>
          <w:rFonts w:ascii="Century" w:hAnsi="Century"/>
          <w:color w:val="1C1C1C"/>
          <w:sz w:val="17"/>
          <w:szCs w:val="17"/>
        </w:rPr>
        <w:tab/>
        <w:t>Mandatory</w:t>
      </w:r>
    </w:p>
    <w:p w:rsidR="00EB5B32" w:rsidRPr="00B976EA" w:rsidRDefault="00822B2A" w:rsidP="00EB5B32">
      <w:pPr>
        <w:rPr>
          <w:rFonts w:ascii="Century" w:hAnsi="Century"/>
          <w:color w:val="1C1C1C"/>
          <w:sz w:val="17"/>
          <w:szCs w:val="17"/>
        </w:rPr>
      </w:pPr>
      <w:r w:rsidRPr="00B976EA">
        <w:rPr>
          <w:rFonts w:ascii="Century" w:hAnsi="Century"/>
          <w:color w:val="1C1C1C"/>
          <w:sz w:val="17"/>
          <w:szCs w:val="17"/>
        </w:rPr>
        <w:t>PLAR</w:t>
      </w:r>
      <w:r w:rsidRPr="00B976EA">
        <w:rPr>
          <w:rFonts w:ascii="Century" w:hAnsi="Century"/>
          <w:color w:val="1C1C1C"/>
          <w:sz w:val="17"/>
          <w:szCs w:val="17"/>
        </w:rPr>
        <w:tab/>
      </w:r>
      <w:r w:rsidR="00EB5B32" w:rsidRPr="00B976EA">
        <w:rPr>
          <w:rFonts w:ascii="Century" w:hAnsi="Century"/>
          <w:color w:val="1C1C1C"/>
          <w:sz w:val="17"/>
          <w:szCs w:val="17"/>
        </w:rPr>
        <w:tab/>
      </w:r>
      <w:r w:rsidRPr="00B976EA">
        <w:rPr>
          <w:rFonts w:ascii="Century" w:hAnsi="Century"/>
          <w:color w:val="1C1C1C"/>
          <w:sz w:val="17"/>
          <w:szCs w:val="17"/>
        </w:rPr>
        <w:t>Profit Loaded Actuarial Reserves</w:t>
      </w:r>
    </w:p>
    <w:p w:rsidR="00B91F7B" w:rsidRPr="00B976EA" w:rsidRDefault="00B91F7B" w:rsidP="00EB5B32">
      <w:pPr>
        <w:rPr>
          <w:rFonts w:ascii="Century" w:hAnsi="Century"/>
          <w:color w:val="1C1C1C"/>
          <w:sz w:val="17"/>
          <w:szCs w:val="17"/>
        </w:rPr>
      </w:pPr>
      <w:r w:rsidRPr="00B976EA">
        <w:rPr>
          <w:rFonts w:ascii="Century" w:hAnsi="Century"/>
          <w:color w:val="1C1C1C"/>
          <w:sz w:val="17"/>
          <w:szCs w:val="17"/>
        </w:rPr>
        <w:t>NTA</w:t>
      </w:r>
      <w:r w:rsidRPr="00B976EA">
        <w:rPr>
          <w:rFonts w:ascii="Century" w:hAnsi="Century"/>
          <w:color w:val="1C1C1C"/>
          <w:sz w:val="17"/>
          <w:szCs w:val="17"/>
        </w:rPr>
        <w:tab/>
      </w:r>
      <w:r w:rsidRPr="00B976EA">
        <w:rPr>
          <w:rFonts w:ascii="Century" w:hAnsi="Century"/>
          <w:color w:val="1C1C1C"/>
          <w:sz w:val="17"/>
          <w:szCs w:val="17"/>
        </w:rPr>
        <w:tab/>
        <w:t>Non</w:t>
      </w:r>
      <w:r w:rsidR="00607E60" w:rsidRPr="00B976EA">
        <w:rPr>
          <w:rFonts w:ascii="Century" w:hAnsi="Century"/>
          <w:color w:val="1C1C1C"/>
          <w:sz w:val="17"/>
          <w:szCs w:val="17"/>
        </w:rPr>
        <w:t>-</w:t>
      </w:r>
      <w:r w:rsidRPr="00B976EA">
        <w:rPr>
          <w:rFonts w:ascii="Century" w:hAnsi="Century"/>
          <w:color w:val="1C1C1C"/>
          <w:sz w:val="17"/>
          <w:szCs w:val="17"/>
        </w:rPr>
        <w:t>Technical Account</w:t>
      </w:r>
    </w:p>
    <w:p w:rsidR="00B33DC3" w:rsidRPr="00B976EA" w:rsidRDefault="00B33DC3" w:rsidP="00B33DC3">
      <w:pPr>
        <w:rPr>
          <w:rFonts w:ascii="Century" w:hAnsi="Century"/>
          <w:color w:val="1C1C1C"/>
          <w:sz w:val="17"/>
          <w:szCs w:val="17"/>
        </w:rPr>
      </w:pPr>
      <w:r w:rsidRPr="00B976EA">
        <w:rPr>
          <w:rFonts w:ascii="Century" w:hAnsi="Century"/>
          <w:color w:val="1C1C1C"/>
          <w:sz w:val="17"/>
          <w:szCs w:val="17"/>
        </w:rPr>
        <w:t>OCR</w:t>
      </w:r>
      <w:r w:rsidRPr="00B976EA">
        <w:rPr>
          <w:rFonts w:ascii="Century" w:hAnsi="Century"/>
          <w:color w:val="1C1C1C"/>
          <w:sz w:val="17"/>
          <w:szCs w:val="17"/>
        </w:rPr>
        <w:tab/>
      </w:r>
      <w:r w:rsidRPr="00B976EA">
        <w:rPr>
          <w:rFonts w:ascii="Century" w:hAnsi="Century"/>
          <w:color w:val="1C1C1C"/>
          <w:sz w:val="17"/>
          <w:szCs w:val="17"/>
        </w:rPr>
        <w:tab/>
        <w:t>Outstanding Claim Reserves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Outs.</w:t>
      </w:r>
      <w:proofErr w:type="gramEnd"/>
      <w:r w:rsidRPr="00B976EA">
        <w:rPr>
          <w:rFonts w:ascii="Century" w:hAnsi="Century"/>
          <w:color w:val="1C1C1C"/>
          <w:sz w:val="17"/>
          <w:szCs w:val="17"/>
        </w:rPr>
        <w:tab/>
      </w:r>
      <w:r w:rsidRPr="00B976EA">
        <w:rPr>
          <w:rFonts w:ascii="Century" w:hAnsi="Century"/>
          <w:color w:val="1C1C1C"/>
          <w:sz w:val="17"/>
          <w:szCs w:val="17"/>
        </w:rPr>
        <w:tab/>
        <w:t>Outstanding</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PBT</w:t>
      </w:r>
      <w:r w:rsidRPr="00B976EA">
        <w:rPr>
          <w:rFonts w:ascii="Century" w:hAnsi="Century"/>
          <w:color w:val="1C1C1C"/>
          <w:sz w:val="17"/>
          <w:szCs w:val="17"/>
        </w:rPr>
        <w:tab/>
      </w:r>
      <w:r w:rsidRPr="00B976EA">
        <w:rPr>
          <w:rFonts w:ascii="Century" w:hAnsi="Century"/>
          <w:color w:val="1C1C1C"/>
          <w:sz w:val="17"/>
          <w:szCs w:val="17"/>
        </w:rPr>
        <w:tab/>
        <w:t xml:space="preserve">Profit </w:t>
      </w:r>
      <w:proofErr w:type="gramStart"/>
      <w:r w:rsidRPr="00B976EA">
        <w:rPr>
          <w:rFonts w:ascii="Century" w:hAnsi="Century"/>
          <w:color w:val="1C1C1C"/>
          <w:sz w:val="17"/>
          <w:szCs w:val="17"/>
        </w:rPr>
        <w:t>Before</w:t>
      </w:r>
      <w:proofErr w:type="gramEnd"/>
      <w:r w:rsidRPr="00B976EA">
        <w:rPr>
          <w:rFonts w:ascii="Century" w:hAnsi="Century"/>
          <w:color w:val="1C1C1C"/>
          <w:sz w:val="17"/>
          <w:szCs w:val="17"/>
        </w:rPr>
        <w:t xml:space="preserve"> Tax</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PH</w:t>
      </w:r>
      <w:r w:rsidRPr="00B976EA">
        <w:rPr>
          <w:rFonts w:ascii="Century" w:hAnsi="Century"/>
          <w:color w:val="1C1C1C"/>
          <w:sz w:val="17"/>
          <w:szCs w:val="17"/>
        </w:rPr>
        <w:tab/>
      </w:r>
      <w:r w:rsidRPr="00B976EA">
        <w:rPr>
          <w:rFonts w:ascii="Century" w:hAnsi="Century"/>
          <w:color w:val="1C1C1C"/>
          <w:sz w:val="17"/>
          <w:szCs w:val="17"/>
        </w:rPr>
        <w:tab/>
        <w:t>Policy Holders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Pr.</w:t>
      </w:r>
      <w:proofErr w:type="gramEnd"/>
      <w:r w:rsidRPr="00B976EA">
        <w:rPr>
          <w:rFonts w:ascii="Century" w:hAnsi="Century"/>
          <w:color w:val="1C1C1C"/>
          <w:sz w:val="17"/>
          <w:szCs w:val="17"/>
        </w:rPr>
        <w:tab/>
      </w:r>
      <w:r w:rsidRPr="00B976EA">
        <w:rPr>
          <w:rFonts w:ascii="Century" w:hAnsi="Century"/>
          <w:color w:val="1C1C1C"/>
          <w:sz w:val="17"/>
          <w:szCs w:val="17"/>
        </w:rPr>
        <w:tab/>
        <w:t>Premium</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Prov.</w:t>
      </w:r>
      <w:proofErr w:type="gramEnd"/>
      <w:r w:rsidRPr="00B976EA">
        <w:rPr>
          <w:rFonts w:ascii="Century" w:hAnsi="Century"/>
          <w:color w:val="1C1C1C"/>
          <w:sz w:val="17"/>
          <w:szCs w:val="17"/>
        </w:rPr>
        <w:tab/>
      </w:r>
      <w:r w:rsidRPr="00B976EA">
        <w:rPr>
          <w:rFonts w:ascii="Century" w:hAnsi="Century"/>
          <w:color w:val="1C1C1C"/>
          <w:sz w:val="17"/>
          <w:szCs w:val="17"/>
        </w:rPr>
        <w:tab/>
        <w:t>Provisions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Rec.</w:t>
      </w:r>
      <w:proofErr w:type="gramEnd"/>
      <w:r w:rsidRPr="00B976EA">
        <w:rPr>
          <w:rFonts w:ascii="Century" w:hAnsi="Century"/>
          <w:color w:val="1C1C1C"/>
          <w:sz w:val="17"/>
          <w:szCs w:val="17"/>
        </w:rPr>
        <w:tab/>
      </w:r>
      <w:r w:rsidRPr="00B976EA">
        <w:rPr>
          <w:rFonts w:ascii="Century" w:hAnsi="Century"/>
          <w:color w:val="1C1C1C"/>
          <w:sz w:val="17"/>
          <w:szCs w:val="17"/>
        </w:rPr>
        <w:tab/>
        <w:t>Receivables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Reins.</w:t>
      </w:r>
      <w:proofErr w:type="gramEnd"/>
      <w:r w:rsidRPr="00B976EA">
        <w:rPr>
          <w:rFonts w:ascii="Century" w:hAnsi="Century"/>
          <w:color w:val="1C1C1C"/>
          <w:sz w:val="17"/>
          <w:szCs w:val="17"/>
        </w:rPr>
        <w:tab/>
      </w:r>
      <w:r w:rsidRPr="00B976EA">
        <w:rPr>
          <w:rFonts w:ascii="Century" w:hAnsi="Century"/>
          <w:color w:val="1C1C1C"/>
          <w:sz w:val="17"/>
          <w:szCs w:val="17"/>
        </w:rPr>
        <w:tab/>
        <w:t>Reinsurance</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Res.</w:t>
      </w:r>
      <w:proofErr w:type="gramEnd"/>
      <w:r w:rsidRPr="00B976EA">
        <w:rPr>
          <w:rFonts w:ascii="Century" w:hAnsi="Century"/>
          <w:color w:val="1C1C1C"/>
          <w:sz w:val="17"/>
          <w:szCs w:val="17"/>
        </w:rPr>
        <w:tab/>
      </w:r>
      <w:r w:rsidRPr="00B976EA">
        <w:rPr>
          <w:rFonts w:ascii="Century" w:hAnsi="Century"/>
          <w:color w:val="1C1C1C"/>
          <w:sz w:val="17"/>
          <w:szCs w:val="17"/>
        </w:rPr>
        <w:tab/>
        <w:t>Reserves</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Ret.</w:t>
      </w:r>
      <w:r w:rsidRPr="00B976EA">
        <w:rPr>
          <w:rFonts w:ascii="Century" w:hAnsi="Century"/>
          <w:color w:val="1C1C1C"/>
          <w:sz w:val="17"/>
          <w:szCs w:val="17"/>
        </w:rPr>
        <w:tab/>
      </w:r>
      <w:r w:rsidRPr="00B976EA">
        <w:rPr>
          <w:rFonts w:ascii="Century" w:hAnsi="Century"/>
          <w:color w:val="1C1C1C"/>
          <w:sz w:val="17"/>
          <w:szCs w:val="17"/>
        </w:rPr>
        <w:tab/>
        <w:t>Returns</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RS</w:t>
      </w:r>
      <w:r w:rsidRPr="00B976EA">
        <w:rPr>
          <w:rFonts w:ascii="Century" w:hAnsi="Century"/>
          <w:color w:val="1C1C1C"/>
          <w:sz w:val="17"/>
          <w:szCs w:val="17"/>
        </w:rPr>
        <w:tab/>
      </w:r>
      <w:r w:rsidRPr="00B976EA">
        <w:rPr>
          <w:rFonts w:ascii="Century" w:hAnsi="Century"/>
          <w:color w:val="1C1C1C"/>
          <w:sz w:val="17"/>
          <w:szCs w:val="17"/>
        </w:rPr>
        <w:tab/>
        <w:t>Reinsurers’ Share</w:t>
      </w:r>
    </w:p>
    <w:p w:rsidR="00557ED7" w:rsidRPr="00B976EA" w:rsidRDefault="00D26AA8" w:rsidP="00EB5B32">
      <w:pPr>
        <w:rPr>
          <w:rFonts w:ascii="Century" w:hAnsi="Century"/>
          <w:color w:val="1C1C1C"/>
          <w:sz w:val="17"/>
          <w:szCs w:val="17"/>
        </w:rPr>
      </w:pPr>
      <w:r w:rsidRPr="00B976EA">
        <w:rPr>
          <w:rFonts w:ascii="Century" w:hAnsi="Century"/>
          <w:color w:val="1C1C1C"/>
          <w:sz w:val="17"/>
          <w:szCs w:val="17"/>
        </w:rPr>
        <w:t xml:space="preserve">IIMC </w:t>
      </w:r>
      <w:r w:rsidR="00557ED7" w:rsidRPr="00B976EA">
        <w:rPr>
          <w:rFonts w:ascii="Century" w:hAnsi="Century"/>
          <w:color w:val="1C1C1C"/>
          <w:sz w:val="17"/>
          <w:szCs w:val="17"/>
        </w:rPr>
        <w:tab/>
      </w:r>
      <w:r w:rsidR="00557ED7" w:rsidRPr="00B976EA">
        <w:rPr>
          <w:rFonts w:ascii="Century" w:hAnsi="Century"/>
          <w:color w:val="1C1C1C"/>
          <w:sz w:val="17"/>
          <w:szCs w:val="17"/>
        </w:rPr>
        <w:tab/>
        <w:t xml:space="preserve">Insurance Information and </w:t>
      </w:r>
      <w:r w:rsidR="00BF2C3A" w:rsidRPr="00B976EA">
        <w:rPr>
          <w:rFonts w:ascii="Century" w:hAnsi="Century"/>
          <w:color w:val="1C1C1C"/>
          <w:sz w:val="17"/>
          <w:szCs w:val="17"/>
        </w:rPr>
        <w:t>Monitoring</w:t>
      </w:r>
      <w:r w:rsidR="00557ED7" w:rsidRPr="00B976EA">
        <w:rPr>
          <w:rFonts w:ascii="Century" w:hAnsi="Century"/>
          <w:color w:val="1C1C1C"/>
          <w:sz w:val="17"/>
          <w:szCs w:val="17"/>
        </w:rPr>
        <w:t xml:space="preserve"> Center</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Sh.</w:t>
      </w:r>
      <w:r w:rsidRPr="00B976EA">
        <w:rPr>
          <w:rFonts w:ascii="Century" w:hAnsi="Century"/>
          <w:color w:val="1C1C1C"/>
          <w:sz w:val="17"/>
          <w:szCs w:val="17"/>
        </w:rPr>
        <w:tab/>
      </w:r>
      <w:r w:rsidRPr="00B976EA">
        <w:rPr>
          <w:rFonts w:ascii="Century" w:hAnsi="Century"/>
          <w:color w:val="1C1C1C"/>
          <w:sz w:val="17"/>
          <w:szCs w:val="17"/>
        </w:rPr>
        <w:tab/>
        <w:t>Share</w:t>
      </w:r>
    </w:p>
    <w:p w:rsidR="008B1424" w:rsidRPr="00B976EA" w:rsidRDefault="008B1424" w:rsidP="00EB5B32">
      <w:pPr>
        <w:rPr>
          <w:rFonts w:ascii="Century" w:hAnsi="Century"/>
          <w:color w:val="1C1C1C"/>
          <w:sz w:val="17"/>
          <w:szCs w:val="17"/>
        </w:rPr>
      </w:pPr>
      <w:r w:rsidRPr="00B976EA">
        <w:rPr>
          <w:rFonts w:ascii="Century" w:hAnsi="Century"/>
          <w:color w:val="1C1C1C"/>
          <w:sz w:val="17"/>
          <w:szCs w:val="17"/>
        </w:rPr>
        <w:t>SSA</w:t>
      </w:r>
      <w:r w:rsidRPr="00B976EA">
        <w:rPr>
          <w:rFonts w:ascii="Century" w:hAnsi="Century"/>
          <w:color w:val="1C1C1C"/>
          <w:sz w:val="17"/>
          <w:szCs w:val="17"/>
        </w:rPr>
        <w:tab/>
      </w:r>
      <w:r w:rsidRPr="00B976EA">
        <w:rPr>
          <w:rFonts w:ascii="Century" w:hAnsi="Century"/>
          <w:color w:val="1C1C1C"/>
          <w:sz w:val="17"/>
          <w:szCs w:val="17"/>
        </w:rPr>
        <w:tab/>
        <w:t>Social Security A</w:t>
      </w:r>
      <w:r w:rsidR="00877484" w:rsidRPr="00B976EA">
        <w:rPr>
          <w:rFonts w:ascii="Century" w:hAnsi="Century"/>
          <w:color w:val="1C1C1C"/>
          <w:sz w:val="17"/>
          <w:szCs w:val="17"/>
        </w:rPr>
        <w:t>dministration</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Sub.</w:t>
      </w:r>
      <w:r w:rsidRPr="00B976EA">
        <w:rPr>
          <w:rFonts w:ascii="Century" w:hAnsi="Century"/>
          <w:color w:val="1C1C1C"/>
          <w:sz w:val="17"/>
          <w:szCs w:val="17"/>
        </w:rPr>
        <w:tab/>
      </w:r>
      <w:r w:rsidRPr="00B976EA">
        <w:rPr>
          <w:rFonts w:ascii="Century" w:hAnsi="Century"/>
          <w:color w:val="1C1C1C"/>
          <w:sz w:val="17"/>
          <w:szCs w:val="17"/>
        </w:rPr>
        <w:tab/>
        <w:t>Sub</w:t>
      </w:r>
      <w:r w:rsidR="00607E60" w:rsidRPr="00B976EA">
        <w:rPr>
          <w:rFonts w:ascii="Century" w:hAnsi="Century"/>
          <w:color w:val="1C1C1C"/>
          <w:sz w:val="17"/>
          <w:szCs w:val="17"/>
        </w:rPr>
        <w:t>s</w:t>
      </w:r>
      <w:r w:rsidRPr="00B976EA">
        <w:rPr>
          <w:rFonts w:ascii="Century" w:hAnsi="Century"/>
          <w:color w:val="1C1C1C"/>
          <w:sz w:val="17"/>
          <w:szCs w:val="17"/>
        </w:rPr>
        <w:t>tances</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Tech.</w:t>
      </w:r>
      <w:proofErr w:type="gramEnd"/>
      <w:r w:rsidRPr="00B976EA">
        <w:rPr>
          <w:rFonts w:ascii="Century" w:hAnsi="Century"/>
          <w:color w:val="1C1C1C"/>
          <w:sz w:val="17"/>
          <w:szCs w:val="17"/>
        </w:rPr>
        <w:tab/>
      </w:r>
      <w:r w:rsidRPr="00B976EA">
        <w:rPr>
          <w:rFonts w:ascii="Century" w:hAnsi="Century"/>
          <w:color w:val="1C1C1C"/>
          <w:sz w:val="17"/>
          <w:szCs w:val="17"/>
        </w:rPr>
        <w:tab/>
        <w:t>Technical</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Transf.</w:t>
      </w:r>
      <w:proofErr w:type="gramEnd"/>
      <w:r w:rsidRPr="00B976EA">
        <w:rPr>
          <w:rFonts w:ascii="Century" w:hAnsi="Century"/>
          <w:color w:val="1C1C1C"/>
          <w:sz w:val="17"/>
          <w:szCs w:val="17"/>
        </w:rPr>
        <w:tab/>
      </w:r>
      <w:r w:rsidRPr="00B976EA">
        <w:rPr>
          <w:rFonts w:ascii="Century" w:hAnsi="Century"/>
          <w:color w:val="1C1C1C"/>
          <w:sz w:val="17"/>
          <w:szCs w:val="17"/>
        </w:rPr>
        <w:tab/>
        <w:t>Transferred</w:t>
      </w:r>
    </w:p>
    <w:p w:rsidR="000F7018" w:rsidRPr="00B976EA" w:rsidRDefault="000F7018" w:rsidP="00EB5B32">
      <w:pPr>
        <w:rPr>
          <w:rFonts w:ascii="Century" w:hAnsi="Century"/>
          <w:color w:val="1C1C1C"/>
          <w:sz w:val="17"/>
          <w:szCs w:val="17"/>
        </w:rPr>
      </w:pPr>
      <w:proofErr w:type="gramStart"/>
      <w:r w:rsidRPr="00B976EA">
        <w:rPr>
          <w:rFonts w:ascii="Century" w:hAnsi="Century"/>
          <w:color w:val="1C1C1C"/>
          <w:sz w:val="17"/>
          <w:szCs w:val="17"/>
        </w:rPr>
        <w:t>Transp.</w:t>
      </w:r>
      <w:proofErr w:type="gramEnd"/>
      <w:r w:rsidRPr="00B976EA">
        <w:rPr>
          <w:rFonts w:ascii="Century" w:hAnsi="Century"/>
          <w:color w:val="1C1C1C"/>
          <w:sz w:val="17"/>
          <w:szCs w:val="17"/>
        </w:rPr>
        <w:tab/>
      </w:r>
      <w:r w:rsidRPr="00B976EA">
        <w:rPr>
          <w:rFonts w:ascii="Century" w:hAnsi="Century"/>
          <w:color w:val="1C1C1C"/>
          <w:sz w:val="17"/>
          <w:szCs w:val="17"/>
        </w:rPr>
        <w:tab/>
        <w:t>Transportation</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TARSIM</w:t>
      </w:r>
      <w:r w:rsidR="00557ED7" w:rsidRPr="00B976EA">
        <w:rPr>
          <w:rFonts w:ascii="Century" w:hAnsi="Century"/>
          <w:color w:val="1C1C1C"/>
          <w:sz w:val="17"/>
          <w:szCs w:val="17"/>
        </w:rPr>
        <w:tab/>
      </w:r>
      <w:r w:rsidRPr="00B976EA">
        <w:rPr>
          <w:rFonts w:ascii="Century" w:hAnsi="Century"/>
          <w:color w:val="1C1C1C"/>
          <w:sz w:val="17"/>
          <w:szCs w:val="17"/>
        </w:rPr>
        <w:tab/>
        <w:t>Turkish Agricultural Insurance Pool</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TCIP</w:t>
      </w:r>
      <w:r w:rsidRPr="00B976EA">
        <w:rPr>
          <w:rFonts w:ascii="Century" w:hAnsi="Century"/>
          <w:color w:val="1C1C1C"/>
          <w:sz w:val="17"/>
          <w:szCs w:val="17"/>
        </w:rPr>
        <w:tab/>
      </w:r>
      <w:r w:rsidRPr="00B976EA">
        <w:rPr>
          <w:rFonts w:ascii="Century" w:hAnsi="Century"/>
          <w:color w:val="1C1C1C"/>
          <w:sz w:val="17"/>
          <w:szCs w:val="17"/>
        </w:rPr>
        <w:tab/>
        <w:t>Turkish Catastrophe Insurance Pool</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TPL</w:t>
      </w:r>
      <w:r w:rsidRPr="00B976EA">
        <w:rPr>
          <w:rFonts w:ascii="Century" w:hAnsi="Century"/>
          <w:color w:val="1C1C1C"/>
          <w:sz w:val="17"/>
          <w:szCs w:val="17"/>
        </w:rPr>
        <w:tab/>
      </w:r>
      <w:r w:rsidRPr="00B976EA">
        <w:rPr>
          <w:rFonts w:ascii="Century" w:hAnsi="Century"/>
          <w:color w:val="1C1C1C"/>
          <w:sz w:val="17"/>
          <w:szCs w:val="17"/>
        </w:rPr>
        <w:tab/>
        <w:t>Third Party Liability</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 xml:space="preserve">TSB           </w:t>
      </w:r>
      <w:r w:rsidRPr="00B976EA">
        <w:rPr>
          <w:rFonts w:ascii="Century" w:hAnsi="Century"/>
          <w:color w:val="1C1C1C"/>
          <w:sz w:val="17"/>
          <w:szCs w:val="17"/>
        </w:rPr>
        <w:tab/>
        <w:t>Association of Insurance</w:t>
      </w:r>
      <w:r w:rsidR="00BB041E" w:rsidRPr="00B976EA">
        <w:rPr>
          <w:rFonts w:ascii="Century" w:hAnsi="Century"/>
          <w:color w:val="1C1C1C"/>
          <w:sz w:val="17"/>
          <w:szCs w:val="17"/>
        </w:rPr>
        <w:t>,</w:t>
      </w:r>
      <w:r w:rsidRPr="00B976EA">
        <w:rPr>
          <w:rFonts w:ascii="Century" w:hAnsi="Century"/>
          <w:color w:val="1C1C1C"/>
          <w:sz w:val="17"/>
          <w:szCs w:val="17"/>
        </w:rPr>
        <w:t xml:space="preserve"> Reinsurance </w:t>
      </w:r>
      <w:r w:rsidR="00BB041E" w:rsidRPr="00B976EA">
        <w:rPr>
          <w:rFonts w:ascii="Century" w:hAnsi="Century"/>
          <w:color w:val="1C1C1C"/>
          <w:sz w:val="17"/>
          <w:szCs w:val="17"/>
        </w:rPr>
        <w:t xml:space="preserve">and Pension </w:t>
      </w:r>
      <w:r w:rsidRPr="00B976EA">
        <w:rPr>
          <w:rFonts w:ascii="Century" w:hAnsi="Century"/>
          <w:color w:val="1C1C1C"/>
          <w:sz w:val="17"/>
          <w:szCs w:val="17"/>
        </w:rPr>
        <w:t>Companies of Turkey</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UCCET</w:t>
      </w:r>
      <w:r w:rsidRPr="00B976EA">
        <w:rPr>
          <w:rFonts w:ascii="Century" w:hAnsi="Century"/>
          <w:color w:val="1C1C1C"/>
          <w:sz w:val="17"/>
          <w:szCs w:val="17"/>
        </w:rPr>
        <w:tab/>
      </w:r>
      <w:r w:rsidR="0031185D" w:rsidRPr="00B976EA">
        <w:rPr>
          <w:rFonts w:ascii="Century" w:hAnsi="Century"/>
          <w:color w:val="1C1C1C"/>
          <w:sz w:val="17"/>
          <w:szCs w:val="17"/>
        </w:rPr>
        <w:tab/>
      </w:r>
      <w:proofErr w:type="gramStart"/>
      <w:r w:rsidRPr="00B976EA">
        <w:rPr>
          <w:rFonts w:ascii="Century" w:hAnsi="Century"/>
          <w:color w:val="1C1C1C"/>
          <w:sz w:val="17"/>
          <w:szCs w:val="17"/>
        </w:rPr>
        <w:t>The</w:t>
      </w:r>
      <w:proofErr w:type="gramEnd"/>
      <w:r w:rsidRPr="00B976EA">
        <w:rPr>
          <w:rFonts w:ascii="Century" w:hAnsi="Century"/>
          <w:color w:val="1C1C1C"/>
          <w:sz w:val="17"/>
          <w:szCs w:val="17"/>
        </w:rPr>
        <w:t xml:space="preserve"> Union of Chambers and Commodity of Exchanges of Turkey</w:t>
      </w:r>
    </w:p>
    <w:p w:rsidR="00EB5B32" w:rsidRPr="00B976EA" w:rsidRDefault="00EB5B32" w:rsidP="00EB5B32">
      <w:pPr>
        <w:rPr>
          <w:rFonts w:ascii="Century" w:hAnsi="Century"/>
          <w:color w:val="1C1C1C"/>
          <w:sz w:val="17"/>
          <w:szCs w:val="17"/>
        </w:rPr>
      </w:pPr>
      <w:proofErr w:type="gramStart"/>
      <w:r w:rsidRPr="00B976EA">
        <w:rPr>
          <w:rFonts w:ascii="Century" w:hAnsi="Century"/>
          <w:color w:val="1C1C1C"/>
          <w:sz w:val="17"/>
          <w:szCs w:val="17"/>
        </w:rPr>
        <w:t>Unexp.</w:t>
      </w:r>
      <w:proofErr w:type="gramEnd"/>
      <w:r w:rsidRPr="00B976EA">
        <w:rPr>
          <w:rFonts w:ascii="Century" w:hAnsi="Century"/>
          <w:color w:val="1C1C1C"/>
          <w:sz w:val="17"/>
          <w:szCs w:val="17"/>
        </w:rPr>
        <w:tab/>
      </w:r>
      <w:r w:rsidRPr="00B976EA">
        <w:rPr>
          <w:rFonts w:ascii="Century" w:hAnsi="Century"/>
          <w:color w:val="1C1C1C"/>
          <w:sz w:val="17"/>
          <w:szCs w:val="17"/>
        </w:rPr>
        <w:tab/>
        <w:t>Unexpired</w:t>
      </w:r>
    </w:p>
    <w:p w:rsidR="00EB5B32" w:rsidRPr="00B976EA" w:rsidRDefault="00822B2A" w:rsidP="00EB5B32">
      <w:pPr>
        <w:rPr>
          <w:rFonts w:ascii="Century" w:hAnsi="Century"/>
          <w:color w:val="1C1C1C"/>
          <w:sz w:val="17"/>
          <w:szCs w:val="17"/>
        </w:rPr>
      </w:pPr>
      <w:r w:rsidRPr="00B976EA">
        <w:rPr>
          <w:rFonts w:ascii="Century" w:hAnsi="Century"/>
          <w:color w:val="1C1C1C"/>
          <w:sz w:val="17"/>
          <w:szCs w:val="17"/>
        </w:rPr>
        <w:t>AUR</w:t>
      </w:r>
      <w:r w:rsidR="00EB5B32" w:rsidRPr="00B976EA">
        <w:rPr>
          <w:rFonts w:ascii="Century" w:hAnsi="Century"/>
          <w:color w:val="1C1C1C"/>
          <w:sz w:val="17"/>
          <w:szCs w:val="17"/>
        </w:rPr>
        <w:t>R</w:t>
      </w:r>
      <w:r w:rsidR="00EB5B32" w:rsidRPr="00B976EA">
        <w:rPr>
          <w:rFonts w:ascii="Century" w:hAnsi="Century"/>
          <w:color w:val="1C1C1C"/>
          <w:sz w:val="17"/>
          <w:szCs w:val="17"/>
        </w:rPr>
        <w:tab/>
      </w:r>
      <w:r w:rsidR="00EB5B32" w:rsidRPr="00B976EA">
        <w:rPr>
          <w:rFonts w:ascii="Century" w:hAnsi="Century"/>
          <w:color w:val="1C1C1C"/>
          <w:sz w:val="17"/>
          <w:szCs w:val="17"/>
        </w:rPr>
        <w:tab/>
      </w:r>
      <w:r w:rsidRPr="00B976EA">
        <w:rPr>
          <w:rFonts w:ascii="Century" w:hAnsi="Century"/>
          <w:color w:val="1C1C1C"/>
          <w:sz w:val="17"/>
          <w:szCs w:val="17"/>
        </w:rPr>
        <w:t>Additional Unexpired Risk Reserves</w:t>
      </w:r>
    </w:p>
    <w:p w:rsidR="009854F9" w:rsidRPr="00B976EA" w:rsidRDefault="00EB5B32" w:rsidP="00EB5B32">
      <w:pPr>
        <w:rPr>
          <w:rFonts w:ascii="Century" w:hAnsi="Century"/>
          <w:color w:val="1C1C1C"/>
          <w:sz w:val="17"/>
          <w:szCs w:val="17"/>
        </w:rPr>
      </w:pPr>
      <w:r w:rsidRPr="00B976EA">
        <w:rPr>
          <w:rFonts w:ascii="Century" w:hAnsi="Century"/>
          <w:color w:val="1C1C1C"/>
          <w:sz w:val="17"/>
          <w:szCs w:val="17"/>
        </w:rPr>
        <w:t>URR</w:t>
      </w:r>
      <w:r w:rsidRPr="00B976EA">
        <w:rPr>
          <w:rFonts w:ascii="Century" w:hAnsi="Century"/>
          <w:color w:val="1C1C1C"/>
          <w:sz w:val="17"/>
          <w:szCs w:val="17"/>
        </w:rPr>
        <w:tab/>
      </w:r>
      <w:r w:rsidRPr="00B976EA">
        <w:rPr>
          <w:rFonts w:ascii="Century" w:hAnsi="Century"/>
          <w:color w:val="1C1C1C"/>
          <w:sz w:val="17"/>
          <w:szCs w:val="17"/>
        </w:rPr>
        <w:tab/>
        <w:t>Unexpired Risks Reserves</w:t>
      </w:r>
    </w:p>
    <w:p w:rsidR="00EB5B32" w:rsidRPr="00B976EA" w:rsidRDefault="00EB5B32" w:rsidP="00EB5B32">
      <w:pPr>
        <w:rPr>
          <w:rFonts w:ascii="Century" w:hAnsi="Century"/>
          <w:color w:val="1C1C1C"/>
          <w:sz w:val="17"/>
          <w:szCs w:val="17"/>
        </w:rPr>
      </w:pPr>
      <w:r w:rsidRPr="00B976EA">
        <w:rPr>
          <w:rFonts w:ascii="Century" w:hAnsi="Century"/>
          <w:color w:val="1C1C1C"/>
          <w:sz w:val="17"/>
          <w:szCs w:val="17"/>
        </w:rPr>
        <w:t>TL</w:t>
      </w:r>
      <w:r w:rsidR="000C7CBC" w:rsidRPr="00B976EA">
        <w:rPr>
          <w:rFonts w:ascii="Century" w:hAnsi="Century"/>
          <w:color w:val="1C1C1C"/>
          <w:sz w:val="17"/>
          <w:szCs w:val="17"/>
        </w:rPr>
        <w:t xml:space="preserve"> / </w:t>
      </w:r>
      <w:r w:rsidR="000C7CBC" w:rsidRPr="00B976EA">
        <w:rPr>
          <w:rFonts w:ascii="AbakuTLSymSans" w:hAnsi="AbakuTLSymSans"/>
          <w:color w:val="1C1C1C"/>
          <w:sz w:val="17"/>
          <w:szCs w:val="17"/>
        </w:rPr>
        <w:t>¨</w:t>
      </w:r>
      <w:r w:rsidRPr="00B976EA">
        <w:rPr>
          <w:rFonts w:ascii="Century" w:hAnsi="Century"/>
          <w:color w:val="1C1C1C"/>
          <w:sz w:val="17"/>
          <w:szCs w:val="17"/>
        </w:rPr>
        <w:tab/>
      </w:r>
      <w:r w:rsidRPr="00B976EA">
        <w:rPr>
          <w:rFonts w:ascii="Century" w:hAnsi="Century"/>
          <w:color w:val="1C1C1C"/>
          <w:sz w:val="17"/>
          <w:szCs w:val="17"/>
        </w:rPr>
        <w:tab/>
        <w:t>Turkish Lira</w:t>
      </w:r>
    </w:p>
    <w:p w:rsidR="008B5FB4" w:rsidRDefault="00EB5B32">
      <w:pPr>
        <w:rPr>
          <w:rFonts w:ascii="Century" w:hAnsi="Century"/>
          <w:color w:val="1C1C1C"/>
          <w:sz w:val="17"/>
          <w:szCs w:val="17"/>
          <w:highlight w:val="yellow"/>
        </w:rPr>
      </w:pPr>
      <w:proofErr w:type="gramStart"/>
      <w:r w:rsidRPr="00B976EA">
        <w:rPr>
          <w:rFonts w:ascii="Century" w:hAnsi="Century"/>
          <w:color w:val="1C1C1C"/>
          <w:sz w:val="17"/>
          <w:szCs w:val="17"/>
        </w:rPr>
        <w:t>Veh.</w:t>
      </w:r>
      <w:proofErr w:type="gramEnd"/>
      <w:r w:rsidRPr="00B976EA">
        <w:rPr>
          <w:rFonts w:ascii="Century" w:hAnsi="Century"/>
          <w:color w:val="1C1C1C"/>
          <w:sz w:val="17"/>
          <w:szCs w:val="17"/>
        </w:rPr>
        <w:tab/>
      </w:r>
      <w:r w:rsidRPr="00B976EA">
        <w:rPr>
          <w:rFonts w:ascii="Century" w:hAnsi="Century"/>
          <w:color w:val="1C1C1C"/>
          <w:sz w:val="17"/>
          <w:szCs w:val="17"/>
        </w:rPr>
        <w:tab/>
        <w:t>Vehicles</w:t>
      </w:r>
      <w:r w:rsidR="008B5FB4" w:rsidRPr="00B10D90">
        <w:rPr>
          <w:rFonts w:ascii="Century" w:hAnsi="Century"/>
          <w:color w:val="1C1C1C"/>
          <w:sz w:val="17"/>
          <w:szCs w:val="17"/>
          <w:highlight w:val="yellow"/>
        </w:rPr>
        <w:br w:type="page"/>
      </w:r>
    </w:p>
    <w:p w:rsidR="00634892" w:rsidRDefault="00132570">
      <w:pPr>
        <w:rPr>
          <w:rFonts w:ascii="Century" w:hAnsi="Century"/>
          <w:color w:val="1C1C1C"/>
          <w:sz w:val="17"/>
          <w:szCs w:val="17"/>
          <w:highlight w:val="yellow"/>
        </w:rPr>
      </w:pPr>
      <w:r w:rsidRPr="00132570">
        <w:rPr>
          <w:noProof/>
        </w:rPr>
        <w:lastRenderedPageBreak/>
        <w:drawing>
          <wp:inline distT="0" distB="0" distL="0" distR="0" wp14:anchorId="53883C65" wp14:editId="2C81E109">
            <wp:extent cx="6057900" cy="768700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7687008"/>
                    </a:xfrm>
                    <a:prstGeom prst="rect">
                      <a:avLst/>
                    </a:prstGeom>
                    <a:noFill/>
                    <a:ln>
                      <a:noFill/>
                    </a:ln>
                  </pic:spPr>
                </pic:pic>
              </a:graphicData>
            </a:graphic>
          </wp:inline>
        </w:drawing>
      </w:r>
    </w:p>
    <w:p w:rsidR="00B33DC3" w:rsidRPr="00E37101" w:rsidRDefault="00B33DC3" w:rsidP="00B33DC3">
      <w:pPr>
        <w:jc w:val="both"/>
        <w:rPr>
          <w:rFonts w:ascii="Century" w:hAnsi="Century"/>
          <w:sz w:val="14"/>
          <w:szCs w:val="14"/>
          <w:lang w:val="tr-TR"/>
        </w:rPr>
      </w:pPr>
      <w:r w:rsidRPr="00E37101">
        <w:rPr>
          <w:rFonts w:ascii="Century" w:hAnsi="Century"/>
          <w:sz w:val="16"/>
          <w:szCs w:val="16"/>
          <w:lang w:val="tr-TR"/>
        </w:rPr>
        <w:t xml:space="preserve">(*) </w:t>
      </w:r>
      <w:r w:rsidRPr="00E37101">
        <w:rPr>
          <w:rFonts w:ascii="Century" w:hAnsi="Century"/>
          <w:sz w:val="14"/>
          <w:szCs w:val="14"/>
          <w:lang w:val="tr-TR"/>
        </w:rPr>
        <w:t xml:space="preserve">TÜİK verileridir. </w:t>
      </w:r>
      <w:r w:rsidRPr="00E37101">
        <w:rPr>
          <w:rFonts w:ascii="Century" w:hAnsi="Century"/>
          <w:i/>
          <w:sz w:val="14"/>
          <w:szCs w:val="14"/>
          <w:lang w:val="tr-TR"/>
        </w:rPr>
        <w:t>Data released byTurkish Statistical Institute (TUİK).</w:t>
      </w:r>
    </w:p>
    <w:p w:rsidR="00B33DC3" w:rsidRPr="00E37101" w:rsidRDefault="005C7BD2" w:rsidP="00B33DC3">
      <w:pPr>
        <w:jc w:val="both"/>
        <w:rPr>
          <w:rFonts w:ascii="Century" w:hAnsi="Century"/>
          <w:i/>
          <w:sz w:val="14"/>
          <w:szCs w:val="14"/>
        </w:rPr>
      </w:pPr>
      <w:r w:rsidRPr="00E37101">
        <w:rPr>
          <w:rFonts w:ascii="Century" w:hAnsi="Century"/>
          <w:sz w:val="14"/>
          <w:szCs w:val="14"/>
          <w:lang w:val="tr-TR"/>
        </w:rPr>
        <w:t>(*</w:t>
      </w:r>
      <w:r w:rsidR="00436EDD" w:rsidRPr="00E37101">
        <w:rPr>
          <w:rFonts w:ascii="Century" w:hAnsi="Century"/>
          <w:sz w:val="14"/>
          <w:szCs w:val="14"/>
          <w:lang w:val="tr-TR"/>
        </w:rPr>
        <w:t>*</w:t>
      </w:r>
      <w:r w:rsidRPr="00E37101">
        <w:rPr>
          <w:rFonts w:ascii="Century" w:hAnsi="Century"/>
          <w:sz w:val="14"/>
          <w:szCs w:val="14"/>
          <w:lang w:val="tr-TR"/>
        </w:rPr>
        <w:t>)</w:t>
      </w:r>
      <w:r w:rsidR="0051026D" w:rsidRPr="00E37101">
        <w:rPr>
          <w:rFonts w:ascii="Century" w:hAnsi="Century"/>
          <w:sz w:val="14"/>
          <w:szCs w:val="14"/>
          <w:lang w:val="tr-TR"/>
        </w:rPr>
        <w:t xml:space="preserve"> </w:t>
      </w:r>
      <w:r w:rsidR="00B33DC3" w:rsidRPr="00E37101">
        <w:rPr>
          <w:rFonts w:ascii="Century" w:hAnsi="Century"/>
          <w:sz w:val="14"/>
          <w:szCs w:val="14"/>
          <w:lang w:val="tr-TR"/>
        </w:rPr>
        <w:t>Dünya sigortacılığına ilişkin veriler Sigma Dergisinden (Swiss Re) alınmıştır. ABD doları veriler</w:t>
      </w:r>
      <w:r w:rsidR="00E37101">
        <w:rPr>
          <w:rFonts w:ascii="Century" w:hAnsi="Century"/>
          <w:sz w:val="14"/>
          <w:szCs w:val="14"/>
          <w:lang w:val="tr-TR"/>
        </w:rPr>
        <w:t>i</w:t>
      </w:r>
      <w:r w:rsidR="00B33DC3" w:rsidRPr="00E37101">
        <w:rPr>
          <w:rFonts w:ascii="Century" w:hAnsi="Century"/>
          <w:sz w:val="14"/>
          <w:szCs w:val="14"/>
          <w:lang w:val="tr-TR"/>
        </w:rPr>
        <w:t xml:space="preserve"> yıllık ortalama döviz kurları üzerinden hesaplanmıştır.</w:t>
      </w:r>
      <w:r w:rsidR="00B33DC3" w:rsidRPr="00E37101">
        <w:rPr>
          <w:rFonts w:ascii="Century" w:hAnsi="Century"/>
          <w:i/>
          <w:sz w:val="14"/>
          <w:szCs w:val="14"/>
        </w:rPr>
        <w:t xml:space="preserve"> The global figures for </w:t>
      </w:r>
      <w:r w:rsidR="00FF3265" w:rsidRPr="00E37101">
        <w:rPr>
          <w:rFonts w:ascii="Century" w:hAnsi="Century"/>
          <w:i/>
          <w:sz w:val="14"/>
          <w:szCs w:val="14"/>
        </w:rPr>
        <w:t xml:space="preserve">the World have been </w:t>
      </w:r>
      <w:r w:rsidR="00B33DC3" w:rsidRPr="00E37101">
        <w:rPr>
          <w:rFonts w:ascii="Century" w:hAnsi="Century"/>
          <w:i/>
          <w:sz w:val="14"/>
          <w:szCs w:val="14"/>
        </w:rPr>
        <w:t xml:space="preserve">quoted from </w:t>
      </w:r>
      <w:r w:rsidR="00132570">
        <w:rPr>
          <w:rFonts w:ascii="Century" w:hAnsi="Century"/>
          <w:i/>
          <w:sz w:val="14"/>
          <w:szCs w:val="14"/>
        </w:rPr>
        <w:t xml:space="preserve">Sigma by Swiss Re. </w:t>
      </w:r>
      <w:r w:rsidR="00B33DC3" w:rsidRPr="00E37101">
        <w:rPr>
          <w:rFonts w:ascii="Century" w:hAnsi="Century"/>
          <w:i/>
          <w:sz w:val="14"/>
          <w:szCs w:val="14"/>
        </w:rPr>
        <w:t xml:space="preserve">USD </w:t>
      </w:r>
      <w:r w:rsidR="0066341C" w:rsidRPr="00E37101">
        <w:rPr>
          <w:rFonts w:ascii="Century" w:hAnsi="Century"/>
          <w:i/>
          <w:sz w:val="14"/>
          <w:szCs w:val="14"/>
        </w:rPr>
        <w:t xml:space="preserve">data </w:t>
      </w:r>
      <w:r w:rsidR="00B33DC3" w:rsidRPr="00E37101">
        <w:rPr>
          <w:rFonts w:ascii="Century" w:hAnsi="Century"/>
          <w:i/>
          <w:sz w:val="14"/>
          <w:szCs w:val="14"/>
        </w:rPr>
        <w:t>are calculated by using annual average exchange rates.</w:t>
      </w:r>
    </w:p>
    <w:p w:rsidR="00B50A61" w:rsidRPr="00E37101" w:rsidRDefault="00B33DC3" w:rsidP="009E04AC">
      <w:pPr>
        <w:jc w:val="both"/>
        <w:rPr>
          <w:noProof/>
          <w:lang w:val="tr-TR" w:eastAsia="tr-TR"/>
        </w:rPr>
      </w:pPr>
      <w:r w:rsidRPr="00E37101">
        <w:rPr>
          <w:rFonts w:ascii="Century" w:hAnsi="Century"/>
          <w:sz w:val="14"/>
          <w:szCs w:val="14"/>
        </w:rPr>
        <w:t xml:space="preserve">(***) </w:t>
      </w:r>
      <w:proofErr w:type="gramStart"/>
      <w:r w:rsidRPr="00E37101">
        <w:rPr>
          <w:rFonts w:ascii="Century" w:hAnsi="Century"/>
          <w:sz w:val="14"/>
          <w:szCs w:val="14"/>
        </w:rPr>
        <w:t>Şirketler prim ve katkı payı üretiminde bulundukları gr</w:t>
      </w:r>
      <w:r w:rsidR="00FF3265" w:rsidRPr="00E37101">
        <w:rPr>
          <w:rFonts w:ascii="Century" w:hAnsi="Century"/>
          <w:sz w:val="14"/>
          <w:szCs w:val="14"/>
        </w:rPr>
        <w:t>uplara göre sınıflandırılmıştır.</w:t>
      </w:r>
      <w:proofErr w:type="gramEnd"/>
      <w:r w:rsidRPr="00E37101">
        <w:rPr>
          <w:rFonts w:ascii="Century" w:hAnsi="Century"/>
          <w:sz w:val="14"/>
          <w:szCs w:val="14"/>
        </w:rPr>
        <w:t xml:space="preserve"> </w:t>
      </w:r>
      <w:r w:rsidRPr="00E37101">
        <w:rPr>
          <w:rFonts w:ascii="Century" w:hAnsi="Century"/>
          <w:i/>
          <w:sz w:val="14"/>
          <w:szCs w:val="14"/>
        </w:rPr>
        <w:t>Companies have been classified according to the groups regarding their premium or contribution during the year. Pension companies can also generate life premium.</w:t>
      </w:r>
    </w:p>
    <w:p w:rsidR="00EE36F7" w:rsidRPr="00E37101" w:rsidRDefault="00EE36F7" w:rsidP="00AC75FB">
      <w:pPr>
        <w:jc w:val="both"/>
        <w:rPr>
          <w:noProof/>
          <w:lang w:val="tr-TR" w:eastAsia="tr-TR"/>
        </w:rPr>
      </w:pPr>
    </w:p>
    <w:p w:rsidR="00B318B0" w:rsidRPr="00B10D90" w:rsidRDefault="00B318B0" w:rsidP="00AC75FB">
      <w:pPr>
        <w:jc w:val="both"/>
        <w:rPr>
          <w:rFonts w:ascii="Century" w:hAnsi="Century"/>
          <w:sz w:val="14"/>
          <w:szCs w:val="14"/>
          <w:highlight w:val="yellow"/>
          <w:lang w:val="tr-TR"/>
        </w:rPr>
      </w:pPr>
    </w:p>
    <w:p w:rsidR="00B318B0" w:rsidRPr="00B10D90" w:rsidRDefault="00B318B0" w:rsidP="00AC75FB">
      <w:pPr>
        <w:jc w:val="both"/>
        <w:rPr>
          <w:rFonts w:ascii="Century" w:hAnsi="Century"/>
          <w:sz w:val="14"/>
          <w:szCs w:val="14"/>
          <w:highlight w:val="yellow"/>
          <w:lang w:val="tr-TR"/>
        </w:rPr>
      </w:pPr>
    </w:p>
    <w:p w:rsidR="007C5069" w:rsidRDefault="007C5069" w:rsidP="00AC75FB">
      <w:pPr>
        <w:jc w:val="both"/>
        <w:rPr>
          <w:rFonts w:ascii="Century" w:hAnsi="Century"/>
          <w:sz w:val="14"/>
          <w:szCs w:val="14"/>
          <w:highlight w:val="yellow"/>
          <w:lang w:val="tr-TR"/>
        </w:rPr>
      </w:pPr>
      <w:r w:rsidRPr="007C5069">
        <w:rPr>
          <w:noProof/>
        </w:rPr>
        <w:lastRenderedPageBreak/>
        <w:drawing>
          <wp:inline distT="0" distB="0" distL="0" distR="0" wp14:anchorId="561450A6" wp14:editId="6466E3EB">
            <wp:extent cx="6057900" cy="805830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8058309"/>
                    </a:xfrm>
                    <a:prstGeom prst="rect">
                      <a:avLst/>
                    </a:prstGeom>
                    <a:noFill/>
                    <a:ln>
                      <a:noFill/>
                    </a:ln>
                  </pic:spPr>
                </pic:pic>
              </a:graphicData>
            </a:graphic>
          </wp:inline>
        </w:drawing>
      </w:r>
    </w:p>
    <w:p w:rsidR="00AC75FB" w:rsidRPr="00CA6C46" w:rsidRDefault="00D94917" w:rsidP="00AC75FB">
      <w:pPr>
        <w:jc w:val="both"/>
        <w:rPr>
          <w:sz w:val="14"/>
          <w:szCs w:val="14"/>
        </w:rPr>
      </w:pPr>
      <w:r w:rsidRPr="00CA6C46">
        <w:rPr>
          <w:rFonts w:ascii="Century" w:hAnsi="Century"/>
          <w:sz w:val="14"/>
          <w:szCs w:val="14"/>
          <w:lang w:val="tr-TR"/>
        </w:rPr>
        <w:t>(*)</w:t>
      </w:r>
      <w:r w:rsidR="00DB547F" w:rsidRPr="00CA6C46">
        <w:rPr>
          <w:rFonts w:ascii="Century" w:hAnsi="Century"/>
          <w:sz w:val="14"/>
          <w:szCs w:val="14"/>
          <w:lang w:val="tr-TR"/>
        </w:rPr>
        <w:t>SGK</w:t>
      </w:r>
      <w:r w:rsidR="00250877" w:rsidRPr="00CA6C46">
        <w:rPr>
          <w:rFonts w:ascii="Century" w:hAnsi="Century"/>
          <w:sz w:val="14"/>
          <w:szCs w:val="14"/>
          <w:lang w:val="tr-TR"/>
        </w:rPr>
        <w:t>’ya devredilen tedavi</w:t>
      </w:r>
      <w:r w:rsidR="00DB547F" w:rsidRPr="00CA6C46">
        <w:rPr>
          <w:rFonts w:ascii="Century" w:hAnsi="Century"/>
          <w:sz w:val="14"/>
          <w:szCs w:val="14"/>
          <w:lang w:val="tr-TR"/>
        </w:rPr>
        <w:t xml:space="preserve"> teminatlar</w:t>
      </w:r>
      <w:r w:rsidR="00DC63D3" w:rsidRPr="00CA6C46">
        <w:rPr>
          <w:rFonts w:ascii="Century" w:hAnsi="Century"/>
          <w:sz w:val="14"/>
          <w:szCs w:val="14"/>
          <w:lang w:val="tr-TR"/>
        </w:rPr>
        <w:t>ı</w:t>
      </w:r>
      <w:r w:rsidR="00DB547F" w:rsidRPr="00CA6C46">
        <w:rPr>
          <w:rFonts w:ascii="Century" w:hAnsi="Century"/>
          <w:sz w:val="14"/>
          <w:szCs w:val="14"/>
          <w:lang w:val="tr-TR"/>
        </w:rPr>
        <w:t xml:space="preserve"> </w:t>
      </w:r>
      <w:r w:rsidR="00250877" w:rsidRPr="00CA6C46">
        <w:rPr>
          <w:rFonts w:ascii="Century" w:hAnsi="Century"/>
          <w:sz w:val="14"/>
          <w:szCs w:val="14"/>
          <w:lang w:val="tr-TR"/>
        </w:rPr>
        <w:t xml:space="preserve">toplam teminat tutarına </w:t>
      </w:r>
      <w:proofErr w:type="gramStart"/>
      <w:r w:rsidR="00DB547F" w:rsidRPr="00CA6C46">
        <w:rPr>
          <w:rFonts w:ascii="Century" w:hAnsi="Century"/>
          <w:sz w:val="14"/>
          <w:szCs w:val="14"/>
          <w:lang w:val="tr-TR"/>
        </w:rPr>
        <w:t>dahil</w:t>
      </w:r>
      <w:proofErr w:type="gramEnd"/>
      <w:r w:rsidR="00DB547F" w:rsidRPr="00CA6C46">
        <w:rPr>
          <w:rFonts w:ascii="Century" w:hAnsi="Century"/>
          <w:sz w:val="14"/>
          <w:szCs w:val="14"/>
          <w:lang w:val="tr-TR"/>
        </w:rPr>
        <w:t xml:space="preserve"> edilmiştir.</w:t>
      </w:r>
      <w:r w:rsidR="00983AF4" w:rsidRPr="00CA6C46">
        <w:rPr>
          <w:rFonts w:ascii="Century" w:hAnsi="Century"/>
          <w:sz w:val="14"/>
          <w:szCs w:val="14"/>
        </w:rPr>
        <w:t xml:space="preserve"> </w:t>
      </w:r>
      <w:r w:rsidR="00DB547F" w:rsidRPr="00CA6C46">
        <w:rPr>
          <w:rFonts w:ascii="Century" w:hAnsi="Century"/>
          <w:i/>
          <w:sz w:val="14"/>
          <w:szCs w:val="14"/>
        </w:rPr>
        <w:t>Total</w:t>
      </w:r>
      <w:r w:rsidR="003C6CB9" w:rsidRPr="00CA6C46">
        <w:rPr>
          <w:rFonts w:ascii="Century" w:hAnsi="Century"/>
          <w:i/>
          <w:sz w:val="14"/>
          <w:szCs w:val="14"/>
        </w:rPr>
        <w:t xml:space="preserve"> insurance</w:t>
      </w:r>
      <w:r w:rsidR="00DB547F" w:rsidRPr="00CA6C46">
        <w:rPr>
          <w:rFonts w:ascii="Century" w:hAnsi="Century"/>
          <w:i/>
          <w:sz w:val="14"/>
          <w:szCs w:val="14"/>
        </w:rPr>
        <w:t xml:space="preserve"> coverage </w:t>
      </w:r>
      <w:r w:rsidR="004F50E7" w:rsidRPr="00CA6C46">
        <w:rPr>
          <w:rFonts w:ascii="Century" w:hAnsi="Century"/>
          <w:i/>
          <w:sz w:val="14"/>
          <w:szCs w:val="14"/>
        </w:rPr>
        <w:t xml:space="preserve">amount </w:t>
      </w:r>
      <w:r w:rsidR="003D1239" w:rsidRPr="00CA6C46">
        <w:rPr>
          <w:rFonts w:ascii="Century" w:hAnsi="Century"/>
          <w:i/>
          <w:sz w:val="14"/>
          <w:szCs w:val="14"/>
        </w:rPr>
        <w:t xml:space="preserve">includes </w:t>
      </w:r>
      <w:r w:rsidR="00DB547F" w:rsidRPr="00CA6C46">
        <w:rPr>
          <w:rFonts w:ascii="Century" w:hAnsi="Century"/>
          <w:i/>
          <w:sz w:val="14"/>
          <w:szCs w:val="14"/>
        </w:rPr>
        <w:t>treatment costs coverage transferred to</w:t>
      </w:r>
      <w:r w:rsidR="00DC63D3" w:rsidRPr="00CA6C46">
        <w:rPr>
          <w:rFonts w:ascii="Century" w:hAnsi="Century"/>
          <w:i/>
          <w:sz w:val="14"/>
          <w:szCs w:val="14"/>
        </w:rPr>
        <w:t xml:space="preserve"> Social Security Administration</w:t>
      </w:r>
      <w:r w:rsidR="00250877" w:rsidRPr="00CA6C46">
        <w:rPr>
          <w:rFonts w:ascii="Century" w:hAnsi="Century"/>
          <w:i/>
          <w:sz w:val="14"/>
          <w:szCs w:val="14"/>
        </w:rPr>
        <w:t>.</w:t>
      </w:r>
      <w:r w:rsidR="002B347C" w:rsidRPr="00CA6C46">
        <w:rPr>
          <w:sz w:val="14"/>
          <w:szCs w:val="14"/>
        </w:rPr>
        <w:t xml:space="preserve"> </w:t>
      </w:r>
    </w:p>
    <w:p w:rsidR="00583B7A" w:rsidRPr="00B10D90" w:rsidRDefault="00583B7A" w:rsidP="00AC75FB">
      <w:pPr>
        <w:jc w:val="both"/>
        <w:rPr>
          <w:sz w:val="14"/>
          <w:szCs w:val="14"/>
          <w:highlight w:val="yellow"/>
        </w:rPr>
      </w:pPr>
    </w:p>
    <w:p w:rsidR="007E2288" w:rsidRPr="00B10D90" w:rsidRDefault="007E2288" w:rsidP="00AC75FB">
      <w:pPr>
        <w:jc w:val="both"/>
        <w:rPr>
          <w:sz w:val="14"/>
          <w:szCs w:val="14"/>
          <w:highlight w:val="yellow"/>
        </w:rPr>
        <w:sectPr w:rsidR="007E2288" w:rsidRPr="00B10D90" w:rsidSect="00E27771">
          <w:headerReference w:type="first" r:id="rId19"/>
          <w:pgSz w:w="11906" w:h="16838"/>
          <w:pgMar w:top="1440" w:right="926" w:bottom="1440" w:left="1440" w:header="708" w:footer="624" w:gutter="0"/>
          <w:pgNumType w:fmt="lowerRoman"/>
          <w:cols w:space="708"/>
          <w:docGrid w:linePitch="360"/>
        </w:sectPr>
      </w:pPr>
    </w:p>
    <w:p w:rsidR="00583B7A" w:rsidRPr="00B10D90" w:rsidRDefault="00583B7A" w:rsidP="00AC75FB">
      <w:pPr>
        <w:jc w:val="both"/>
        <w:rPr>
          <w:sz w:val="14"/>
          <w:szCs w:val="14"/>
          <w:highlight w:val="yellow"/>
        </w:rPr>
        <w:sectPr w:rsidR="00583B7A" w:rsidRPr="00B10D90" w:rsidSect="00E27771">
          <w:pgSz w:w="11906" w:h="16838"/>
          <w:pgMar w:top="1440" w:right="926" w:bottom="1440" w:left="1440" w:header="708" w:footer="624" w:gutter="0"/>
          <w:pgNumType w:fmt="lowerRoman"/>
          <w:cols w:space="708"/>
          <w:docGrid w:linePitch="360"/>
        </w:sectPr>
      </w:pPr>
    </w:p>
    <w:tbl>
      <w:tblPr>
        <w:tblW w:w="9858" w:type="dxa"/>
        <w:tblInd w:w="-252" w:type="dxa"/>
        <w:tblLayout w:type="fixed"/>
        <w:tblLook w:val="04A0" w:firstRow="1" w:lastRow="0" w:firstColumn="1" w:lastColumn="0" w:noHBand="0" w:noVBand="1"/>
      </w:tblPr>
      <w:tblGrid>
        <w:gridCol w:w="4760"/>
        <w:gridCol w:w="57"/>
        <w:gridCol w:w="23"/>
        <w:gridCol w:w="40"/>
        <w:gridCol w:w="6"/>
        <w:gridCol w:w="31"/>
        <w:gridCol w:w="116"/>
        <w:gridCol w:w="20"/>
        <w:gridCol w:w="82"/>
        <w:gridCol w:w="18"/>
        <w:gridCol w:w="17"/>
        <w:gridCol w:w="4615"/>
        <w:gridCol w:w="12"/>
        <w:gridCol w:w="23"/>
        <w:gridCol w:w="18"/>
        <w:gridCol w:w="20"/>
      </w:tblGrid>
      <w:tr w:rsidR="00195B16" w:rsidRPr="00B10D90" w:rsidTr="00441D50">
        <w:trPr>
          <w:gridAfter w:val="2"/>
          <w:wAfter w:w="38" w:type="dxa"/>
          <w:trHeight w:val="351"/>
        </w:trPr>
        <w:tc>
          <w:tcPr>
            <w:tcW w:w="4817" w:type="dxa"/>
            <w:gridSpan w:val="2"/>
          </w:tcPr>
          <w:p w:rsidR="00195B16" w:rsidRPr="005645B1" w:rsidRDefault="00195B16" w:rsidP="003B729C">
            <w:pPr>
              <w:pStyle w:val="Style2"/>
              <w:numPr>
                <w:ilvl w:val="0"/>
                <w:numId w:val="1"/>
              </w:numPr>
              <w:tabs>
                <w:tab w:val="clear" w:pos="752"/>
                <w:tab w:val="num" w:pos="492"/>
              </w:tabs>
              <w:spacing w:before="0" w:after="0"/>
              <w:ind w:left="492" w:hanging="480"/>
              <w:jc w:val="both"/>
              <w:rPr>
                <w:color w:val="000080"/>
                <w:sz w:val="22"/>
                <w:szCs w:val="22"/>
              </w:rPr>
            </w:pPr>
            <w:bookmarkStart w:id="148" w:name="_Toc12957652"/>
            <w:r w:rsidRPr="005645B1">
              <w:rPr>
                <w:color w:val="000080"/>
                <w:sz w:val="22"/>
                <w:szCs w:val="22"/>
              </w:rPr>
              <w:lastRenderedPageBreak/>
              <w:t>TEMEL GÖSTERGELER</w:t>
            </w:r>
            <w:bookmarkEnd w:id="148"/>
          </w:p>
          <w:p w:rsidR="00195B16" w:rsidRPr="005645B1" w:rsidRDefault="00195B16" w:rsidP="003B729C">
            <w:pPr>
              <w:pStyle w:val="Style2"/>
              <w:numPr>
                <w:ilvl w:val="0"/>
                <w:numId w:val="0"/>
              </w:numPr>
              <w:tabs>
                <w:tab w:val="num" w:pos="492"/>
              </w:tabs>
              <w:spacing w:before="0" w:after="0"/>
              <w:ind w:left="180" w:hanging="168"/>
              <w:jc w:val="both"/>
              <w:rPr>
                <w:color w:val="000080"/>
                <w:sz w:val="22"/>
                <w:szCs w:val="22"/>
              </w:rPr>
            </w:pPr>
          </w:p>
          <w:p w:rsidR="00195B16" w:rsidRPr="005645B1" w:rsidRDefault="00195B16" w:rsidP="003B729C">
            <w:pPr>
              <w:pStyle w:val="Heading2"/>
              <w:numPr>
                <w:ilvl w:val="1"/>
                <w:numId w:val="1"/>
              </w:numPr>
              <w:tabs>
                <w:tab w:val="num" w:pos="492"/>
              </w:tabs>
              <w:spacing w:before="0" w:after="0"/>
              <w:ind w:left="170" w:hanging="168"/>
              <w:jc w:val="both"/>
              <w:rPr>
                <w:rFonts w:ascii="Century" w:hAnsi="Century"/>
                <w:i w:val="0"/>
                <w:color w:val="000080"/>
                <w:sz w:val="22"/>
                <w:szCs w:val="22"/>
              </w:rPr>
            </w:pPr>
            <w:bookmarkStart w:id="149" w:name="_Toc12957653"/>
            <w:r w:rsidRPr="005645B1">
              <w:rPr>
                <w:rFonts w:ascii="Century" w:hAnsi="Century"/>
                <w:i w:val="0"/>
                <w:color w:val="000080"/>
                <w:sz w:val="22"/>
                <w:szCs w:val="22"/>
              </w:rPr>
              <w:t>Türkiye Ekonomisindeki Gelişmeler</w:t>
            </w:r>
            <w:bookmarkEnd w:id="149"/>
          </w:p>
          <w:p w:rsidR="00195B16" w:rsidRPr="005645B1" w:rsidRDefault="00195B16" w:rsidP="003B729C">
            <w:pPr>
              <w:pStyle w:val="Style2"/>
              <w:numPr>
                <w:ilvl w:val="0"/>
                <w:numId w:val="0"/>
              </w:numPr>
              <w:spacing w:before="0" w:after="0"/>
              <w:ind w:left="492"/>
              <w:jc w:val="both"/>
              <w:rPr>
                <w:color w:val="000080"/>
                <w:sz w:val="22"/>
                <w:szCs w:val="22"/>
              </w:rPr>
            </w:pPr>
          </w:p>
          <w:p w:rsidR="00195B16" w:rsidRPr="005645B1" w:rsidRDefault="00195B16" w:rsidP="003B729C">
            <w:pPr>
              <w:jc w:val="both"/>
              <w:rPr>
                <w:rFonts w:ascii="Century" w:hAnsi="Century"/>
                <w:sz w:val="22"/>
                <w:szCs w:val="22"/>
                <w:lang w:eastAsia="tr-TR"/>
              </w:rPr>
            </w:pPr>
            <w:r w:rsidRPr="005645B1">
              <w:rPr>
                <w:rFonts w:ascii="Century" w:hAnsi="Century"/>
                <w:sz w:val="22"/>
                <w:szCs w:val="22"/>
                <w:lang w:eastAsia="tr-TR"/>
              </w:rPr>
              <w:t>TÜİK verilerine göre Türkiye’de Gayri</w:t>
            </w:r>
            <w:r w:rsidR="00A967FD" w:rsidRPr="005645B1">
              <w:rPr>
                <w:rFonts w:ascii="Century" w:hAnsi="Century"/>
                <w:sz w:val="22"/>
                <w:szCs w:val="22"/>
                <w:lang w:eastAsia="tr-TR"/>
              </w:rPr>
              <w:t xml:space="preserve"> Safi Yurtiçi Hasıla (GSYH) 201</w:t>
            </w:r>
            <w:r w:rsidR="005645B1" w:rsidRPr="005645B1">
              <w:rPr>
                <w:rFonts w:ascii="Century" w:hAnsi="Century"/>
                <w:sz w:val="22"/>
                <w:szCs w:val="22"/>
                <w:lang w:eastAsia="tr-TR"/>
              </w:rPr>
              <w:t>8</w:t>
            </w:r>
            <w:r w:rsidRPr="005645B1">
              <w:rPr>
                <w:rFonts w:ascii="Century" w:hAnsi="Century"/>
                <w:sz w:val="22"/>
                <w:szCs w:val="22"/>
                <w:lang w:eastAsia="tr-TR"/>
              </w:rPr>
              <w:t xml:space="preserve"> yılında cari fiyatlarla </w:t>
            </w:r>
            <w:r w:rsidR="00A967FD" w:rsidRPr="005645B1">
              <w:rPr>
                <w:rFonts w:ascii="Century" w:hAnsi="Century"/>
                <w:sz w:val="22"/>
                <w:szCs w:val="22"/>
                <w:lang w:eastAsia="tr-TR"/>
              </w:rPr>
              <w:t>3</w:t>
            </w:r>
            <w:r w:rsidRPr="005645B1">
              <w:rPr>
                <w:rFonts w:ascii="Century" w:hAnsi="Century"/>
                <w:sz w:val="22"/>
                <w:szCs w:val="22"/>
                <w:lang w:eastAsia="tr-TR"/>
              </w:rPr>
              <w:t>,</w:t>
            </w:r>
            <w:r w:rsidR="005645B1" w:rsidRPr="005645B1">
              <w:rPr>
                <w:rFonts w:ascii="Century" w:hAnsi="Century"/>
                <w:sz w:val="22"/>
                <w:szCs w:val="22"/>
                <w:lang w:eastAsia="tr-TR"/>
              </w:rPr>
              <w:t>7</w:t>
            </w:r>
            <w:r w:rsidRPr="005645B1">
              <w:rPr>
                <w:rFonts w:ascii="Century" w:hAnsi="Century"/>
                <w:sz w:val="22"/>
                <w:szCs w:val="22"/>
                <w:lang w:eastAsia="tr-TR"/>
              </w:rPr>
              <w:t xml:space="preserve"> trilyon TL olarak gerçekleşmiş</w:t>
            </w:r>
            <w:r w:rsidR="00DC63D3" w:rsidRPr="005645B1">
              <w:rPr>
                <w:rFonts w:ascii="Century" w:hAnsi="Century"/>
                <w:sz w:val="22"/>
                <w:szCs w:val="22"/>
                <w:lang w:eastAsia="tr-TR"/>
              </w:rPr>
              <w:t xml:space="preserve">, </w:t>
            </w:r>
            <w:r w:rsidR="00541678" w:rsidRPr="005645B1">
              <w:rPr>
                <w:rFonts w:ascii="Century" w:hAnsi="Century"/>
                <w:sz w:val="22"/>
                <w:szCs w:val="22"/>
              </w:rPr>
              <w:t xml:space="preserve">Zincirlenmiş Hacim </w:t>
            </w:r>
            <w:r w:rsidR="00DC63D3" w:rsidRPr="005645B1">
              <w:rPr>
                <w:rFonts w:ascii="Century" w:hAnsi="Century"/>
                <w:sz w:val="22"/>
                <w:szCs w:val="22"/>
              </w:rPr>
              <w:t xml:space="preserve">Endeksi GSYH ise </w:t>
            </w:r>
            <w:r w:rsidRPr="005645B1">
              <w:rPr>
                <w:rFonts w:ascii="Century" w:hAnsi="Century"/>
                <w:sz w:val="22"/>
                <w:szCs w:val="22"/>
                <w:lang w:eastAsia="tr-TR"/>
              </w:rPr>
              <w:t>%</w:t>
            </w:r>
            <w:r w:rsidR="005645B1" w:rsidRPr="005645B1">
              <w:rPr>
                <w:rFonts w:ascii="Century" w:hAnsi="Century"/>
                <w:sz w:val="22"/>
                <w:szCs w:val="22"/>
                <w:lang w:eastAsia="tr-TR"/>
              </w:rPr>
              <w:t>2</w:t>
            </w:r>
            <w:r w:rsidRPr="005645B1">
              <w:rPr>
                <w:rFonts w:ascii="Century" w:hAnsi="Century"/>
                <w:sz w:val="22"/>
                <w:szCs w:val="22"/>
                <w:lang w:eastAsia="tr-TR"/>
              </w:rPr>
              <w:t>,</w:t>
            </w:r>
            <w:r w:rsidR="005645B1" w:rsidRPr="005645B1">
              <w:rPr>
                <w:rFonts w:ascii="Century" w:hAnsi="Century"/>
                <w:sz w:val="22"/>
                <w:szCs w:val="22"/>
                <w:lang w:eastAsia="tr-TR"/>
              </w:rPr>
              <w:t>6</w:t>
            </w:r>
            <w:r w:rsidRPr="005645B1">
              <w:rPr>
                <w:rFonts w:ascii="Century" w:hAnsi="Century"/>
                <w:sz w:val="22"/>
                <w:szCs w:val="22"/>
                <w:lang w:eastAsia="tr-TR"/>
              </w:rPr>
              <w:t xml:space="preserve"> oranında artışla 1</w:t>
            </w:r>
            <w:r w:rsidR="0006672C" w:rsidRPr="005645B1">
              <w:rPr>
                <w:rFonts w:ascii="Century" w:hAnsi="Century"/>
                <w:sz w:val="22"/>
                <w:szCs w:val="22"/>
                <w:lang w:eastAsia="tr-TR"/>
              </w:rPr>
              <w:t>,</w:t>
            </w:r>
            <w:r w:rsidR="00A967FD" w:rsidRPr="005645B1">
              <w:rPr>
                <w:rFonts w:ascii="Century" w:hAnsi="Century"/>
                <w:sz w:val="22"/>
                <w:szCs w:val="22"/>
                <w:lang w:eastAsia="tr-TR"/>
              </w:rPr>
              <w:t>7</w:t>
            </w:r>
            <w:r w:rsidR="005645B1" w:rsidRPr="005645B1">
              <w:rPr>
                <w:rFonts w:ascii="Century" w:hAnsi="Century"/>
                <w:sz w:val="22"/>
                <w:szCs w:val="22"/>
                <w:lang w:eastAsia="tr-TR"/>
              </w:rPr>
              <w:t>4</w:t>
            </w:r>
            <w:r w:rsidR="0006672C" w:rsidRPr="005645B1">
              <w:rPr>
                <w:rFonts w:ascii="Century" w:hAnsi="Century"/>
                <w:sz w:val="22"/>
                <w:szCs w:val="22"/>
                <w:lang w:eastAsia="tr-TR"/>
              </w:rPr>
              <w:t xml:space="preserve"> </w:t>
            </w:r>
            <w:r w:rsidRPr="005645B1">
              <w:rPr>
                <w:rFonts w:ascii="Century" w:hAnsi="Century"/>
                <w:sz w:val="22"/>
                <w:szCs w:val="22"/>
                <w:lang w:eastAsia="tr-TR"/>
              </w:rPr>
              <w:t>milyar TL’ye yükselmiştir. Aynı dönemde kişi başına milli gelir cari fiyatlarla %</w:t>
            </w:r>
            <w:r w:rsidR="00E66FE6" w:rsidRPr="005645B1">
              <w:rPr>
                <w:rFonts w:ascii="Century" w:hAnsi="Century"/>
                <w:color w:val="000000"/>
                <w:sz w:val="22"/>
                <w:szCs w:val="22"/>
                <w:lang w:eastAsia="tr-TR"/>
              </w:rPr>
              <w:t>1</w:t>
            </w:r>
            <w:r w:rsidR="00641299" w:rsidRPr="005645B1">
              <w:rPr>
                <w:rFonts w:ascii="Century" w:hAnsi="Century"/>
                <w:color w:val="000000"/>
                <w:sz w:val="22"/>
                <w:szCs w:val="22"/>
                <w:lang w:eastAsia="tr-TR"/>
              </w:rPr>
              <w:t>7</w:t>
            </w:r>
            <w:proofErr w:type="gramStart"/>
            <w:r w:rsidR="00E66FE6" w:rsidRPr="005645B1">
              <w:rPr>
                <w:rFonts w:ascii="Century" w:hAnsi="Century"/>
                <w:color w:val="000000"/>
                <w:sz w:val="22"/>
                <w:szCs w:val="22"/>
                <w:lang w:eastAsia="tr-TR"/>
              </w:rPr>
              <w:t>,</w:t>
            </w:r>
            <w:r w:rsidR="005645B1" w:rsidRPr="005645B1">
              <w:rPr>
                <w:rFonts w:ascii="Century" w:hAnsi="Century"/>
                <w:color w:val="000000"/>
                <w:sz w:val="22"/>
                <w:szCs w:val="22"/>
                <w:lang w:eastAsia="tr-TR"/>
              </w:rPr>
              <w:t>6</w:t>
            </w:r>
            <w:proofErr w:type="gramEnd"/>
            <w:r w:rsidR="00641299" w:rsidRPr="005645B1">
              <w:rPr>
                <w:rFonts w:ascii="Century" w:hAnsi="Century"/>
                <w:color w:val="000000"/>
                <w:sz w:val="22"/>
                <w:szCs w:val="22"/>
                <w:lang w:eastAsia="tr-TR"/>
              </w:rPr>
              <w:t xml:space="preserve"> oranında artışla </w:t>
            </w:r>
            <w:r w:rsidR="005645B1" w:rsidRPr="005645B1">
              <w:rPr>
                <w:rFonts w:ascii="Century" w:hAnsi="Century"/>
                <w:color w:val="000000"/>
                <w:sz w:val="22"/>
                <w:szCs w:val="22"/>
                <w:lang w:eastAsia="tr-TR"/>
              </w:rPr>
              <w:t>45</w:t>
            </w:r>
            <w:r w:rsidRPr="005645B1">
              <w:rPr>
                <w:rFonts w:ascii="Century" w:hAnsi="Century"/>
                <w:color w:val="000000"/>
                <w:sz w:val="22"/>
                <w:szCs w:val="22"/>
                <w:lang w:eastAsia="tr-TR"/>
              </w:rPr>
              <w:t>.</w:t>
            </w:r>
            <w:r w:rsidR="005645B1" w:rsidRPr="005645B1">
              <w:rPr>
                <w:rFonts w:ascii="Century" w:hAnsi="Century"/>
                <w:color w:val="000000"/>
                <w:sz w:val="22"/>
                <w:szCs w:val="22"/>
                <w:lang w:eastAsia="tr-TR"/>
              </w:rPr>
              <w:t>4</w:t>
            </w:r>
            <w:r w:rsidR="00641299" w:rsidRPr="005645B1">
              <w:rPr>
                <w:rFonts w:ascii="Century" w:hAnsi="Century"/>
                <w:color w:val="000000"/>
                <w:sz w:val="22"/>
                <w:szCs w:val="22"/>
                <w:lang w:eastAsia="tr-TR"/>
              </w:rPr>
              <w:t>6</w:t>
            </w:r>
            <w:r w:rsidR="005645B1" w:rsidRPr="005645B1">
              <w:rPr>
                <w:rFonts w:ascii="Century" w:hAnsi="Century"/>
                <w:color w:val="000000"/>
                <w:sz w:val="22"/>
                <w:szCs w:val="22"/>
                <w:lang w:eastAsia="tr-TR"/>
              </w:rPr>
              <w:t>3</w:t>
            </w:r>
            <w:r w:rsidRPr="005645B1">
              <w:rPr>
                <w:rFonts w:ascii="Century" w:hAnsi="Century"/>
                <w:color w:val="000000"/>
                <w:sz w:val="22"/>
                <w:szCs w:val="22"/>
                <w:lang w:eastAsia="tr-TR"/>
              </w:rPr>
              <w:t xml:space="preserve"> TL</w:t>
            </w:r>
            <w:r w:rsidR="00DC63D3" w:rsidRPr="005645B1">
              <w:rPr>
                <w:rFonts w:ascii="Century" w:hAnsi="Century"/>
                <w:color w:val="000000"/>
                <w:sz w:val="22"/>
                <w:szCs w:val="22"/>
                <w:lang w:eastAsia="tr-TR"/>
              </w:rPr>
              <w:t>’ye yükselmiş</w:t>
            </w:r>
            <w:r w:rsidR="00831099" w:rsidRPr="005645B1">
              <w:rPr>
                <w:rFonts w:ascii="Century" w:hAnsi="Century"/>
                <w:color w:val="000000"/>
                <w:sz w:val="22"/>
                <w:szCs w:val="22"/>
                <w:lang w:eastAsia="tr-TR"/>
              </w:rPr>
              <w:t xml:space="preserve"> iken ABD</w:t>
            </w:r>
            <w:r w:rsidR="00DC63D3" w:rsidRPr="005645B1">
              <w:rPr>
                <w:rFonts w:ascii="Century" w:hAnsi="Century"/>
                <w:color w:val="000000"/>
                <w:sz w:val="22"/>
                <w:szCs w:val="22"/>
                <w:lang w:eastAsia="tr-TR"/>
              </w:rPr>
              <w:t xml:space="preserve"> </w:t>
            </w:r>
            <w:r w:rsidRPr="005645B1">
              <w:rPr>
                <w:rFonts w:ascii="Century" w:hAnsi="Century"/>
                <w:sz w:val="22"/>
                <w:szCs w:val="22"/>
                <w:lang w:eastAsia="tr-TR"/>
              </w:rPr>
              <w:t>dolar</w:t>
            </w:r>
            <w:r w:rsidR="00831099" w:rsidRPr="005645B1">
              <w:rPr>
                <w:rFonts w:ascii="Century" w:hAnsi="Century"/>
                <w:sz w:val="22"/>
                <w:szCs w:val="22"/>
                <w:lang w:eastAsia="tr-TR"/>
              </w:rPr>
              <w:t>ı</w:t>
            </w:r>
            <w:r w:rsidR="00641299" w:rsidRPr="005645B1">
              <w:rPr>
                <w:rFonts w:ascii="Century" w:hAnsi="Century"/>
                <w:sz w:val="22"/>
                <w:szCs w:val="22"/>
                <w:lang w:eastAsia="tr-TR"/>
              </w:rPr>
              <w:t xml:space="preserve"> bazında %</w:t>
            </w:r>
            <w:r w:rsidR="005645B1" w:rsidRPr="005645B1">
              <w:rPr>
                <w:rFonts w:ascii="Century" w:hAnsi="Century"/>
                <w:sz w:val="22"/>
                <w:szCs w:val="22"/>
                <w:lang w:eastAsia="tr-TR"/>
              </w:rPr>
              <w:t>9</w:t>
            </w:r>
            <w:r w:rsidRPr="005645B1">
              <w:rPr>
                <w:rFonts w:ascii="Century" w:hAnsi="Century"/>
                <w:sz w:val="22"/>
                <w:szCs w:val="22"/>
                <w:lang w:eastAsia="tr-TR"/>
              </w:rPr>
              <w:t>,</w:t>
            </w:r>
            <w:r w:rsidR="005645B1" w:rsidRPr="005645B1">
              <w:rPr>
                <w:rFonts w:ascii="Century" w:hAnsi="Century"/>
                <w:sz w:val="22"/>
                <w:szCs w:val="22"/>
                <w:lang w:eastAsia="tr-TR"/>
              </w:rPr>
              <w:t>1</w:t>
            </w:r>
            <w:r w:rsidRPr="005645B1">
              <w:rPr>
                <w:rFonts w:ascii="Century" w:hAnsi="Century"/>
                <w:sz w:val="22"/>
                <w:szCs w:val="22"/>
                <w:lang w:eastAsia="tr-TR"/>
              </w:rPr>
              <w:t xml:space="preserve"> oranında azalışla </w:t>
            </w:r>
            <w:r w:rsidR="005645B1" w:rsidRPr="005645B1">
              <w:rPr>
                <w:rFonts w:ascii="Century" w:hAnsi="Century"/>
                <w:sz w:val="22"/>
                <w:szCs w:val="22"/>
                <w:lang w:eastAsia="tr-TR"/>
              </w:rPr>
              <w:t>9</w:t>
            </w:r>
            <w:r w:rsidRPr="005645B1">
              <w:rPr>
                <w:rFonts w:ascii="Century" w:hAnsi="Century"/>
                <w:sz w:val="22"/>
                <w:szCs w:val="22"/>
                <w:lang w:eastAsia="tr-TR"/>
              </w:rPr>
              <w:t>.</w:t>
            </w:r>
            <w:r w:rsidR="005645B1" w:rsidRPr="005645B1">
              <w:rPr>
                <w:rFonts w:ascii="Century" w:hAnsi="Century"/>
                <w:sz w:val="22"/>
                <w:szCs w:val="22"/>
                <w:lang w:eastAsia="tr-TR"/>
              </w:rPr>
              <w:t>632</w:t>
            </w:r>
            <w:r w:rsidRPr="005645B1">
              <w:rPr>
                <w:rFonts w:ascii="Century" w:hAnsi="Century"/>
                <w:sz w:val="22"/>
                <w:szCs w:val="22"/>
                <w:lang w:eastAsia="tr-TR"/>
              </w:rPr>
              <w:t xml:space="preserve"> Dolar olarak gerçekleşmiştir.</w:t>
            </w:r>
          </w:p>
          <w:p w:rsidR="00DC63D3" w:rsidRPr="005645B1" w:rsidRDefault="00DC63D3" w:rsidP="003B729C">
            <w:pPr>
              <w:jc w:val="both"/>
              <w:rPr>
                <w:rFonts w:ascii="Century" w:hAnsi="Century" w:cs="Arial TUR"/>
                <w:sz w:val="20"/>
                <w:szCs w:val="20"/>
              </w:rPr>
            </w:pPr>
          </w:p>
          <w:p w:rsidR="00195B16" w:rsidRPr="005645B1" w:rsidRDefault="00195B16" w:rsidP="003B729C">
            <w:pPr>
              <w:jc w:val="both"/>
              <w:rPr>
                <w:rFonts w:ascii="Century" w:hAnsi="Century"/>
                <w:sz w:val="22"/>
                <w:szCs w:val="22"/>
                <w:lang w:eastAsia="tr-TR"/>
              </w:rPr>
            </w:pPr>
            <w:r w:rsidRPr="005645B1">
              <w:rPr>
                <w:rFonts w:ascii="Century" w:hAnsi="Century"/>
                <w:sz w:val="22"/>
                <w:szCs w:val="22"/>
                <w:lang w:eastAsia="tr-TR"/>
              </w:rPr>
              <w:t>Aşağıdaki grafikte GSYH’nin cari ve sabit fiyatlarla</w:t>
            </w:r>
            <w:r w:rsidR="00BA7C8C" w:rsidRPr="005645B1">
              <w:rPr>
                <w:rFonts w:ascii="Century" w:hAnsi="Century"/>
                <w:sz w:val="22"/>
                <w:szCs w:val="22"/>
                <w:lang w:eastAsia="tr-TR"/>
              </w:rPr>
              <w:t xml:space="preserve"> yıllık</w:t>
            </w:r>
            <w:r w:rsidRPr="005645B1">
              <w:rPr>
                <w:rFonts w:ascii="Century" w:hAnsi="Century"/>
                <w:sz w:val="22"/>
                <w:szCs w:val="22"/>
                <w:lang w:eastAsia="tr-TR"/>
              </w:rPr>
              <w:t xml:space="preserve"> artış oranları gösterilmiştir.</w:t>
            </w:r>
          </w:p>
          <w:p w:rsidR="00195B16" w:rsidRPr="000D0FD5" w:rsidRDefault="00195B16" w:rsidP="003B729C">
            <w:pPr>
              <w:pStyle w:val="Style2"/>
              <w:numPr>
                <w:ilvl w:val="0"/>
                <w:numId w:val="0"/>
              </w:numPr>
              <w:spacing w:before="0" w:after="0"/>
              <w:jc w:val="both"/>
              <w:rPr>
                <w:color w:val="000080"/>
                <w:sz w:val="16"/>
                <w:szCs w:val="16"/>
              </w:rPr>
            </w:pPr>
          </w:p>
        </w:tc>
        <w:tc>
          <w:tcPr>
            <w:tcW w:w="236" w:type="dxa"/>
            <w:gridSpan w:val="6"/>
          </w:tcPr>
          <w:p w:rsidR="00195B16" w:rsidRPr="005645B1" w:rsidRDefault="00195B16" w:rsidP="003B729C">
            <w:pPr>
              <w:jc w:val="both"/>
              <w:rPr>
                <w:rFonts w:ascii="Century" w:hAnsi="Century"/>
                <w:sz w:val="22"/>
                <w:szCs w:val="22"/>
              </w:rPr>
            </w:pPr>
          </w:p>
        </w:tc>
        <w:tc>
          <w:tcPr>
            <w:tcW w:w="4767" w:type="dxa"/>
            <w:gridSpan w:val="6"/>
          </w:tcPr>
          <w:p w:rsidR="00195B16" w:rsidRPr="005645B1" w:rsidRDefault="00195B16" w:rsidP="003B729C">
            <w:pPr>
              <w:ind w:left="267" w:hanging="267"/>
              <w:jc w:val="both"/>
              <w:rPr>
                <w:rFonts w:ascii="Century" w:hAnsi="Century"/>
                <w:b/>
                <w:color w:val="003366"/>
                <w:sz w:val="22"/>
                <w:szCs w:val="22"/>
              </w:rPr>
            </w:pPr>
            <w:r w:rsidRPr="005645B1">
              <w:rPr>
                <w:rFonts w:ascii="Century" w:hAnsi="Century"/>
                <w:b/>
                <w:color w:val="003366"/>
                <w:sz w:val="22"/>
                <w:szCs w:val="22"/>
              </w:rPr>
              <w:t>1. BASIC INDICATORS</w:t>
            </w:r>
          </w:p>
          <w:p w:rsidR="00195B16" w:rsidRPr="005645B1" w:rsidRDefault="00195B16" w:rsidP="003B729C">
            <w:pPr>
              <w:jc w:val="both"/>
              <w:rPr>
                <w:rFonts w:ascii="Century" w:hAnsi="Century"/>
                <w:b/>
                <w:color w:val="003366"/>
                <w:sz w:val="22"/>
                <w:szCs w:val="22"/>
              </w:rPr>
            </w:pPr>
          </w:p>
          <w:p w:rsidR="00195B16" w:rsidRPr="005645B1" w:rsidRDefault="00195B16" w:rsidP="003B729C">
            <w:pPr>
              <w:jc w:val="both"/>
              <w:rPr>
                <w:rFonts w:ascii="Century" w:hAnsi="Century"/>
                <w:b/>
                <w:color w:val="003366"/>
                <w:sz w:val="22"/>
                <w:szCs w:val="22"/>
              </w:rPr>
            </w:pPr>
            <w:r w:rsidRPr="005645B1">
              <w:rPr>
                <w:rFonts w:ascii="Century" w:hAnsi="Century"/>
                <w:b/>
                <w:color w:val="003366"/>
                <w:sz w:val="22"/>
                <w:szCs w:val="22"/>
              </w:rPr>
              <w:t>1.1.</w:t>
            </w:r>
            <w:r w:rsidR="00446775">
              <w:rPr>
                <w:rFonts w:ascii="Century" w:hAnsi="Century"/>
                <w:b/>
                <w:color w:val="003366"/>
                <w:sz w:val="22"/>
                <w:szCs w:val="22"/>
              </w:rPr>
              <w:t xml:space="preserve"> </w:t>
            </w:r>
            <w:r w:rsidRPr="005645B1">
              <w:rPr>
                <w:rFonts w:ascii="Century" w:hAnsi="Century"/>
                <w:b/>
                <w:color w:val="003366"/>
                <w:sz w:val="22"/>
                <w:szCs w:val="22"/>
              </w:rPr>
              <w:t>Turkish Economy in 201</w:t>
            </w:r>
            <w:r w:rsidR="000D0C17">
              <w:rPr>
                <w:rFonts w:ascii="Century" w:hAnsi="Century"/>
                <w:b/>
                <w:color w:val="003366"/>
                <w:sz w:val="22"/>
                <w:szCs w:val="22"/>
              </w:rPr>
              <w:t>8</w:t>
            </w:r>
          </w:p>
          <w:p w:rsidR="00195B16" w:rsidRPr="005645B1" w:rsidRDefault="00195B16" w:rsidP="003B729C">
            <w:pPr>
              <w:jc w:val="both"/>
              <w:rPr>
                <w:rFonts w:ascii="Century" w:hAnsi="Century"/>
                <w:b/>
                <w:color w:val="003366"/>
                <w:sz w:val="22"/>
                <w:szCs w:val="22"/>
              </w:rPr>
            </w:pPr>
          </w:p>
          <w:p w:rsidR="00195B16" w:rsidRPr="005645B1" w:rsidRDefault="00195B16" w:rsidP="003B729C">
            <w:pPr>
              <w:jc w:val="both"/>
              <w:rPr>
                <w:rFonts w:ascii="Century" w:hAnsi="Century"/>
                <w:color w:val="333333"/>
                <w:sz w:val="22"/>
                <w:szCs w:val="22"/>
              </w:rPr>
            </w:pPr>
            <w:r w:rsidRPr="005645B1">
              <w:rPr>
                <w:rFonts w:ascii="Century" w:hAnsi="Century"/>
                <w:color w:val="333333"/>
                <w:sz w:val="22"/>
                <w:szCs w:val="22"/>
              </w:rPr>
              <w:t xml:space="preserve">Gross Domestic Product (GDP) of Turkey has amounted to </w:t>
            </w:r>
            <w:r w:rsidRPr="005645B1">
              <w:rPr>
                <w:rFonts w:ascii="AbakuTLSymSans" w:hAnsi="AbakuTLSymSans" w:cs="Arial"/>
                <w:bCs/>
                <w:color w:val="333333"/>
                <w:sz w:val="20"/>
                <w:szCs w:val="20"/>
              </w:rPr>
              <w:t>¨</w:t>
            </w:r>
            <w:r w:rsidR="00A967FD" w:rsidRPr="005645B1">
              <w:rPr>
                <w:rFonts w:ascii="Century" w:hAnsi="Century"/>
                <w:color w:val="333333"/>
                <w:sz w:val="22"/>
                <w:szCs w:val="22"/>
              </w:rPr>
              <w:t>3.</w:t>
            </w:r>
            <w:r w:rsidR="005645B1" w:rsidRPr="005645B1">
              <w:rPr>
                <w:rFonts w:ascii="Century" w:hAnsi="Century"/>
                <w:color w:val="333333"/>
                <w:sz w:val="22"/>
                <w:szCs w:val="22"/>
              </w:rPr>
              <w:t>7</w:t>
            </w:r>
            <w:r w:rsidR="00A967FD" w:rsidRPr="005645B1">
              <w:rPr>
                <w:rFonts w:ascii="Century" w:hAnsi="Century"/>
                <w:color w:val="333333"/>
                <w:sz w:val="22"/>
                <w:szCs w:val="22"/>
              </w:rPr>
              <w:t xml:space="preserve"> trillion for 201</w:t>
            </w:r>
            <w:r w:rsidR="005645B1" w:rsidRPr="005645B1">
              <w:rPr>
                <w:rFonts w:ascii="Century" w:hAnsi="Century"/>
                <w:color w:val="333333"/>
                <w:sz w:val="22"/>
                <w:szCs w:val="22"/>
              </w:rPr>
              <w:t>8</w:t>
            </w:r>
            <w:r w:rsidRPr="005645B1">
              <w:rPr>
                <w:rFonts w:ascii="Century" w:hAnsi="Century"/>
                <w:color w:val="333333"/>
                <w:sz w:val="22"/>
                <w:szCs w:val="22"/>
              </w:rPr>
              <w:t xml:space="preserve">, and </w:t>
            </w:r>
            <w:r w:rsidR="007008CA" w:rsidRPr="005645B1">
              <w:rPr>
                <w:rFonts w:ascii="Century" w:hAnsi="Century"/>
                <w:color w:val="333333"/>
                <w:sz w:val="22"/>
                <w:szCs w:val="22"/>
                <w:lang w:val="en-GB"/>
              </w:rPr>
              <w:t>GDP at chain linked volume index</w:t>
            </w:r>
            <w:r w:rsidR="007008CA" w:rsidRPr="005645B1">
              <w:rPr>
                <w:rFonts w:ascii="Century" w:hAnsi="Century"/>
                <w:color w:val="333333"/>
                <w:sz w:val="22"/>
                <w:szCs w:val="22"/>
              </w:rPr>
              <w:t xml:space="preserve"> has </w:t>
            </w:r>
            <w:r w:rsidRPr="005645B1">
              <w:rPr>
                <w:rFonts w:ascii="Century" w:hAnsi="Century"/>
                <w:color w:val="333333"/>
                <w:sz w:val="22"/>
                <w:szCs w:val="22"/>
              </w:rPr>
              <w:t xml:space="preserve">increased by </w:t>
            </w:r>
            <w:r w:rsidR="005645B1" w:rsidRPr="005645B1">
              <w:rPr>
                <w:rFonts w:ascii="Century" w:hAnsi="Century"/>
                <w:color w:val="333333"/>
                <w:sz w:val="22"/>
                <w:szCs w:val="22"/>
              </w:rPr>
              <w:t>2</w:t>
            </w:r>
            <w:r w:rsidR="00A02B4D" w:rsidRPr="005645B1">
              <w:rPr>
                <w:rFonts w:ascii="Century" w:hAnsi="Century"/>
                <w:color w:val="333333"/>
                <w:sz w:val="22"/>
                <w:szCs w:val="22"/>
              </w:rPr>
              <w:t>.</w:t>
            </w:r>
            <w:r w:rsidR="005645B1" w:rsidRPr="005645B1">
              <w:rPr>
                <w:rFonts w:ascii="Century" w:hAnsi="Century"/>
                <w:color w:val="333333"/>
                <w:sz w:val="22"/>
                <w:szCs w:val="22"/>
              </w:rPr>
              <w:t>6</w:t>
            </w:r>
            <w:r w:rsidR="00B57179" w:rsidRPr="005645B1">
              <w:rPr>
                <w:rFonts w:ascii="Century" w:hAnsi="Century"/>
                <w:color w:val="333333"/>
                <w:sz w:val="22"/>
                <w:szCs w:val="22"/>
              </w:rPr>
              <w:t>%</w:t>
            </w:r>
            <w:r w:rsidRPr="005645B1">
              <w:rPr>
                <w:rFonts w:ascii="Century" w:hAnsi="Century"/>
                <w:color w:val="333333"/>
                <w:sz w:val="22"/>
                <w:szCs w:val="22"/>
              </w:rPr>
              <w:t xml:space="preserve"> </w:t>
            </w:r>
            <w:r w:rsidR="00A967FD" w:rsidRPr="005645B1">
              <w:rPr>
                <w:rFonts w:ascii="Century" w:hAnsi="Century"/>
                <w:color w:val="333333"/>
                <w:sz w:val="22"/>
                <w:szCs w:val="22"/>
              </w:rPr>
              <w:t>during 201</w:t>
            </w:r>
            <w:r w:rsidR="005645B1" w:rsidRPr="005645B1">
              <w:rPr>
                <w:rFonts w:ascii="Century" w:hAnsi="Century"/>
                <w:color w:val="333333"/>
                <w:sz w:val="22"/>
                <w:szCs w:val="22"/>
              </w:rPr>
              <w:t>8</w:t>
            </w:r>
            <w:r w:rsidR="00DC63D3" w:rsidRPr="005645B1">
              <w:rPr>
                <w:rFonts w:ascii="Century" w:hAnsi="Century"/>
                <w:color w:val="333333"/>
                <w:sz w:val="22"/>
                <w:szCs w:val="22"/>
              </w:rPr>
              <w:t xml:space="preserve"> </w:t>
            </w:r>
            <w:r w:rsidRPr="005645B1">
              <w:rPr>
                <w:rFonts w:ascii="Century" w:hAnsi="Century"/>
                <w:color w:val="333333"/>
                <w:sz w:val="22"/>
                <w:szCs w:val="22"/>
              </w:rPr>
              <w:t xml:space="preserve">and </w:t>
            </w:r>
            <w:r w:rsidR="00DC63D3" w:rsidRPr="005645B1">
              <w:rPr>
                <w:rFonts w:ascii="Century" w:hAnsi="Century"/>
                <w:color w:val="333333"/>
                <w:sz w:val="22"/>
                <w:szCs w:val="22"/>
              </w:rPr>
              <w:t xml:space="preserve">has </w:t>
            </w:r>
            <w:r w:rsidRPr="005645B1">
              <w:rPr>
                <w:rFonts w:ascii="Century" w:hAnsi="Century"/>
                <w:color w:val="333333"/>
                <w:sz w:val="22"/>
                <w:szCs w:val="22"/>
              </w:rPr>
              <w:t xml:space="preserve">reached to </w:t>
            </w:r>
            <w:r w:rsidRPr="005645B1">
              <w:rPr>
                <w:rFonts w:ascii="AbakuTLSymSans" w:hAnsi="AbakuTLSymSans" w:cs="Arial"/>
                <w:bCs/>
                <w:color w:val="333333"/>
                <w:sz w:val="20"/>
                <w:szCs w:val="20"/>
              </w:rPr>
              <w:t>¨</w:t>
            </w:r>
            <w:r w:rsidRPr="005645B1">
              <w:rPr>
                <w:rFonts w:ascii="Century" w:hAnsi="Century"/>
                <w:color w:val="333333"/>
                <w:sz w:val="22"/>
                <w:szCs w:val="22"/>
              </w:rPr>
              <w:t>1</w:t>
            </w:r>
            <w:r w:rsidR="00A02B4D" w:rsidRPr="005645B1">
              <w:rPr>
                <w:rFonts w:ascii="Century" w:hAnsi="Century"/>
                <w:color w:val="333333"/>
                <w:sz w:val="22"/>
                <w:szCs w:val="22"/>
              </w:rPr>
              <w:t>.</w:t>
            </w:r>
            <w:r w:rsidR="00A967FD" w:rsidRPr="005645B1">
              <w:rPr>
                <w:rFonts w:ascii="Century" w:hAnsi="Century"/>
                <w:color w:val="333333"/>
                <w:sz w:val="22"/>
                <w:szCs w:val="22"/>
              </w:rPr>
              <w:t>7</w:t>
            </w:r>
            <w:r w:rsidR="005645B1" w:rsidRPr="005645B1">
              <w:rPr>
                <w:rFonts w:ascii="Century" w:hAnsi="Century"/>
                <w:color w:val="333333"/>
                <w:sz w:val="22"/>
                <w:szCs w:val="22"/>
              </w:rPr>
              <w:t>4</w:t>
            </w:r>
            <w:r w:rsidRPr="005645B1">
              <w:rPr>
                <w:rFonts w:ascii="Century" w:hAnsi="Century"/>
                <w:color w:val="333333"/>
                <w:sz w:val="22"/>
                <w:szCs w:val="22"/>
              </w:rPr>
              <w:t xml:space="preserve"> billion</w:t>
            </w:r>
            <w:r w:rsidR="007008CA" w:rsidRPr="005645B1">
              <w:rPr>
                <w:rFonts w:ascii="Century" w:hAnsi="Century"/>
                <w:color w:val="333333"/>
                <w:sz w:val="22"/>
                <w:szCs w:val="22"/>
              </w:rPr>
              <w:t>.</w:t>
            </w:r>
            <w:r w:rsidRPr="005645B1">
              <w:rPr>
                <w:rFonts w:ascii="Century" w:hAnsi="Century"/>
                <w:color w:val="333333"/>
                <w:sz w:val="22"/>
                <w:szCs w:val="22"/>
              </w:rPr>
              <w:t xml:space="preserve"> </w:t>
            </w:r>
            <w:r w:rsidR="00CF540D" w:rsidRPr="005645B1">
              <w:rPr>
                <w:rFonts w:ascii="Century" w:hAnsi="Century"/>
                <w:color w:val="333333"/>
                <w:sz w:val="22"/>
                <w:szCs w:val="22"/>
              </w:rPr>
              <w:t>In</w:t>
            </w:r>
            <w:r w:rsidRPr="005645B1">
              <w:rPr>
                <w:rFonts w:ascii="Century" w:hAnsi="Century"/>
                <w:color w:val="333333"/>
                <w:sz w:val="22"/>
                <w:szCs w:val="22"/>
              </w:rPr>
              <w:t xml:space="preserve"> the same </w:t>
            </w:r>
            <w:r w:rsidR="00CF540D" w:rsidRPr="005645B1">
              <w:rPr>
                <w:rFonts w:ascii="Century" w:hAnsi="Century"/>
                <w:color w:val="333333"/>
                <w:sz w:val="22"/>
                <w:szCs w:val="22"/>
              </w:rPr>
              <w:t>period</w:t>
            </w:r>
            <w:r w:rsidRPr="005645B1">
              <w:rPr>
                <w:rFonts w:ascii="Century" w:hAnsi="Century"/>
                <w:color w:val="333333"/>
                <w:sz w:val="22"/>
                <w:szCs w:val="22"/>
              </w:rPr>
              <w:t xml:space="preserve">, national income per capita </w:t>
            </w:r>
            <w:r w:rsidR="005645B1" w:rsidRPr="005645B1">
              <w:rPr>
                <w:rFonts w:ascii="Century" w:hAnsi="Century"/>
                <w:color w:val="333333"/>
                <w:sz w:val="22"/>
                <w:szCs w:val="22"/>
              </w:rPr>
              <w:t>has amounted to $9</w:t>
            </w:r>
            <w:r w:rsidR="00641299" w:rsidRPr="005645B1">
              <w:rPr>
                <w:rFonts w:ascii="Century" w:hAnsi="Century"/>
                <w:color w:val="333333"/>
                <w:sz w:val="22"/>
                <w:szCs w:val="22"/>
              </w:rPr>
              <w:t>,</w:t>
            </w:r>
            <w:r w:rsidR="005645B1" w:rsidRPr="005645B1">
              <w:rPr>
                <w:rFonts w:ascii="Century" w:hAnsi="Century"/>
                <w:color w:val="333333"/>
                <w:sz w:val="22"/>
                <w:szCs w:val="22"/>
              </w:rPr>
              <w:t>632</w:t>
            </w:r>
            <w:r w:rsidR="00641299" w:rsidRPr="005645B1">
              <w:rPr>
                <w:rFonts w:ascii="Century" w:hAnsi="Century"/>
                <w:color w:val="333333"/>
                <w:sz w:val="22"/>
                <w:szCs w:val="22"/>
              </w:rPr>
              <w:t xml:space="preserve"> with a </w:t>
            </w:r>
            <w:r w:rsidR="005645B1" w:rsidRPr="005645B1">
              <w:rPr>
                <w:rFonts w:ascii="Century" w:hAnsi="Century"/>
                <w:color w:val="333333"/>
                <w:sz w:val="22"/>
                <w:szCs w:val="22"/>
              </w:rPr>
              <w:t>9</w:t>
            </w:r>
            <w:r w:rsidRPr="005645B1">
              <w:rPr>
                <w:rFonts w:ascii="Century" w:hAnsi="Century"/>
                <w:color w:val="333333"/>
                <w:sz w:val="22"/>
                <w:szCs w:val="22"/>
              </w:rPr>
              <w:t>.</w:t>
            </w:r>
            <w:r w:rsidR="005645B1" w:rsidRPr="005645B1">
              <w:rPr>
                <w:rFonts w:ascii="Century" w:hAnsi="Century"/>
                <w:color w:val="333333"/>
                <w:sz w:val="22"/>
                <w:szCs w:val="22"/>
              </w:rPr>
              <w:t>1</w:t>
            </w:r>
            <w:r w:rsidR="00B57179" w:rsidRPr="005645B1">
              <w:rPr>
                <w:rFonts w:ascii="Century" w:hAnsi="Century"/>
                <w:color w:val="333333"/>
                <w:sz w:val="22"/>
                <w:szCs w:val="22"/>
              </w:rPr>
              <w:t>%</w:t>
            </w:r>
            <w:r w:rsidRPr="005645B1">
              <w:rPr>
                <w:rFonts w:ascii="Century" w:hAnsi="Century"/>
                <w:color w:val="333333"/>
                <w:sz w:val="22"/>
                <w:szCs w:val="22"/>
              </w:rPr>
              <w:t xml:space="preserve"> decrease </w:t>
            </w:r>
            <w:r w:rsidR="00735BA4" w:rsidRPr="005645B1">
              <w:rPr>
                <w:rFonts w:ascii="Century" w:hAnsi="Century"/>
                <w:color w:val="333333"/>
                <w:sz w:val="22"/>
                <w:szCs w:val="22"/>
              </w:rPr>
              <w:t xml:space="preserve">as compared to </w:t>
            </w:r>
            <w:r w:rsidRPr="005645B1">
              <w:rPr>
                <w:rFonts w:ascii="Century" w:hAnsi="Century"/>
                <w:color w:val="333333"/>
                <w:sz w:val="22"/>
                <w:szCs w:val="22"/>
              </w:rPr>
              <w:t>the previous year</w:t>
            </w:r>
            <w:r w:rsidR="00641299" w:rsidRPr="005645B1">
              <w:rPr>
                <w:rFonts w:ascii="Century" w:hAnsi="Century"/>
                <w:color w:val="333333"/>
                <w:sz w:val="22"/>
                <w:szCs w:val="22"/>
              </w:rPr>
              <w:t>, although it has increased 17</w:t>
            </w:r>
            <w:r w:rsidR="00E66FE6" w:rsidRPr="005645B1">
              <w:rPr>
                <w:rFonts w:ascii="Century" w:hAnsi="Century"/>
                <w:color w:val="333333"/>
                <w:sz w:val="22"/>
                <w:szCs w:val="22"/>
              </w:rPr>
              <w:t>.</w:t>
            </w:r>
            <w:r w:rsidR="005645B1" w:rsidRPr="005645B1">
              <w:rPr>
                <w:rFonts w:ascii="Century" w:hAnsi="Century"/>
                <w:color w:val="333333"/>
                <w:sz w:val="22"/>
                <w:szCs w:val="22"/>
              </w:rPr>
              <w:t>6</w:t>
            </w:r>
            <w:r w:rsidR="00B57179" w:rsidRPr="005645B1">
              <w:rPr>
                <w:rFonts w:ascii="Century" w:hAnsi="Century"/>
                <w:color w:val="333333"/>
                <w:sz w:val="22"/>
                <w:szCs w:val="22"/>
              </w:rPr>
              <w:t>%</w:t>
            </w:r>
            <w:r w:rsidR="00DC63D3" w:rsidRPr="005645B1">
              <w:rPr>
                <w:rFonts w:ascii="Century" w:hAnsi="Century"/>
                <w:color w:val="333333"/>
                <w:sz w:val="22"/>
                <w:szCs w:val="22"/>
              </w:rPr>
              <w:t xml:space="preserve"> in nominal term as Turkish Liras</w:t>
            </w:r>
            <w:r w:rsidRPr="005645B1">
              <w:rPr>
                <w:rFonts w:ascii="Century" w:hAnsi="Century"/>
                <w:color w:val="333333"/>
                <w:sz w:val="22"/>
                <w:szCs w:val="22"/>
              </w:rPr>
              <w:t>.</w:t>
            </w:r>
          </w:p>
          <w:p w:rsidR="00195B16" w:rsidRDefault="00195B16" w:rsidP="003B729C">
            <w:pPr>
              <w:jc w:val="both"/>
              <w:rPr>
                <w:rFonts w:ascii="Century" w:hAnsi="Century"/>
                <w:color w:val="333333"/>
                <w:sz w:val="22"/>
                <w:szCs w:val="22"/>
              </w:rPr>
            </w:pPr>
          </w:p>
          <w:p w:rsidR="00745DEB" w:rsidRPr="005645B1" w:rsidRDefault="00745DEB" w:rsidP="003B729C">
            <w:pPr>
              <w:jc w:val="both"/>
              <w:rPr>
                <w:rFonts w:ascii="Century" w:hAnsi="Century"/>
                <w:color w:val="333333"/>
                <w:sz w:val="22"/>
                <w:szCs w:val="22"/>
              </w:rPr>
            </w:pPr>
          </w:p>
          <w:p w:rsidR="00195B16" w:rsidRPr="00745DEB" w:rsidRDefault="00195B16" w:rsidP="003B729C">
            <w:pPr>
              <w:jc w:val="both"/>
              <w:rPr>
                <w:rFonts w:ascii="Century" w:hAnsi="Century"/>
                <w:color w:val="333333"/>
                <w:sz w:val="22"/>
                <w:szCs w:val="22"/>
              </w:rPr>
            </w:pPr>
            <w:r w:rsidRPr="005645B1">
              <w:rPr>
                <w:rFonts w:ascii="Century" w:hAnsi="Century"/>
                <w:color w:val="333333"/>
                <w:sz w:val="22"/>
                <w:szCs w:val="22"/>
              </w:rPr>
              <w:t xml:space="preserve">The chart for GDP growth rates </w:t>
            </w:r>
            <w:r w:rsidR="00BA7C8C" w:rsidRPr="005645B1">
              <w:rPr>
                <w:rFonts w:ascii="Century" w:hAnsi="Century"/>
                <w:color w:val="333333"/>
                <w:sz w:val="22"/>
                <w:szCs w:val="22"/>
              </w:rPr>
              <w:t xml:space="preserve">in nominal and real terms </w:t>
            </w:r>
            <w:r w:rsidRPr="005645B1">
              <w:rPr>
                <w:rFonts w:ascii="Century" w:hAnsi="Century"/>
                <w:color w:val="333333"/>
                <w:sz w:val="22"/>
                <w:szCs w:val="22"/>
              </w:rPr>
              <w:t xml:space="preserve">since </w:t>
            </w:r>
            <w:r w:rsidR="00745DEB">
              <w:rPr>
                <w:rFonts w:ascii="Century" w:hAnsi="Century"/>
                <w:color w:val="333333"/>
                <w:sz w:val="22"/>
                <w:szCs w:val="22"/>
              </w:rPr>
              <w:t>2003 is given below.</w:t>
            </w:r>
          </w:p>
        </w:tc>
      </w:tr>
      <w:tr w:rsidR="00350988" w:rsidRPr="00B10D90" w:rsidTr="00441D50">
        <w:trPr>
          <w:gridAfter w:val="2"/>
          <w:wAfter w:w="38" w:type="dxa"/>
          <w:trHeight w:val="70"/>
        </w:trPr>
        <w:tc>
          <w:tcPr>
            <w:tcW w:w="9820" w:type="dxa"/>
            <w:gridSpan w:val="14"/>
          </w:tcPr>
          <w:p w:rsidR="00350988" w:rsidRPr="005645B1" w:rsidRDefault="00350988" w:rsidP="00350988">
            <w:pPr>
              <w:jc w:val="center"/>
              <w:rPr>
                <w:rFonts w:ascii="Century" w:hAnsi="Century"/>
                <w:b/>
                <w:color w:val="000080"/>
                <w:sz w:val="20"/>
                <w:szCs w:val="20"/>
              </w:rPr>
            </w:pPr>
            <w:r w:rsidRPr="005645B1">
              <w:rPr>
                <w:rFonts w:ascii="Century" w:hAnsi="Century"/>
                <w:b/>
                <w:color w:val="000080"/>
                <w:sz w:val="20"/>
                <w:szCs w:val="20"/>
              </w:rPr>
              <w:t>Grafik 1.1.1: GSYH Büyüme Oranları (%)</w:t>
            </w:r>
          </w:p>
          <w:p w:rsidR="00350988" w:rsidRPr="005645B1" w:rsidRDefault="00350988" w:rsidP="00350988">
            <w:pPr>
              <w:jc w:val="center"/>
              <w:rPr>
                <w:rFonts w:ascii="Century" w:hAnsi="Century"/>
                <w:i/>
                <w:color w:val="000080"/>
                <w:sz w:val="20"/>
                <w:szCs w:val="20"/>
              </w:rPr>
            </w:pPr>
            <w:r w:rsidRPr="005645B1">
              <w:rPr>
                <w:rFonts w:ascii="Century" w:hAnsi="Century"/>
                <w:i/>
                <w:color w:val="000080"/>
                <w:sz w:val="20"/>
                <w:szCs w:val="20"/>
              </w:rPr>
              <w:t>Growth Rates of GDP (%)</w:t>
            </w:r>
          </w:p>
          <w:p w:rsidR="00F16213" w:rsidRPr="005645B1" w:rsidRDefault="005645B1" w:rsidP="00F16213">
            <w:pPr>
              <w:jc w:val="center"/>
              <w:rPr>
                <w:rFonts w:ascii="Century" w:hAnsi="Century"/>
                <w:i/>
                <w:color w:val="000080"/>
                <w:sz w:val="20"/>
                <w:szCs w:val="20"/>
              </w:rPr>
            </w:pPr>
            <w:r w:rsidRPr="005645B1">
              <w:rPr>
                <w:rFonts w:ascii="Century" w:hAnsi="Century"/>
                <w:i/>
                <w:noProof/>
                <w:color w:val="000080"/>
                <w:sz w:val="20"/>
                <w:szCs w:val="20"/>
              </w:rPr>
              <w:drawing>
                <wp:inline distT="0" distB="0" distL="0" distR="0" wp14:anchorId="5A4292A0" wp14:editId="46FFDF50">
                  <wp:extent cx="6098650" cy="184470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540" cy="1844670"/>
                          </a:xfrm>
                          <a:prstGeom prst="rect">
                            <a:avLst/>
                          </a:prstGeom>
                          <a:noFill/>
                          <a:ln>
                            <a:noFill/>
                          </a:ln>
                        </pic:spPr>
                      </pic:pic>
                    </a:graphicData>
                  </a:graphic>
                </wp:inline>
              </w:drawing>
            </w:r>
          </w:p>
          <w:p w:rsidR="00350988" w:rsidRPr="000D0FD5" w:rsidRDefault="00350988" w:rsidP="000F3817">
            <w:pPr>
              <w:ind w:left="267" w:hanging="267"/>
              <w:jc w:val="center"/>
              <w:rPr>
                <w:rFonts w:ascii="Century" w:hAnsi="Century"/>
                <w:b/>
                <w:color w:val="003366"/>
                <w:sz w:val="16"/>
                <w:szCs w:val="16"/>
              </w:rPr>
            </w:pPr>
          </w:p>
        </w:tc>
      </w:tr>
      <w:tr w:rsidR="00A02B4D" w:rsidRPr="00B10D90" w:rsidTr="00441D50">
        <w:trPr>
          <w:gridAfter w:val="2"/>
          <w:wAfter w:w="38" w:type="dxa"/>
          <w:trHeight w:val="283"/>
        </w:trPr>
        <w:tc>
          <w:tcPr>
            <w:tcW w:w="4817" w:type="dxa"/>
            <w:gridSpan w:val="2"/>
          </w:tcPr>
          <w:p w:rsidR="00A02B4D" w:rsidRDefault="00A02B4D" w:rsidP="000D0FD5">
            <w:pPr>
              <w:jc w:val="both"/>
              <w:rPr>
                <w:rFonts w:ascii="Century" w:hAnsi="Century"/>
                <w:sz w:val="22"/>
                <w:szCs w:val="22"/>
                <w:lang w:eastAsia="tr-TR"/>
              </w:rPr>
            </w:pPr>
            <w:r w:rsidRPr="006254C8">
              <w:rPr>
                <w:rFonts w:ascii="Century" w:hAnsi="Century"/>
                <w:sz w:val="22"/>
                <w:szCs w:val="22"/>
                <w:lang w:eastAsia="tr-TR"/>
              </w:rPr>
              <w:t>Ülkemizde Tüketi</w:t>
            </w:r>
            <w:r w:rsidR="00BB0AC7" w:rsidRPr="006254C8">
              <w:rPr>
                <w:rFonts w:ascii="Century" w:hAnsi="Century"/>
                <w:sz w:val="22"/>
                <w:szCs w:val="22"/>
                <w:lang w:eastAsia="tr-TR"/>
              </w:rPr>
              <w:t>ci Fiyatları Endeksi (TÜFE) 201</w:t>
            </w:r>
            <w:r w:rsidR="006254C8" w:rsidRPr="006254C8">
              <w:rPr>
                <w:rFonts w:ascii="Century" w:hAnsi="Century"/>
                <w:sz w:val="22"/>
                <w:szCs w:val="22"/>
                <w:lang w:eastAsia="tr-TR"/>
              </w:rPr>
              <w:t>8</w:t>
            </w:r>
            <w:r w:rsidRPr="006254C8">
              <w:rPr>
                <w:rFonts w:ascii="Century" w:hAnsi="Century"/>
                <w:sz w:val="22"/>
                <w:szCs w:val="22"/>
                <w:lang w:eastAsia="tr-TR"/>
              </w:rPr>
              <w:t xml:space="preserve"> yılında bir önceki yıl</w:t>
            </w:r>
            <w:r w:rsidR="00BA7C8C" w:rsidRPr="006254C8">
              <w:rPr>
                <w:rFonts w:ascii="Century" w:hAnsi="Century"/>
                <w:sz w:val="22"/>
                <w:szCs w:val="22"/>
                <w:lang w:eastAsia="tr-TR"/>
              </w:rPr>
              <w:t xml:space="preserve"> sonuna</w:t>
            </w:r>
            <w:r w:rsidR="006254C8" w:rsidRPr="006254C8">
              <w:rPr>
                <w:rFonts w:ascii="Century" w:hAnsi="Century"/>
                <w:sz w:val="22"/>
                <w:szCs w:val="22"/>
                <w:lang w:eastAsia="tr-TR"/>
              </w:rPr>
              <w:t xml:space="preserve"> göre %20</w:t>
            </w:r>
            <w:proofErr w:type="gramStart"/>
            <w:r w:rsidRPr="006254C8">
              <w:rPr>
                <w:rFonts w:ascii="Century" w:hAnsi="Century"/>
                <w:sz w:val="22"/>
                <w:szCs w:val="22"/>
                <w:lang w:eastAsia="tr-TR"/>
              </w:rPr>
              <w:t>,</w:t>
            </w:r>
            <w:r w:rsidR="006254C8" w:rsidRPr="006254C8">
              <w:rPr>
                <w:rFonts w:ascii="Century" w:hAnsi="Century"/>
                <w:sz w:val="22"/>
                <w:szCs w:val="22"/>
                <w:lang w:eastAsia="tr-TR"/>
              </w:rPr>
              <w:t>3</w:t>
            </w:r>
            <w:proofErr w:type="gramEnd"/>
            <w:r w:rsidRPr="006254C8">
              <w:rPr>
                <w:rFonts w:ascii="Century" w:hAnsi="Century"/>
                <w:sz w:val="22"/>
                <w:szCs w:val="22"/>
                <w:lang w:eastAsia="tr-TR"/>
              </w:rPr>
              <w:t xml:space="preserve"> oranında artmıştır. Aynı dönemde Üretici Fiyatları Endeksi (ÜFE)</w:t>
            </w:r>
            <w:r w:rsidR="00BA7C8C" w:rsidRPr="006254C8">
              <w:rPr>
                <w:rFonts w:ascii="Century" w:hAnsi="Century"/>
                <w:sz w:val="22"/>
                <w:szCs w:val="22"/>
                <w:lang w:eastAsia="tr-TR"/>
              </w:rPr>
              <w:t xml:space="preserve"> ise</w:t>
            </w:r>
            <w:r w:rsidR="006254C8" w:rsidRPr="006254C8">
              <w:rPr>
                <w:rFonts w:ascii="Century" w:hAnsi="Century"/>
                <w:sz w:val="22"/>
                <w:szCs w:val="22"/>
                <w:lang w:eastAsia="tr-TR"/>
              </w:rPr>
              <w:t xml:space="preserve"> %33</w:t>
            </w:r>
            <w:proofErr w:type="gramStart"/>
            <w:r w:rsidRPr="006254C8">
              <w:rPr>
                <w:rFonts w:ascii="Century" w:hAnsi="Century"/>
                <w:sz w:val="22"/>
                <w:szCs w:val="22"/>
                <w:lang w:eastAsia="tr-TR"/>
              </w:rPr>
              <w:t>,</w:t>
            </w:r>
            <w:r w:rsidR="006254C8" w:rsidRPr="006254C8">
              <w:rPr>
                <w:rFonts w:ascii="Century" w:hAnsi="Century"/>
                <w:sz w:val="22"/>
                <w:szCs w:val="22"/>
                <w:lang w:eastAsia="tr-TR"/>
              </w:rPr>
              <w:t>6</w:t>
            </w:r>
            <w:proofErr w:type="gramEnd"/>
            <w:r w:rsidRPr="006254C8">
              <w:rPr>
                <w:rFonts w:ascii="Century" w:hAnsi="Century"/>
                <w:sz w:val="22"/>
                <w:szCs w:val="22"/>
                <w:lang w:eastAsia="tr-TR"/>
              </w:rPr>
              <w:t xml:space="preserve"> oranında yükselmiştir. Aşağıdaki tabloda </w:t>
            </w:r>
            <w:r w:rsidR="008E05BE" w:rsidRPr="006254C8">
              <w:rPr>
                <w:rFonts w:ascii="Century" w:hAnsi="Century"/>
                <w:sz w:val="22"/>
                <w:szCs w:val="22"/>
                <w:lang w:eastAsia="tr-TR"/>
              </w:rPr>
              <w:t xml:space="preserve">ülkemizdeki </w:t>
            </w:r>
            <w:r w:rsidRPr="006254C8">
              <w:rPr>
                <w:rFonts w:ascii="Century" w:hAnsi="Century"/>
                <w:sz w:val="22"/>
                <w:szCs w:val="22"/>
                <w:lang w:eastAsia="tr-TR"/>
              </w:rPr>
              <w:t>son beş yıla ilişkin enflasyon rakamları verilmiştir.</w:t>
            </w:r>
          </w:p>
          <w:p w:rsidR="000D0FD5" w:rsidRPr="000D0FD5" w:rsidRDefault="000D0FD5" w:rsidP="002E0AE2">
            <w:pPr>
              <w:jc w:val="both"/>
              <w:rPr>
                <w:b/>
                <w:sz w:val="16"/>
                <w:szCs w:val="16"/>
                <w:highlight w:val="yellow"/>
              </w:rPr>
            </w:pPr>
          </w:p>
        </w:tc>
        <w:tc>
          <w:tcPr>
            <w:tcW w:w="236" w:type="dxa"/>
            <w:gridSpan w:val="6"/>
          </w:tcPr>
          <w:p w:rsidR="00A02B4D" w:rsidRPr="006254C8" w:rsidRDefault="00A02B4D" w:rsidP="003B729C">
            <w:pPr>
              <w:jc w:val="both"/>
              <w:rPr>
                <w:rFonts w:ascii="Century" w:hAnsi="Century"/>
                <w:sz w:val="22"/>
                <w:szCs w:val="22"/>
              </w:rPr>
            </w:pPr>
          </w:p>
        </w:tc>
        <w:tc>
          <w:tcPr>
            <w:tcW w:w="4767" w:type="dxa"/>
            <w:gridSpan w:val="6"/>
          </w:tcPr>
          <w:p w:rsidR="00A02B4D" w:rsidRDefault="00A02B4D" w:rsidP="000D0FD5">
            <w:pPr>
              <w:jc w:val="both"/>
              <w:rPr>
                <w:rFonts w:ascii="Century" w:hAnsi="Century"/>
                <w:color w:val="333333"/>
                <w:sz w:val="22"/>
                <w:szCs w:val="22"/>
              </w:rPr>
            </w:pPr>
            <w:r w:rsidRPr="006254C8">
              <w:rPr>
                <w:rFonts w:ascii="Century" w:hAnsi="Century"/>
                <w:color w:val="333333"/>
                <w:sz w:val="22"/>
                <w:szCs w:val="22"/>
              </w:rPr>
              <w:t xml:space="preserve">The Consumer Price Index (CPI) in Turkey has increased by </w:t>
            </w:r>
            <w:r w:rsidR="006254C8" w:rsidRPr="006254C8">
              <w:rPr>
                <w:rFonts w:ascii="Century" w:hAnsi="Century"/>
                <w:color w:val="333333"/>
                <w:sz w:val="22"/>
                <w:szCs w:val="22"/>
              </w:rPr>
              <w:t>20</w:t>
            </w:r>
            <w:r w:rsidR="00BB0AC7" w:rsidRPr="006254C8">
              <w:rPr>
                <w:rFonts w:ascii="Century" w:hAnsi="Century"/>
                <w:color w:val="333333"/>
                <w:sz w:val="22"/>
                <w:szCs w:val="22"/>
              </w:rPr>
              <w:t>.</w:t>
            </w:r>
            <w:r w:rsidR="006254C8" w:rsidRPr="006254C8">
              <w:rPr>
                <w:rFonts w:ascii="Century" w:hAnsi="Century"/>
                <w:color w:val="333333"/>
                <w:sz w:val="22"/>
                <w:szCs w:val="22"/>
              </w:rPr>
              <w:t>3</w:t>
            </w:r>
            <w:r w:rsidRPr="006254C8">
              <w:rPr>
                <w:rFonts w:ascii="Century" w:hAnsi="Century"/>
                <w:color w:val="333333"/>
                <w:sz w:val="22"/>
                <w:szCs w:val="22"/>
              </w:rPr>
              <w:t>% in 201</w:t>
            </w:r>
            <w:r w:rsidR="006254C8" w:rsidRPr="006254C8">
              <w:rPr>
                <w:rFonts w:ascii="Century" w:hAnsi="Century"/>
                <w:color w:val="333333"/>
                <w:sz w:val="22"/>
                <w:szCs w:val="22"/>
              </w:rPr>
              <w:t>8</w:t>
            </w:r>
            <w:r w:rsidRPr="006254C8">
              <w:rPr>
                <w:rFonts w:ascii="Century" w:hAnsi="Century"/>
                <w:color w:val="333333"/>
                <w:sz w:val="22"/>
                <w:szCs w:val="22"/>
              </w:rPr>
              <w:t xml:space="preserve"> </w:t>
            </w:r>
            <w:r w:rsidR="00735BA4" w:rsidRPr="006254C8">
              <w:rPr>
                <w:rFonts w:ascii="Century" w:hAnsi="Century"/>
                <w:color w:val="333333"/>
                <w:sz w:val="22"/>
                <w:szCs w:val="22"/>
              </w:rPr>
              <w:t xml:space="preserve">as </w:t>
            </w:r>
            <w:r w:rsidRPr="006254C8">
              <w:rPr>
                <w:rFonts w:ascii="Century" w:hAnsi="Century"/>
                <w:color w:val="333333"/>
                <w:sz w:val="22"/>
                <w:szCs w:val="22"/>
              </w:rPr>
              <w:t xml:space="preserve">compared </w:t>
            </w:r>
            <w:r w:rsidR="008E05BE" w:rsidRPr="006254C8">
              <w:rPr>
                <w:rFonts w:ascii="Century" w:hAnsi="Century"/>
                <w:color w:val="333333"/>
                <w:sz w:val="22"/>
                <w:szCs w:val="22"/>
              </w:rPr>
              <w:t xml:space="preserve">to </w:t>
            </w:r>
            <w:r w:rsidRPr="006254C8">
              <w:rPr>
                <w:rFonts w:ascii="Century" w:hAnsi="Century"/>
                <w:color w:val="333333"/>
                <w:sz w:val="22"/>
                <w:szCs w:val="22"/>
              </w:rPr>
              <w:t>the previous year</w:t>
            </w:r>
            <w:r w:rsidR="00BA7C8C" w:rsidRPr="006254C8">
              <w:rPr>
                <w:rFonts w:ascii="Century" w:hAnsi="Century"/>
                <w:color w:val="333333"/>
                <w:sz w:val="22"/>
                <w:szCs w:val="22"/>
              </w:rPr>
              <w:t>-end</w:t>
            </w:r>
            <w:r w:rsidRPr="006254C8">
              <w:rPr>
                <w:rFonts w:ascii="Century" w:hAnsi="Century"/>
                <w:color w:val="333333"/>
                <w:sz w:val="22"/>
                <w:szCs w:val="22"/>
              </w:rPr>
              <w:t>. The Producer Price Ind</w:t>
            </w:r>
            <w:r w:rsidR="006254C8" w:rsidRPr="006254C8">
              <w:rPr>
                <w:rFonts w:ascii="Century" w:hAnsi="Century"/>
                <w:color w:val="333333"/>
                <w:sz w:val="22"/>
                <w:szCs w:val="22"/>
              </w:rPr>
              <w:t>ex (PPI) has also increased by 33</w:t>
            </w:r>
            <w:r w:rsidRPr="006254C8">
              <w:rPr>
                <w:rFonts w:ascii="Century" w:hAnsi="Century"/>
                <w:color w:val="333333"/>
                <w:sz w:val="22"/>
                <w:szCs w:val="22"/>
              </w:rPr>
              <w:t>.</w:t>
            </w:r>
            <w:r w:rsidR="006254C8" w:rsidRPr="006254C8">
              <w:rPr>
                <w:rFonts w:ascii="Century" w:hAnsi="Century"/>
                <w:color w:val="333333"/>
                <w:sz w:val="22"/>
                <w:szCs w:val="22"/>
              </w:rPr>
              <w:t>6</w:t>
            </w:r>
            <w:r w:rsidRPr="006254C8">
              <w:rPr>
                <w:rFonts w:ascii="Century" w:hAnsi="Century"/>
                <w:color w:val="333333"/>
                <w:sz w:val="22"/>
                <w:szCs w:val="22"/>
              </w:rPr>
              <w:t xml:space="preserve">% </w:t>
            </w:r>
            <w:r w:rsidR="00735BA4" w:rsidRPr="006254C8">
              <w:rPr>
                <w:rFonts w:ascii="Century" w:hAnsi="Century"/>
                <w:color w:val="333333"/>
                <w:sz w:val="22"/>
                <w:szCs w:val="22"/>
              </w:rPr>
              <w:t>in</w:t>
            </w:r>
            <w:r w:rsidRPr="006254C8">
              <w:rPr>
                <w:rFonts w:ascii="Century" w:hAnsi="Century"/>
                <w:color w:val="333333"/>
                <w:sz w:val="22"/>
                <w:szCs w:val="22"/>
              </w:rPr>
              <w:t xml:space="preserve"> the same year</w:t>
            </w:r>
            <w:r w:rsidR="008E05BE" w:rsidRPr="006254C8">
              <w:rPr>
                <w:rFonts w:ascii="Century" w:hAnsi="Century"/>
                <w:color w:val="333333"/>
                <w:sz w:val="22"/>
                <w:szCs w:val="22"/>
              </w:rPr>
              <w:t xml:space="preserve">. </w:t>
            </w:r>
            <w:r w:rsidRPr="006254C8">
              <w:rPr>
                <w:rFonts w:ascii="Century" w:hAnsi="Century"/>
                <w:color w:val="333333"/>
                <w:sz w:val="22"/>
                <w:szCs w:val="22"/>
              </w:rPr>
              <w:t>The table below illustrates the inflation rates for the last five years</w:t>
            </w:r>
            <w:r w:rsidR="008E05BE" w:rsidRPr="006254C8">
              <w:rPr>
                <w:rFonts w:ascii="Century" w:hAnsi="Century"/>
                <w:color w:val="333333"/>
                <w:sz w:val="22"/>
                <w:szCs w:val="22"/>
              </w:rPr>
              <w:t xml:space="preserve"> in Turkey</w:t>
            </w:r>
            <w:r w:rsidRPr="006254C8">
              <w:rPr>
                <w:rFonts w:ascii="Century" w:hAnsi="Century"/>
                <w:color w:val="333333"/>
                <w:sz w:val="22"/>
                <w:szCs w:val="22"/>
              </w:rPr>
              <w:t>.</w:t>
            </w:r>
          </w:p>
          <w:p w:rsidR="002E0AE2" w:rsidRPr="006254C8" w:rsidRDefault="002E0AE2" w:rsidP="002E0AE2">
            <w:pPr>
              <w:jc w:val="both"/>
              <w:rPr>
                <w:rFonts w:ascii="Century" w:hAnsi="Century"/>
                <w:b/>
                <w:color w:val="003366"/>
                <w:sz w:val="22"/>
                <w:szCs w:val="22"/>
              </w:rPr>
            </w:pPr>
          </w:p>
        </w:tc>
      </w:tr>
      <w:tr w:rsidR="00C766BE" w:rsidRPr="00B10D90" w:rsidTr="00441D50">
        <w:trPr>
          <w:gridAfter w:val="2"/>
          <w:wAfter w:w="38" w:type="dxa"/>
          <w:trHeight w:val="283"/>
        </w:trPr>
        <w:tc>
          <w:tcPr>
            <w:tcW w:w="9820" w:type="dxa"/>
            <w:gridSpan w:val="14"/>
          </w:tcPr>
          <w:p w:rsidR="00C766BE" w:rsidRPr="003D057C" w:rsidRDefault="00C766BE" w:rsidP="00C766BE">
            <w:pPr>
              <w:jc w:val="center"/>
              <w:rPr>
                <w:rFonts w:ascii="Century" w:hAnsi="Century"/>
                <w:i/>
                <w:color w:val="000080"/>
                <w:sz w:val="20"/>
                <w:szCs w:val="20"/>
              </w:rPr>
            </w:pPr>
            <w:r w:rsidRPr="003D057C">
              <w:rPr>
                <w:rFonts w:ascii="Century" w:hAnsi="Century"/>
                <w:b/>
                <w:color w:val="000080"/>
                <w:sz w:val="20"/>
                <w:szCs w:val="20"/>
              </w:rPr>
              <w:t>Tablo 1.1.</w:t>
            </w:r>
            <w:r w:rsidR="00BE0564" w:rsidRPr="003D057C">
              <w:rPr>
                <w:rFonts w:ascii="Century" w:hAnsi="Century"/>
                <w:b/>
                <w:color w:val="000080"/>
                <w:sz w:val="20"/>
                <w:szCs w:val="20"/>
              </w:rPr>
              <w:t>1</w:t>
            </w:r>
            <w:r w:rsidRPr="003D057C">
              <w:rPr>
                <w:rFonts w:ascii="Century" w:hAnsi="Century"/>
                <w:b/>
                <w:color w:val="000080"/>
                <w:sz w:val="20"/>
                <w:szCs w:val="20"/>
              </w:rPr>
              <w:t>: TÜFE ve ÜFE Oranları</w:t>
            </w:r>
            <w:r w:rsidR="00314EF5" w:rsidRPr="003D057C">
              <w:rPr>
                <w:rFonts w:ascii="Century" w:hAnsi="Century"/>
                <w:b/>
                <w:color w:val="000080"/>
                <w:sz w:val="20"/>
                <w:szCs w:val="20"/>
              </w:rPr>
              <w:t xml:space="preserve"> (%)</w:t>
            </w:r>
            <w:r w:rsidRPr="003D057C">
              <w:rPr>
                <w:rFonts w:ascii="Century" w:hAnsi="Century"/>
                <w:b/>
                <w:color w:val="000080"/>
                <w:sz w:val="20"/>
                <w:szCs w:val="20"/>
              </w:rPr>
              <w:t xml:space="preserve"> – </w:t>
            </w:r>
            <w:r w:rsidRPr="003D057C">
              <w:rPr>
                <w:rFonts w:ascii="Century" w:hAnsi="Century"/>
                <w:i/>
                <w:color w:val="000080"/>
                <w:sz w:val="20"/>
                <w:szCs w:val="20"/>
              </w:rPr>
              <w:t>Changes in CPI and PPI (%)</w:t>
            </w:r>
          </w:p>
          <w:p w:rsidR="002E0AE2" w:rsidRPr="003D057C" w:rsidRDefault="002E0AE2" w:rsidP="00C766BE">
            <w:pPr>
              <w:jc w:val="center"/>
              <w:rPr>
                <w:rFonts w:ascii="Century" w:hAnsi="Century"/>
                <w:i/>
                <w:color w:val="000080"/>
                <w:sz w:val="20"/>
                <w:szCs w:val="20"/>
              </w:rPr>
            </w:pPr>
            <w:r w:rsidRPr="003D057C">
              <w:rPr>
                <w:rFonts w:ascii="Century" w:hAnsi="Century"/>
                <w:i/>
                <w:noProof/>
                <w:color w:val="000080"/>
                <w:sz w:val="20"/>
                <w:szCs w:val="20"/>
              </w:rPr>
              <w:drawing>
                <wp:inline distT="0" distB="0" distL="0" distR="0" wp14:anchorId="6126DC13" wp14:editId="2AD5A0D7">
                  <wp:extent cx="6096000" cy="809625"/>
                  <wp:effectExtent l="0" t="0" r="0" b="9525"/>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09625"/>
                          </a:xfrm>
                          <a:prstGeom prst="rect">
                            <a:avLst/>
                          </a:prstGeom>
                          <a:noFill/>
                          <a:ln>
                            <a:noFill/>
                          </a:ln>
                        </pic:spPr>
                      </pic:pic>
                    </a:graphicData>
                  </a:graphic>
                </wp:inline>
              </w:drawing>
            </w:r>
          </w:p>
          <w:p w:rsidR="008E4BB0" w:rsidRDefault="008E4BB0" w:rsidP="003D057C">
            <w:pPr>
              <w:jc w:val="both"/>
              <w:rPr>
                <w:rFonts w:ascii="Century" w:hAnsi="Century"/>
                <w:i/>
                <w:sz w:val="16"/>
                <w:szCs w:val="16"/>
              </w:rPr>
            </w:pPr>
            <w:r w:rsidRPr="003D057C">
              <w:rPr>
                <w:rFonts w:ascii="Century" w:hAnsi="Century"/>
                <w:sz w:val="16"/>
                <w:szCs w:val="16"/>
              </w:rPr>
              <w:t>*TÜİK verisidir.</w:t>
            </w:r>
            <w:r w:rsidR="003D057C" w:rsidRPr="003D057C">
              <w:rPr>
                <w:rFonts w:ascii="Century" w:hAnsi="Century"/>
                <w:sz w:val="16"/>
                <w:szCs w:val="16"/>
              </w:rPr>
              <w:t xml:space="preserve"> </w:t>
            </w:r>
            <w:r w:rsidR="003D057C" w:rsidRPr="003D057C">
              <w:rPr>
                <w:rFonts w:ascii="Century" w:hAnsi="Century"/>
                <w:i/>
                <w:sz w:val="16"/>
                <w:szCs w:val="16"/>
              </w:rPr>
              <w:t>Data released by TUIK.</w:t>
            </w:r>
          </w:p>
          <w:p w:rsidR="003D057C" w:rsidRPr="008E4BB0" w:rsidRDefault="003D057C" w:rsidP="003D057C">
            <w:pPr>
              <w:jc w:val="both"/>
              <w:rPr>
                <w:rFonts w:ascii="Century" w:hAnsi="Century"/>
                <w:color w:val="003366"/>
                <w:sz w:val="20"/>
                <w:szCs w:val="20"/>
              </w:rPr>
            </w:pPr>
          </w:p>
        </w:tc>
      </w:tr>
      <w:tr w:rsidR="00C766BE" w:rsidRPr="00B10D90" w:rsidTr="00441D50">
        <w:trPr>
          <w:gridAfter w:val="2"/>
          <w:wAfter w:w="38" w:type="dxa"/>
          <w:trHeight w:val="283"/>
        </w:trPr>
        <w:tc>
          <w:tcPr>
            <w:tcW w:w="4817" w:type="dxa"/>
            <w:gridSpan w:val="2"/>
          </w:tcPr>
          <w:p w:rsidR="00651B23" w:rsidRPr="003D057C" w:rsidRDefault="00BB0AC7" w:rsidP="00761F16">
            <w:pPr>
              <w:jc w:val="both"/>
              <w:rPr>
                <w:rFonts w:ascii="Century" w:hAnsi="Century"/>
                <w:sz w:val="22"/>
                <w:szCs w:val="22"/>
                <w:lang w:eastAsia="tr-TR"/>
              </w:rPr>
            </w:pPr>
            <w:r w:rsidRPr="003D057C">
              <w:rPr>
                <w:rFonts w:ascii="Century" w:hAnsi="Century"/>
                <w:sz w:val="22"/>
                <w:szCs w:val="22"/>
                <w:lang w:eastAsia="tr-TR"/>
              </w:rPr>
              <w:t>201</w:t>
            </w:r>
            <w:r w:rsidR="008E4BB0" w:rsidRPr="003D057C">
              <w:rPr>
                <w:rFonts w:ascii="Century" w:hAnsi="Century"/>
                <w:sz w:val="22"/>
                <w:szCs w:val="22"/>
                <w:lang w:eastAsia="tr-TR"/>
              </w:rPr>
              <w:t>8</w:t>
            </w:r>
            <w:r w:rsidR="00A02B4D" w:rsidRPr="003D057C">
              <w:rPr>
                <w:rFonts w:ascii="Century" w:hAnsi="Century"/>
                <w:sz w:val="22"/>
                <w:szCs w:val="22"/>
                <w:lang w:eastAsia="tr-TR"/>
              </w:rPr>
              <w:t xml:space="preserve"> yılında yıllık ortalama ABD dolar kuru </w:t>
            </w:r>
            <w:r w:rsidR="00A02B4D" w:rsidRPr="003D057C">
              <w:rPr>
                <w:rFonts w:ascii="AbakuTLSymSans" w:hAnsi="AbakuTLSymSans"/>
                <w:sz w:val="22"/>
                <w:szCs w:val="22"/>
                <w:lang w:eastAsia="tr-TR"/>
              </w:rPr>
              <w:t>¨</w:t>
            </w:r>
            <w:r w:rsidR="000D0FD5" w:rsidRPr="003D057C">
              <w:rPr>
                <w:rFonts w:ascii="Century" w:hAnsi="Century"/>
                <w:sz w:val="22"/>
                <w:szCs w:val="22"/>
                <w:lang w:eastAsia="tr-TR"/>
              </w:rPr>
              <w:t>5</w:t>
            </w:r>
            <w:proofErr w:type="gramStart"/>
            <w:r w:rsidR="008E05BE" w:rsidRPr="003D057C">
              <w:rPr>
                <w:rFonts w:ascii="Century" w:hAnsi="Century"/>
                <w:sz w:val="22"/>
                <w:szCs w:val="22"/>
                <w:lang w:eastAsia="tr-TR"/>
              </w:rPr>
              <w:t>,</w:t>
            </w:r>
            <w:r w:rsidR="000D0FD5" w:rsidRPr="003D057C">
              <w:rPr>
                <w:rFonts w:ascii="Century" w:hAnsi="Century"/>
                <w:sz w:val="22"/>
                <w:szCs w:val="22"/>
                <w:lang w:eastAsia="tr-TR"/>
              </w:rPr>
              <w:t>3060</w:t>
            </w:r>
            <w:proofErr w:type="gramEnd"/>
            <w:r w:rsidR="00A02B4D" w:rsidRPr="003D057C">
              <w:rPr>
                <w:rFonts w:ascii="Century" w:hAnsi="Century"/>
                <w:sz w:val="22"/>
                <w:szCs w:val="22"/>
                <w:lang w:eastAsia="tr-TR"/>
              </w:rPr>
              <w:t xml:space="preserve">=$1 olarak gerçekleşmiştir. </w:t>
            </w:r>
            <w:r w:rsidR="000D0FD5" w:rsidRPr="003D057C">
              <w:rPr>
                <w:rFonts w:ascii="Century" w:hAnsi="Century"/>
                <w:sz w:val="22"/>
                <w:szCs w:val="22"/>
                <w:lang w:eastAsia="tr-TR"/>
              </w:rPr>
              <w:t xml:space="preserve">Türk Lirasının Tüfe Bazlı TCMB Reel efektif döviz </w:t>
            </w:r>
            <w:r w:rsidR="00A02B4D" w:rsidRPr="003D057C">
              <w:rPr>
                <w:rFonts w:ascii="Century" w:hAnsi="Century"/>
                <w:sz w:val="22"/>
                <w:szCs w:val="22"/>
                <w:lang w:eastAsia="tr-TR"/>
              </w:rPr>
              <w:t>kurları üzerinden ABD doları karşısındaki gelişimi (2003=100) aşağıdaki grafikte gösterilmiştir.</w:t>
            </w:r>
          </w:p>
          <w:p w:rsidR="008E05BE" w:rsidRPr="003D057C" w:rsidRDefault="008E05BE" w:rsidP="00761F16">
            <w:pPr>
              <w:jc w:val="both"/>
              <w:rPr>
                <w:rFonts w:ascii="Century" w:hAnsi="Century"/>
                <w:sz w:val="22"/>
                <w:szCs w:val="22"/>
                <w:lang w:eastAsia="tr-TR"/>
              </w:rPr>
            </w:pPr>
          </w:p>
        </w:tc>
        <w:tc>
          <w:tcPr>
            <w:tcW w:w="236" w:type="dxa"/>
            <w:gridSpan w:val="6"/>
          </w:tcPr>
          <w:p w:rsidR="00C766BE" w:rsidRPr="003D057C" w:rsidRDefault="00C766BE" w:rsidP="00CD35C2">
            <w:pPr>
              <w:jc w:val="both"/>
              <w:rPr>
                <w:rFonts w:ascii="Century" w:hAnsi="Century"/>
                <w:sz w:val="22"/>
                <w:szCs w:val="22"/>
              </w:rPr>
            </w:pPr>
          </w:p>
        </w:tc>
        <w:tc>
          <w:tcPr>
            <w:tcW w:w="4767" w:type="dxa"/>
            <w:gridSpan w:val="6"/>
          </w:tcPr>
          <w:p w:rsidR="00BA7C8C" w:rsidRPr="003D057C" w:rsidRDefault="00A02B4D" w:rsidP="000D0FD5">
            <w:pPr>
              <w:jc w:val="both"/>
              <w:rPr>
                <w:rFonts w:ascii="Century" w:hAnsi="Century"/>
                <w:b/>
                <w:color w:val="333333"/>
                <w:sz w:val="22"/>
                <w:szCs w:val="22"/>
              </w:rPr>
            </w:pPr>
            <w:r w:rsidRPr="003D057C">
              <w:rPr>
                <w:rFonts w:ascii="Century" w:hAnsi="Century"/>
                <w:color w:val="333333"/>
                <w:sz w:val="22"/>
                <w:szCs w:val="22"/>
                <w:lang w:eastAsia="tr-TR"/>
              </w:rPr>
              <w:t>In 201</w:t>
            </w:r>
            <w:r w:rsidR="000D0FD5" w:rsidRPr="003D057C">
              <w:rPr>
                <w:rFonts w:ascii="Century" w:hAnsi="Century"/>
                <w:color w:val="333333"/>
                <w:sz w:val="22"/>
                <w:szCs w:val="22"/>
                <w:lang w:eastAsia="tr-TR"/>
              </w:rPr>
              <w:t>8</w:t>
            </w:r>
            <w:r w:rsidRPr="003D057C">
              <w:rPr>
                <w:rFonts w:ascii="Century" w:hAnsi="Century"/>
                <w:color w:val="333333"/>
                <w:sz w:val="22"/>
                <w:szCs w:val="22"/>
                <w:lang w:eastAsia="tr-TR"/>
              </w:rPr>
              <w:t xml:space="preserve">, </w:t>
            </w:r>
            <w:r w:rsidR="00BA7C8C" w:rsidRPr="003D057C">
              <w:rPr>
                <w:rFonts w:ascii="Century" w:hAnsi="Century"/>
                <w:color w:val="333333"/>
                <w:sz w:val="22"/>
                <w:szCs w:val="22"/>
                <w:lang w:eastAsia="tr-TR"/>
              </w:rPr>
              <w:t xml:space="preserve">the annual average US dollar rate </w:t>
            </w:r>
            <w:r w:rsidRPr="003D057C">
              <w:rPr>
                <w:rFonts w:ascii="Century" w:hAnsi="Century"/>
                <w:color w:val="333333"/>
                <w:sz w:val="22"/>
                <w:szCs w:val="22"/>
                <w:lang w:eastAsia="tr-TR"/>
              </w:rPr>
              <w:t>has been realized as $1=</w:t>
            </w:r>
            <w:r w:rsidRPr="003D057C">
              <w:rPr>
                <w:rFonts w:ascii="AbakuTLSymSans" w:hAnsi="AbakuTLSymSans" w:cs="Arial"/>
                <w:bCs/>
                <w:color w:val="333333"/>
                <w:sz w:val="20"/>
                <w:szCs w:val="20"/>
              </w:rPr>
              <w:t>¨</w:t>
            </w:r>
            <w:r w:rsidR="000D0FD5" w:rsidRPr="003D057C">
              <w:rPr>
                <w:rFonts w:ascii="Century" w:hAnsi="Century" w:cs="Arial"/>
                <w:bCs/>
                <w:color w:val="333333"/>
                <w:sz w:val="22"/>
                <w:szCs w:val="22"/>
              </w:rPr>
              <w:t>5</w:t>
            </w:r>
            <w:r w:rsidR="00423D66" w:rsidRPr="003D057C">
              <w:rPr>
                <w:rFonts w:ascii="Century" w:hAnsi="Century" w:cs="Arial"/>
                <w:bCs/>
                <w:color w:val="333333"/>
                <w:sz w:val="22"/>
                <w:szCs w:val="22"/>
              </w:rPr>
              <w:t>.</w:t>
            </w:r>
            <w:r w:rsidR="000D0FD5" w:rsidRPr="003D057C">
              <w:rPr>
                <w:rFonts w:ascii="Century" w:hAnsi="Century" w:cs="Arial"/>
                <w:bCs/>
                <w:color w:val="333333"/>
                <w:sz w:val="22"/>
                <w:szCs w:val="22"/>
              </w:rPr>
              <w:t>3060</w:t>
            </w:r>
            <w:r w:rsidR="000D0FD5" w:rsidRPr="003D057C">
              <w:rPr>
                <w:rFonts w:ascii="Century" w:hAnsi="Century"/>
                <w:color w:val="333333"/>
                <w:sz w:val="22"/>
              </w:rPr>
              <w:t xml:space="preserve">. </w:t>
            </w:r>
            <w:r w:rsidR="003D057C" w:rsidRPr="003D057C">
              <w:rPr>
                <w:rFonts w:ascii="Century" w:hAnsi="Century"/>
                <w:color w:val="333333"/>
                <w:sz w:val="22"/>
              </w:rPr>
              <w:t xml:space="preserve">CPI based Turkish Central Bank’s (CBRT) effective exchange rates’ trend for USD/TL </w:t>
            </w:r>
            <w:r w:rsidR="003D057C" w:rsidRPr="003D057C">
              <w:rPr>
                <w:rFonts w:ascii="Century" w:hAnsi="Century"/>
                <w:color w:val="333333"/>
                <w:sz w:val="22"/>
                <w:szCs w:val="22"/>
                <w:lang w:eastAsia="tr-TR"/>
              </w:rPr>
              <w:t>is shown in the graph below</w:t>
            </w:r>
            <w:r w:rsidR="00BA7C8C" w:rsidRPr="003D057C">
              <w:rPr>
                <w:rFonts w:ascii="Century" w:hAnsi="Century"/>
                <w:color w:val="333333"/>
                <w:sz w:val="22"/>
                <w:szCs w:val="22"/>
                <w:lang w:eastAsia="tr-TR"/>
              </w:rPr>
              <w:t xml:space="preserve"> </w:t>
            </w:r>
          </w:p>
        </w:tc>
      </w:tr>
      <w:tr w:rsidR="00074D80" w:rsidRPr="00B10D90" w:rsidTr="00441D50">
        <w:tblPrEx>
          <w:tblCellMar>
            <w:left w:w="70" w:type="dxa"/>
            <w:right w:w="70" w:type="dxa"/>
          </w:tblCellMar>
        </w:tblPrEx>
        <w:trPr>
          <w:trHeight w:val="283"/>
        </w:trPr>
        <w:tc>
          <w:tcPr>
            <w:tcW w:w="9858" w:type="dxa"/>
            <w:gridSpan w:val="16"/>
          </w:tcPr>
          <w:p w:rsidR="002A5912" w:rsidRPr="003D057C" w:rsidRDefault="002A5912" w:rsidP="002A5912">
            <w:pPr>
              <w:jc w:val="center"/>
              <w:rPr>
                <w:rFonts w:ascii="Century" w:hAnsi="Century"/>
                <w:b/>
                <w:color w:val="000080"/>
                <w:sz w:val="20"/>
                <w:szCs w:val="20"/>
              </w:rPr>
            </w:pPr>
            <w:r w:rsidRPr="003D057C">
              <w:rPr>
                <w:rFonts w:ascii="Century" w:hAnsi="Century"/>
                <w:b/>
                <w:color w:val="000080"/>
                <w:sz w:val="20"/>
                <w:szCs w:val="20"/>
              </w:rPr>
              <w:lastRenderedPageBreak/>
              <w:t xml:space="preserve">Grafik 1.1.2: </w:t>
            </w:r>
            <w:r w:rsidR="008E4BB0" w:rsidRPr="003D057C">
              <w:rPr>
                <w:rFonts w:ascii="Century" w:hAnsi="Century"/>
                <w:b/>
                <w:color w:val="000080"/>
                <w:sz w:val="20"/>
                <w:szCs w:val="20"/>
              </w:rPr>
              <w:t xml:space="preserve">Reel Efektif </w:t>
            </w:r>
            <w:r w:rsidRPr="003D057C">
              <w:rPr>
                <w:rFonts w:ascii="Century" w:hAnsi="Century"/>
                <w:b/>
                <w:color w:val="000080"/>
                <w:sz w:val="20"/>
                <w:szCs w:val="20"/>
              </w:rPr>
              <w:t>Döviz Kuru</w:t>
            </w:r>
            <w:r w:rsidR="008E4BB0" w:rsidRPr="003D057C">
              <w:rPr>
                <w:rFonts w:ascii="Century" w:hAnsi="Century"/>
                <w:b/>
                <w:color w:val="000080"/>
                <w:sz w:val="20"/>
                <w:szCs w:val="20"/>
              </w:rPr>
              <w:t xml:space="preserve"> TÜFE Bazlı </w:t>
            </w:r>
            <w:r w:rsidR="00A86920" w:rsidRPr="003D057C">
              <w:rPr>
                <w:rFonts w:ascii="Century" w:hAnsi="Century"/>
                <w:b/>
                <w:color w:val="000080"/>
                <w:sz w:val="20"/>
                <w:szCs w:val="20"/>
              </w:rPr>
              <w:t>(2003=100)</w:t>
            </w:r>
          </w:p>
          <w:p w:rsidR="003D057C" w:rsidRPr="003D057C" w:rsidRDefault="003D057C" w:rsidP="003D057C">
            <w:pPr>
              <w:jc w:val="center"/>
              <w:rPr>
                <w:rFonts w:ascii="Century" w:hAnsi="Century"/>
                <w:i/>
                <w:color w:val="000080"/>
                <w:sz w:val="20"/>
                <w:szCs w:val="20"/>
              </w:rPr>
            </w:pPr>
            <w:r w:rsidRPr="003D057C">
              <w:rPr>
                <w:rFonts w:ascii="Century" w:hAnsi="Century"/>
                <w:i/>
                <w:color w:val="000080"/>
                <w:sz w:val="20"/>
                <w:szCs w:val="20"/>
              </w:rPr>
              <w:t>CPI Based Real Effective Exchange Rate for USD/TL (2003=100)</w:t>
            </w:r>
          </w:p>
          <w:p w:rsidR="00F40063" w:rsidRPr="003D057C" w:rsidRDefault="00A3185F" w:rsidP="002A5912">
            <w:pPr>
              <w:jc w:val="center"/>
              <w:rPr>
                <w:rFonts w:ascii="Century" w:hAnsi="Century"/>
                <w:i/>
                <w:color w:val="000080"/>
                <w:sz w:val="20"/>
                <w:szCs w:val="20"/>
              </w:rPr>
            </w:pPr>
            <w:r>
              <w:rPr>
                <w:rFonts w:ascii="Century" w:hAnsi="Century"/>
                <w:i/>
                <w:noProof/>
                <w:color w:val="000080"/>
                <w:sz w:val="20"/>
                <w:szCs w:val="20"/>
              </w:rPr>
              <w:drawing>
                <wp:inline distT="0" distB="0" distL="0" distR="0" wp14:anchorId="573287E3" wp14:editId="48940122">
                  <wp:extent cx="6161893" cy="20593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040" cy="2059436"/>
                          </a:xfrm>
                          <a:prstGeom prst="rect">
                            <a:avLst/>
                          </a:prstGeom>
                          <a:noFill/>
                          <a:ln>
                            <a:noFill/>
                          </a:ln>
                        </pic:spPr>
                      </pic:pic>
                    </a:graphicData>
                  </a:graphic>
                </wp:inline>
              </w:drawing>
            </w:r>
          </w:p>
          <w:p w:rsidR="00366458" w:rsidRPr="003D057C" w:rsidRDefault="008E4BB0" w:rsidP="008E4BB0">
            <w:pPr>
              <w:rPr>
                <w:rFonts w:ascii="Century" w:hAnsi="Century"/>
                <w:sz w:val="20"/>
                <w:szCs w:val="20"/>
              </w:rPr>
            </w:pPr>
            <w:r w:rsidRPr="003D057C">
              <w:rPr>
                <w:rFonts w:ascii="Century" w:hAnsi="Century"/>
                <w:sz w:val="16"/>
                <w:szCs w:val="16"/>
              </w:rPr>
              <w:t>*TCMB verisidir</w:t>
            </w:r>
            <w:r w:rsidRPr="003D057C">
              <w:rPr>
                <w:rFonts w:ascii="Century" w:hAnsi="Century"/>
                <w:sz w:val="20"/>
                <w:szCs w:val="20"/>
              </w:rPr>
              <w:t>.</w:t>
            </w:r>
            <w:r w:rsidR="003D057C" w:rsidRPr="003D057C">
              <w:rPr>
                <w:rFonts w:ascii="Century" w:hAnsi="Century"/>
                <w:sz w:val="20"/>
                <w:szCs w:val="20"/>
              </w:rPr>
              <w:t xml:space="preserve"> </w:t>
            </w:r>
            <w:r w:rsidR="003D057C" w:rsidRPr="003D057C">
              <w:rPr>
                <w:rFonts w:ascii="Century" w:hAnsi="Century"/>
                <w:i/>
                <w:sz w:val="20"/>
                <w:szCs w:val="20"/>
              </w:rPr>
              <w:t>Data released by CBRT.</w:t>
            </w:r>
          </w:p>
          <w:p w:rsidR="008E4BB0" w:rsidRPr="003D057C" w:rsidRDefault="008E4BB0" w:rsidP="008E4BB0">
            <w:pPr>
              <w:rPr>
                <w:rFonts w:ascii="Century" w:hAnsi="Century"/>
                <w:b/>
                <w:color w:val="000080"/>
                <w:sz w:val="20"/>
                <w:szCs w:val="20"/>
              </w:rPr>
            </w:pPr>
          </w:p>
        </w:tc>
      </w:tr>
      <w:tr w:rsidR="001A7A06" w:rsidRPr="00B10D90" w:rsidTr="00441D50">
        <w:trPr>
          <w:gridAfter w:val="2"/>
          <w:wAfter w:w="38" w:type="dxa"/>
          <w:trHeight w:val="283"/>
        </w:trPr>
        <w:tc>
          <w:tcPr>
            <w:tcW w:w="4817" w:type="dxa"/>
            <w:gridSpan w:val="2"/>
          </w:tcPr>
          <w:p w:rsidR="001A7A06" w:rsidRPr="003D057C" w:rsidRDefault="00BA7C8C" w:rsidP="003B729C">
            <w:pPr>
              <w:jc w:val="both"/>
              <w:rPr>
                <w:rFonts w:ascii="Century" w:hAnsi="Century"/>
                <w:sz w:val="22"/>
                <w:szCs w:val="22"/>
                <w:lang w:eastAsia="tr-TR"/>
              </w:rPr>
            </w:pPr>
            <w:r w:rsidRPr="003D057C">
              <w:rPr>
                <w:rFonts w:ascii="Century" w:hAnsi="Century"/>
                <w:sz w:val="22"/>
                <w:szCs w:val="22"/>
                <w:lang w:eastAsia="tr-TR"/>
              </w:rPr>
              <w:t>Türkiye’nin 201</w:t>
            </w:r>
            <w:r w:rsidR="00D6564D" w:rsidRPr="003D057C">
              <w:rPr>
                <w:rFonts w:ascii="Century" w:hAnsi="Century"/>
                <w:sz w:val="22"/>
                <w:szCs w:val="22"/>
                <w:lang w:eastAsia="tr-TR"/>
              </w:rPr>
              <w:t>8</w:t>
            </w:r>
            <w:r w:rsidRPr="003D057C">
              <w:rPr>
                <w:rFonts w:ascii="Century" w:hAnsi="Century"/>
                <w:sz w:val="22"/>
                <w:szCs w:val="22"/>
                <w:lang w:eastAsia="tr-TR"/>
              </w:rPr>
              <w:t xml:space="preserve"> yılında </w:t>
            </w:r>
            <w:r w:rsidR="00D6564D" w:rsidRPr="003D057C">
              <w:rPr>
                <w:rFonts w:ascii="Century" w:hAnsi="Century"/>
                <w:sz w:val="22"/>
                <w:szCs w:val="22"/>
                <w:lang w:eastAsia="tr-TR"/>
              </w:rPr>
              <w:t>ihracatı bir önceki yıla göre %7</w:t>
            </w:r>
            <w:r w:rsidR="001A7A06" w:rsidRPr="003D057C">
              <w:rPr>
                <w:rFonts w:ascii="Century" w:hAnsi="Century"/>
                <w:sz w:val="22"/>
                <w:szCs w:val="22"/>
                <w:lang w:eastAsia="tr-TR"/>
              </w:rPr>
              <w:t xml:space="preserve"> oranında a</w:t>
            </w:r>
            <w:r w:rsidR="00040485" w:rsidRPr="003D057C">
              <w:rPr>
                <w:rFonts w:ascii="Century" w:hAnsi="Century"/>
                <w:sz w:val="22"/>
                <w:szCs w:val="22"/>
                <w:lang w:eastAsia="tr-TR"/>
              </w:rPr>
              <w:t>rtarak 1</w:t>
            </w:r>
            <w:r w:rsidR="00D6564D" w:rsidRPr="003D057C">
              <w:rPr>
                <w:rFonts w:ascii="Century" w:hAnsi="Century"/>
                <w:sz w:val="22"/>
                <w:szCs w:val="22"/>
                <w:lang w:eastAsia="tr-TR"/>
              </w:rPr>
              <w:t>67,9</w:t>
            </w:r>
            <w:r w:rsidR="001A7A06" w:rsidRPr="003D057C">
              <w:rPr>
                <w:rFonts w:ascii="Century" w:hAnsi="Century"/>
                <w:sz w:val="22"/>
                <w:szCs w:val="22"/>
                <w:lang w:eastAsia="tr-TR"/>
              </w:rPr>
              <w:t xml:space="preserve"> milyar ABD Doları</w:t>
            </w:r>
            <w:r w:rsidR="00D6564D" w:rsidRPr="003D057C">
              <w:rPr>
                <w:rFonts w:ascii="Century" w:hAnsi="Century"/>
                <w:sz w:val="22"/>
                <w:szCs w:val="22"/>
                <w:lang w:eastAsia="tr-TR"/>
              </w:rPr>
              <w:t xml:space="preserve"> olarak gerçekleşirken</w:t>
            </w:r>
            <w:r w:rsidR="008E05BE" w:rsidRPr="003D057C">
              <w:rPr>
                <w:rFonts w:ascii="Century" w:hAnsi="Century"/>
                <w:sz w:val="22"/>
                <w:szCs w:val="22"/>
                <w:lang w:eastAsia="tr-TR"/>
              </w:rPr>
              <w:t xml:space="preserve">, </w:t>
            </w:r>
            <w:r w:rsidR="001A7A06" w:rsidRPr="003D057C">
              <w:rPr>
                <w:rFonts w:ascii="Century" w:hAnsi="Century"/>
                <w:sz w:val="22"/>
                <w:szCs w:val="22"/>
                <w:lang w:eastAsia="tr-TR"/>
              </w:rPr>
              <w:t>ithalat</w:t>
            </w:r>
            <w:r w:rsidRPr="003D057C">
              <w:rPr>
                <w:rFonts w:ascii="Century" w:hAnsi="Century"/>
                <w:sz w:val="22"/>
                <w:szCs w:val="22"/>
                <w:lang w:eastAsia="tr-TR"/>
              </w:rPr>
              <w:t>ı</w:t>
            </w:r>
            <w:r w:rsidR="00040485" w:rsidRPr="003D057C">
              <w:rPr>
                <w:rFonts w:ascii="Century" w:hAnsi="Century"/>
                <w:sz w:val="22"/>
                <w:szCs w:val="22"/>
                <w:lang w:eastAsia="tr-TR"/>
              </w:rPr>
              <w:t xml:space="preserve"> %</w:t>
            </w:r>
            <w:r w:rsidR="00D6564D" w:rsidRPr="003D057C">
              <w:rPr>
                <w:rFonts w:ascii="Century" w:hAnsi="Century"/>
                <w:sz w:val="22"/>
                <w:szCs w:val="22"/>
                <w:lang w:eastAsia="tr-TR"/>
              </w:rPr>
              <w:t>4</w:t>
            </w:r>
            <w:r w:rsidR="001A7A06" w:rsidRPr="003D057C">
              <w:rPr>
                <w:rFonts w:ascii="Century" w:hAnsi="Century"/>
                <w:sz w:val="22"/>
                <w:szCs w:val="22"/>
                <w:lang w:eastAsia="tr-TR"/>
              </w:rPr>
              <w:t>,</w:t>
            </w:r>
            <w:r w:rsidR="00D6564D" w:rsidRPr="003D057C">
              <w:rPr>
                <w:rFonts w:ascii="Century" w:hAnsi="Century"/>
                <w:sz w:val="22"/>
                <w:szCs w:val="22"/>
                <w:lang w:eastAsia="tr-TR"/>
              </w:rPr>
              <w:t>6</w:t>
            </w:r>
            <w:r w:rsidR="001A7A06" w:rsidRPr="003D057C">
              <w:rPr>
                <w:rFonts w:ascii="Century" w:hAnsi="Century"/>
                <w:sz w:val="22"/>
                <w:szCs w:val="22"/>
                <w:lang w:eastAsia="tr-TR"/>
              </w:rPr>
              <w:t xml:space="preserve"> oranında </w:t>
            </w:r>
            <w:r w:rsidR="00D6564D" w:rsidRPr="003D057C">
              <w:rPr>
                <w:rFonts w:ascii="Century" w:hAnsi="Century"/>
                <w:sz w:val="22"/>
                <w:szCs w:val="22"/>
                <w:lang w:eastAsia="tr-TR"/>
              </w:rPr>
              <w:t>azalarak 22</w:t>
            </w:r>
            <w:r w:rsidR="00040485" w:rsidRPr="003D057C">
              <w:rPr>
                <w:rFonts w:ascii="Century" w:hAnsi="Century"/>
                <w:sz w:val="22"/>
                <w:szCs w:val="22"/>
                <w:lang w:eastAsia="tr-TR"/>
              </w:rPr>
              <w:t>3,</w:t>
            </w:r>
            <w:r w:rsidR="00D6564D" w:rsidRPr="003D057C">
              <w:rPr>
                <w:rFonts w:ascii="Century" w:hAnsi="Century"/>
                <w:sz w:val="22"/>
                <w:szCs w:val="22"/>
                <w:lang w:eastAsia="tr-TR"/>
              </w:rPr>
              <w:t>0</w:t>
            </w:r>
            <w:r w:rsidR="001A7A06" w:rsidRPr="003D057C">
              <w:rPr>
                <w:rFonts w:ascii="Century" w:hAnsi="Century"/>
                <w:sz w:val="22"/>
                <w:szCs w:val="22"/>
                <w:lang w:eastAsia="tr-TR"/>
              </w:rPr>
              <w:t xml:space="preserve"> milyar ABD Doları</w:t>
            </w:r>
            <w:r w:rsidR="008E05BE" w:rsidRPr="003D057C">
              <w:rPr>
                <w:rFonts w:ascii="Century" w:hAnsi="Century"/>
                <w:sz w:val="22"/>
                <w:szCs w:val="22"/>
                <w:lang w:eastAsia="tr-TR"/>
              </w:rPr>
              <w:t xml:space="preserve"> olarak gerçekleşmiştir.</w:t>
            </w:r>
            <w:r w:rsidR="001A7A06" w:rsidRPr="003D057C">
              <w:rPr>
                <w:rFonts w:ascii="Century" w:hAnsi="Century"/>
                <w:sz w:val="22"/>
                <w:szCs w:val="22"/>
                <w:lang w:eastAsia="tr-TR"/>
              </w:rPr>
              <w:t xml:space="preserve"> İ</w:t>
            </w:r>
            <w:r w:rsidR="00D6564D" w:rsidRPr="003D057C">
              <w:rPr>
                <w:rFonts w:ascii="Century" w:hAnsi="Century"/>
                <w:sz w:val="22"/>
                <w:szCs w:val="22"/>
                <w:lang w:eastAsia="tr-TR"/>
              </w:rPr>
              <w:t>hracatta</w:t>
            </w:r>
            <w:r w:rsidRPr="003D057C">
              <w:rPr>
                <w:rFonts w:ascii="Century" w:hAnsi="Century"/>
                <w:sz w:val="22"/>
                <w:szCs w:val="22"/>
                <w:lang w:eastAsia="tr-TR"/>
              </w:rPr>
              <w:t xml:space="preserve"> i</w:t>
            </w:r>
            <w:r w:rsidR="00D6564D" w:rsidRPr="003D057C">
              <w:rPr>
                <w:rFonts w:ascii="Century" w:hAnsi="Century"/>
                <w:sz w:val="22"/>
                <w:szCs w:val="22"/>
                <w:lang w:eastAsia="tr-TR"/>
              </w:rPr>
              <w:t xml:space="preserve">thalata nazaran </w:t>
            </w:r>
            <w:r w:rsidRPr="003D057C">
              <w:rPr>
                <w:rFonts w:ascii="Century" w:hAnsi="Century"/>
                <w:sz w:val="22"/>
                <w:szCs w:val="22"/>
                <w:lang w:eastAsia="tr-TR"/>
              </w:rPr>
              <w:t>d</w:t>
            </w:r>
            <w:r w:rsidR="001A7A06" w:rsidRPr="003D057C">
              <w:rPr>
                <w:rFonts w:ascii="Century" w:hAnsi="Century"/>
                <w:sz w:val="22"/>
                <w:szCs w:val="22"/>
                <w:lang w:eastAsia="tr-TR"/>
              </w:rPr>
              <w:t>aha yüksek</w:t>
            </w:r>
            <w:r w:rsidRPr="003D057C">
              <w:rPr>
                <w:rFonts w:ascii="Century" w:hAnsi="Century"/>
                <w:sz w:val="22"/>
                <w:szCs w:val="22"/>
                <w:lang w:eastAsia="tr-TR"/>
              </w:rPr>
              <w:t xml:space="preserve"> oranda </w:t>
            </w:r>
            <w:r w:rsidR="00040485" w:rsidRPr="003D057C">
              <w:rPr>
                <w:rFonts w:ascii="Century" w:hAnsi="Century"/>
                <w:sz w:val="22"/>
                <w:szCs w:val="22"/>
                <w:lang w:eastAsia="tr-TR"/>
              </w:rPr>
              <w:t>artış</w:t>
            </w:r>
            <w:r w:rsidR="001A7A06" w:rsidRPr="003D057C">
              <w:rPr>
                <w:rFonts w:ascii="Century" w:hAnsi="Century"/>
                <w:sz w:val="22"/>
                <w:szCs w:val="22"/>
                <w:lang w:eastAsia="tr-TR"/>
              </w:rPr>
              <w:t xml:space="preserve"> olması sonucu</w:t>
            </w:r>
            <w:r w:rsidRPr="003D057C">
              <w:rPr>
                <w:rFonts w:ascii="Century" w:hAnsi="Century"/>
                <w:sz w:val="22"/>
                <w:szCs w:val="22"/>
                <w:lang w:eastAsia="tr-TR"/>
              </w:rPr>
              <w:t>nda</w:t>
            </w:r>
            <w:r w:rsidR="001A7A06" w:rsidRPr="003D057C">
              <w:rPr>
                <w:rFonts w:ascii="Century" w:hAnsi="Century"/>
                <w:sz w:val="22"/>
                <w:szCs w:val="22"/>
                <w:lang w:eastAsia="tr-TR"/>
              </w:rPr>
              <w:t xml:space="preserve"> dış ticaret açığı </w:t>
            </w:r>
            <w:r w:rsidR="00D6564D" w:rsidRPr="003D057C">
              <w:rPr>
                <w:rFonts w:ascii="Century" w:hAnsi="Century"/>
                <w:sz w:val="22"/>
                <w:szCs w:val="22"/>
                <w:lang w:eastAsia="tr-TR"/>
              </w:rPr>
              <w:t>%28</w:t>
            </w:r>
            <w:proofErr w:type="gramStart"/>
            <w:r w:rsidR="00D6564D" w:rsidRPr="003D057C">
              <w:rPr>
                <w:rFonts w:ascii="Century" w:hAnsi="Century"/>
                <w:sz w:val="22"/>
                <w:szCs w:val="22"/>
                <w:lang w:eastAsia="tr-TR"/>
              </w:rPr>
              <w:t>,2</w:t>
            </w:r>
            <w:proofErr w:type="gramEnd"/>
            <w:r w:rsidR="00D6564D" w:rsidRPr="003D057C">
              <w:rPr>
                <w:rFonts w:ascii="Century" w:hAnsi="Century"/>
                <w:sz w:val="22"/>
                <w:szCs w:val="22"/>
                <w:lang w:eastAsia="tr-TR"/>
              </w:rPr>
              <w:t xml:space="preserve"> oranında azalarak 55</w:t>
            </w:r>
            <w:r w:rsidR="00615CA7" w:rsidRPr="003D057C">
              <w:rPr>
                <w:rFonts w:ascii="Century" w:hAnsi="Century"/>
                <w:sz w:val="22"/>
                <w:szCs w:val="22"/>
                <w:lang w:eastAsia="tr-TR"/>
              </w:rPr>
              <w:t>,</w:t>
            </w:r>
            <w:r w:rsidR="00D6564D" w:rsidRPr="003D057C">
              <w:rPr>
                <w:rFonts w:ascii="Century" w:hAnsi="Century"/>
                <w:sz w:val="22"/>
                <w:szCs w:val="22"/>
                <w:lang w:eastAsia="tr-TR"/>
              </w:rPr>
              <w:t>1</w:t>
            </w:r>
            <w:r w:rsidR="001A7A06" w:rsidRPr="003D057C">
              <w:rPr>
                <w:rFonts w:ascii="Century" w:hAnsi="Century"/>
                <w:sz w:val="22"/>
                <w:szCs w:val="22"/>
                <w:lang w:eastAsia="tr-TR"/>
              </w:rPr>
              <w:t xml:space="preserve"> milyar ABD doları olarak gerçekleşmiştir.</w:t>
            </w:r>
          </w:p>
          <w:p w:rsidR="001A7A06" w:rsidRPr="003D057C" w:rsidRDefault="001A7A06" w:rsidP="003B729C">
            <w:pPr>
              <w:jc w:val="both"/>
              <w:rPr>
                <w:rFonts w:ascii="Century" w:hAnsi="Century"/>
                <w:sz w:val="22"/>
                <w:szCs w:val="22"/>
                <w:lang w:eastAsia="tr-TR"/>
              </w:rPr>
            </w:pPr>
          </w:p>
          <w:p w:rsidR="001A7A06" w:rsidRPr="003D057C" w:rsidRDefault="001A7A06" w:rsidP="003B729C">
            <w:pPr>
              <w:jc w:val="both"/>
              <w:rPr>
                <w:rFonts w:ascii="Century" w:hAnsi="Century"/>
                <w:sz w:val="22"/>
                <w:szCs w:val="22"/>
                <w:lang w:eastAsia="tr-TR"/>
              </w:rPr>
            </w:pPr>
            <w:r w:rsidRPr="003D057C">
              <w:rPr>
                <w:rFonts w:ascii="Century" w:hAnsi="Century"/>
                <w:sz w:val="22"/>
                <w:szCs w:val="22"/>
                <w:lang w:eastAsia="tr-TR"/>
              </w:rPr>
              <w:t>Ülkemizin son beş yıllık döneme ilişkin dış ticaret rakamları aşağıda</w:t>
            </w:r>
            <w:r w:rsidR="008E05BE" w:rsidRPr="003D057C">
              <w:rPr>
                <w:rFonts w:ascii="Century" w:hAnsi="Century"/>
                <w:sz w:val="22"/>
                <w:szCs w:val="22"/>
                <w:lang w:eastAsia="tr-TR"/>
              </w:rPr>
              <w:t>ki tabloda</w:t>
            </w:r>
            <w:r w:rsidRPr="003D057C">
              <w:rPr>
                <w:rFonts w:ascii="Century" w:hAnsi="Century"/>
                <w:sz w:val="22"/>
                <w:szCs w:val="22"/>
                <w:lang w:eastAsia="tr-TR"/>
              </w:rPr>
              <w:t xml:space="preserve"> verilmiştir.</w:t>
            </w:r>
          </w:p>
          <w:p w:rsidR="001A7A06" w:rsidRPr="003D057C" w:rsidRDefault="001A7A06" w:rsidP="003B729C">
            <w:pPr>
              <w:jc w:val="both"/>
              <w:rPr>
                <w:rFonts w:ascii="Century" w:hAnsi="Century"/>
                <w:sz w:val="22"/>
                <w:szCs w:val="22"/>
                <w:lang w:eastAsia="tr-TR"/>
              </w:rPr>
            </w:pPr>
          </w:p>
        </w:tc>
        <w:tc>
          <w:tcPr>
            <w:tcW w:w="236" w:type="dxa"/>
            <w:gridSpan w:val="6"/>
          </w:tcPr>
          <w:p w:rsidR="001A7A06" w:rsidRPr="003D057C" w:rsidRDefault="001A7A06" w:rsidP="003B729C">
            <w:pPr>
              <w:jc w:val="both"/>
              <w:rPr>
                <w:rFonts w:ascii="Century" w:hAnsi="Century"/>
                <w:sz w:val="22"/>
                <w:szCs w:val="22"/>
              </w:rPr>
            </w:pPr>
          </w:p>
        </w:tc>
        <w:tc>
          <w:tcPr>
            <w:tcW w:w="4767" w:type="dxa"/>
            <w:gridSpan w:val="6"/>
          </w:tcPr>
          <w:p w:rsidR="003D057C" w:rsidRPr="003D057C" w:rsidRDefault="008E05BE" w:rsidP="003D057C">
            <w:pPr>
              <w:jc w:val="both"/>
              <w:rPr>
                <w:rFonts w:ascii="Century" w:hAnsi="Century"/>
                <w:color w:val="333333"/>
                <w:sz w:val="22"/>
                <w:szCs w:val="22"/>
                <w:lang w:eastAsia="tr-TR"/>
              </w:rPr>
            </w:pPr>
            <w:r w:rsidRPr="003D057C">
              <w:rPr>
                <w:rFonts w:ascii="Century" w:hAnsi="Century"/>
                <w:color w:val="333333"/>
                <w:sz w:val="22"/>
                <w:szCs w:val="22"/>
                <w:lang w:eastAsia="tr-TR"/>
              </w:rPr>
              <w:t xml:space="preserve">Turkey’s </w:t>
            </w:r>
            <w:r w:rsidR="001A7A06" w:rsidRPr="003D057C">
              <w:rPr>
                <w:rFonts w:ascii="Century" w:hAnsi="Century"/>
                <w:color w:val="333333"/>
                <w:sz w:val="22"/>
                <w:szCs w:val="22"/>
                <w:lang w:eastAsia="tr-TR"/>
              </w:rPr>
              <w:t xml:space="preserve">exports have </w:t>
            </w:r>
            <w:r w:rsidR="00040485" w:rsidRPr="003D057C">
              <w:rPr>
                <w:rFonts w:ascii="Century" w:hAnsi="Century"/>
                <w:color w:val="333333"/>
                <w:sz w:val="22"/>
                <w:szCs w:val="22"/>
                <w:lang w:eastAsia="tr-TR"/>
              </w:rPr>
              <w:t>in</w:t>
            </w:r>
            <w:r w:rsidR="001A7A06" w:rsidRPr="003D057C">
              <w:rPr>
                <w:rFonts w:ascii="Century" w:hAnsi="Century"/>
                <w:color w:val="333333"/>
                <w:sz w:val="22"/>
                <w:szCs w:val="22"/>
                <w:lang w:eastAsia="tr-TR"/>
              </w:rPr>
              <w:t xml:space="preserve">creased </w:t>
            </w:r>
            <w:r w:rsidR="00040485" w:rsidRPr="003D057C">
              <w:rPr>
                <w:rFonts w:ascii="Century" w:hAnsi="Century"/>
                <w:color w:val="333333"/>
                <w:sz w:val="22"/>
                <w:szCs w:val="22"/>
                <w:lang w:eastAsia="tr-TR"/>
              </w:rPr>
              <w:t xml:space="preserve">by </w:t>
            </w:r>
            <w:r w:rsidR="00A5756B" w:rsidRPr="003D057C">
              <w:rPr>
                <w:rFonts w:ascii="Century" w:hAnsi="Century"/>
                <w:color w:val="333333"/>
                <w:sz w:val="22"/>
                <w:szCs w:val="22"/>
                <w:lang w:eastAsia="tr-TR"/>
              </w:rPr>
              <w:t>%</w:t>
            </w:r>
            <w:r w:rsidR="00D6564D" w:rsidRPr="003D057C">
              <w:rPr>
                <w:rFonts w:ascii="Century" w:hAnsi="Century"/>
                <w:color w:val="333333"/>
                <w:sz w:val="22"/>
                <w:szCs w:val="22"/>
                <w:lang w:eastAsia="tr-TR"/>
              </w:rPr>
              <w:t>7</w:t>
            </w:r>
            <w:r w:rsidRPr="003D057C">
              <w:rPr>
                <w:rFonts w:ascii="Century" w:hAnsi="Century"/>
                <w:color w:val="333333"/>
                <w:sz w:val="22"/>
                <w:szCs w:val="22"/>
                <w:lang w:eastAsia="tr-TR"/>
              </w:rPr>
              <w:t xml:space="preserve"> in 201</w:t>
            </w:r>
            <w:r w:rsidR="00D6564D" w:rsidRPr="003D057C">
              <w:rPr>
                <w:rFonts w:ascii="Century" w:hAnsi="Century"/>
                <w:color w:val="333333"/>
                <w:sz w:val="22"/>
                <w:szCs w:val="22"/>
                <w:lang w:eastAsia="tr-TR"/>
              </w:rPr>
              <w:t>8</w:t>
            </w:r>
            <w:r w:rsidRPr="003D057C">
              <w:rPr>
                <w:rFonts w:ascii="Century" w:hAnsi="Century"/>
                <w:color w:val="333333"/>
                <w:sz w:val="22"/>
                <w:szCs w:val="22"/>
                <w:lang w:eastAsia="tr-TR"/>
              </w:rPr>
              <w:t xml:space="preserve"> and ha</w:t>
            </w:r>
            <w:r w:rsidR="00E66FE6" w:rsidRPr="003D057C">
              <w:rPr>
                <w:rFonts w:ascii="Century" w:hAnsi="Century"/>
                <w:color w:val="333333"/>
                <w:sz w:val="22"/>
                <w:szCs w:val="22"/>
                <w:lang w:eastAsia="tr-TR"/>
              </w:rPr>
              <w:t>ve</w:t>
            </w:r>
            <w:r w:rsidRPr="003D057C">
              <w:rPr>
                <w:rFonts w:ascii="Century" w:hAnsi="Century"/>
                <w:color w:val="333333"/>
                <w:sz w:val="22"/>
                <w:szCs w:val="22"/>
                <w:lang w:eastAsia="tr-TR"/>
              </w:rPr>
              <w:t xml:space="preserve"> been amounted </w:t>
            </w:r>
            <w:r w:rsidR="001A7A06" w:rsidRPr="003D057C">
              <w:rPr>
                <w:rFonts w:ascii="Century" w:hAnsi="Century"/>
                <w:color w:val="333333"/>
                <w:sz w:val="22"/>
                <w:szCs w:val="22"/>
                <w:lang w:eastAsia="tr-TR"/>
              </w:rPr>
              <w:t>to 1</w:t>
            </w:r>
            <w:r w:rsidR="00D6564D" w:rsidRPr="003D057C">
              <w:rPr>
                <w:rFonts w:ascii="Century" w:hAnsi="Century"/>
                <w:color w:val="333333"/>
                <w:sz w:val="22"/>
                <w:szCs w:val="22"/>
                <w:lang w:eastAsia="tr-TR"/>
              </w:rPr>
              <w:t>6</w:t>
            </w:r>
            <w:r w:rsidR="00040485" w:rsidRPr="003D057C">
              <w:rPr>
                <w:rFonts w:ascii="Century" w:hAnsi="Century"/>
                <w:color w:val="333333"/>
                <w:sz w:val="22"/>
                <w:szCs w:val="22"/>
                <w:lang w:eastAsia="tr-TR"/>
              </w:rPr>
              <w:t>7</w:t>
            </w:r>
            <w:r w:rsidR="001A7A06" w:rsidRPr="003D057C">
              <w:rPr>
                <w:rFonts w:ascii="Century" w:hAnsi="Century"/>
                <w:color w:val="333333"/>
                <w:sz w:val="22"/>
                <w:szCs w:val="22"/>
                <w:lang w:eastAsia="tr-TR"/>
              </w:rPr>
              <w:t>.</w:t>
            </w:r>
            <w:r w:rsidR="00D6564D" w:rsidRPr="003D057C">
              <w:rPr>
                <w:rFonts w:ascii="Century" w:hAnsi="Century"/>
                <w:color w:val="333333"/>
                <w:sz w:val="22"/>
                <w:szCs w:val="22"/>
                <w:lang w:eastAsia="tr-TR"/>
              </w:rPr>
              <w:t>9</w:t>
            </w:r>
            <w:r w:rsidR="001A7A06" w:rsidRPr="003D057C">
              <w:rPr>
                <w:rFonts w:ascii="Century" w:hAnsi="Century"/>
                <w:color w:val="333333"/>
                <w:sz w:val="22"/>
                <w:szCs w:val="22"/>
                <w:lang w:eastAsia="tr-TR"/>
              </w:rPr>
              <w:t xml:space="preserve"> billion US dollars</w:t>
            </w:r>
            <w:r w:rsidRPr="003D057C">
              <w:rPr>
                <w:rFonts w:ascii="Century" w:hAnsi="Century"/>
                <w:color w:val="333333"/>
                <w:sz w:val="22"/>
                <w:szCs w:val="22"/>
                <w:lang w:eastAsia="tr-TR"/>
              </w:rPr>
              <w:t>. The import</w:t>
            </w:r>
            <w:r w:rsidR="00265C7B" w:rsidRPr="003D057C">
              <w:rPr>
                <w:rFonts w:ascii="Century" w:hAnsi="Century"/>
                <w:color w:val="333333"/>
                <w:sz w:val="22"/>
                <w:szCs w:val="22"/>
                <w:lang w:eastAsia="tr-TR"/>
              </w:rPr>
              <w:t>s</w:t>
            </w:r>
            <w:r w:rsidRPr="003D057C">
              <w:rPr>
                <w:rFonts w:ascii="Century" w:hAnsi="Century"/>
                <w:color w:val="333333"/>
                <w:sz w:val="22"/>
                <w:szCs w:val="22"/>
                <w:lang w:eastAsia="tr-TR"/>
              </w:rPr>
              <w:t xml:space="preserve"> </w:t>
            </w:r>
            <w:r w:rsidR="00E66FE6" w:rsidRPr="003D057C">
              <w:rPr>
                <w:rFonts w:ascii="Century" w:hAnsi="Century"/>
                <w:color w:val="333333"/>
                <w:sz w:val="22"/>
                <w:szCs w:val="22"/>
                <w:lang w:eastAsia="tr-TR"/>
              </w:rPr>
              <w:t xml:space="preserve">have </w:t>
            </w:r>
            <w:r w:rsidR="00D6564D" w:rsidRPr="003D057C">
              <w:rPr>
                <w:rFonts w:ascii="Century" w:hAnsi="Century"/>
                <w:color w:val="333333"/>
                <w:sz w:val="22"/>
                <w:szCs w:val="22"/>
                <w:lang w:eastAsia="tr-TR"/>
              </w:rPr>
              <w:t>de</w:t>
            </w:r>
            <w:r w:rsidRPr="003D057C">
              <w:rPr>
                <w:rFonts w:ascii="Century" w:hAnsi="Century"/>
                <w:color w:val="333333"/>
                <w:sz w:val="22"/>
                <w:szCs w:val="22"/>
                <w:lang w:eastAsia="tr-TR"/>
              </w:rPr>
              <w:t xml:space="preserve">creased by </w:t>
            </w:r>
            <w:r w:rsidR="00D6564D" w:rsidRPr="003D057C">
              <w:rPr>
                <w:rFonts w:ascii="Century" w:hAnsi="Century"/>
                <w:color w:val="333333"/>
                <w:sz w:val="22"/>
                <w:szCs w:val="22"/>
                <w:lang w:eastAsia="tr-TR"/>
              </w:rPr>
              <w:t>4</w:t>
            </w:r>
            <w:r w:rsidRPr="003D057C">
              <w:rPr>
                <w:rFonts w:ascii="Century" w:hAnsi="Century"/>
                <w:color w:val="333333"/>
                <w:sz w:val="22"/>
                <w:szCs w:val="22"/>
                <w:lang w:eastAsia="tr-TR"/>
              </w:rPr>
              <w:t>.</w:t>
            </w:r>
            <w:r w:rsidR="00D6564D" w:rsidRPr="003D057C">
              <w:rPr>
                <w:rFonts w:ascii="Century" w:hAnsi="Century"/>
                <w:color w:val="333333"/>
                <w:sz w:val="22"/>
                <w:szCs w:val="22"/>
                <w:lang w:eastAsia="tr-TR"/>
              </w:rPr>
              <w:t>6</w:t>
            </w:r>
            <w:r w:rsidRPr="003D057C">
              <w:rPr>
                <w:rFonts w:ascii="Century" w:hAnsi="Century"/>
                <w:color w:val="333333"/>
                <w:sz w:val="22"/>
                <w:szCs w:val="22"/>
                <w:lang w:eastAsia="tr-TR"/>
              </w:rPr>
              <w:t xml:space="preserve">% </w:t>
            </w:r>
            <w:r w:rsidR="00265C7B" w:rsidRPr="003D057C">
              <w:rPr>
                <w:rFonts w:ascii="Century" w:hAnsi="Century"/>
                <w:color w:val="333333"/>
                <w:sz w:val="22"/>
                <w:szCs w:val="22"/>
                <w:lang w:eastAsia="tr-TR"/>
              </w:rPr>
              <w:t>in</w:t>
            </w:r>
            <w:r w:rsidRPr="003D057C">
              <w:rPr>
                <w:rFonts w:ascii="Century" w:hAnsi="Century"/>
                <w:color w:val="333333"/>
                <w:sz w:val="22"/>
                <w:szCs w:val="22"/>
                <w:lang w:eastAsia="tr-TR"/>
              </w:rPr>
              <w:t xml:space="preserve"> the same period</w:t>
            </w:r>
            <w:r w:rsidR="001A7A06" w:rsidRPr="003D057C">
              <w:rPr>
                <w:rFonts w:ascii="Century" w:hAnsi="Century"/>
                <w:color w:val="333333"/>
                <w:sz w:val="22"/>
                <w:szCs w:val="22"/>
                <w:lang w:eastAsia="tr-TR"/>
              </w:rPr>
              <w:t xml:space="preserve"> </w:t>
            </w:r>
            <w:r w:rsidRPr="003D057C">
              <w:rPr>
                <w:rFonts w:ascii="Century" w:hAnsi="Century"/>
                <w:color w:val="333333"/>
                <w:sz w:val="22"/>
                <w:szCs w:val="22"/>
                <w:lang w:eastAsia="tr-TR"/>
              </w:rPr>
              <w:t xml:space="preserve">and realized as </w:t>
            </w:r>
            <w:r w:rsidR="00D6564D" w:rsidRPr="003D057C">
              <w:rPr>
                <w:rFonts w:ascii="Century" w:hAnsi="Century"/>
                <w:color w:val="333333"/>
                <w:sz w:val="22"/>
                <w:szCs w:val="22"/>
                <w:lang w:eastAsia="tr-TR"/>
              </w:rPr>
              <w:t>22</w:t>
            </w:r>
            <w:r w:rsidR="00040485" w:rsidRPr="003D057C">
              <w:rPr>
                <w:rFonts w:ascii="Century" w:hAnsi="Century"/>
                <w:color w:val="333333"/>
                <w:sz w:val="22"/>
                <w:szCs w:val="22"/>
                <w:lang w:eastAsia="tr-TR"/>
              </w:rPr>
              <w:t>3</w:t>
            </w:r>
            <w:r w:rsidR="001A7A06" w:rsidRPr="003D057C">
              <w:rPr>
                <w:rFonts w:ascii="Century" w:hAnsi="Century"/>
                <w:color w:val="333333"/>
                <w:sz w:val="22"/>
                <w:szCs w:val="22"/>
                <w:lang w:eastAsia="tr-TR"/>
              </w:rPr>
              <w:t>.</w:t>
            </w:r>
            <w:r w:rsidR="00D6564D" w:rsidRPr="003D057C">
              <w:rPr>
                <w:rFonts w:ascii="Century" w:hAnsi="Century"/>
                <w:color w:val="333333"/>
                <w:sz w:val="22"/>
                <w:szCs w:val="22"/>
                <w:lang w:eastAsia="tr-TR"/>
              </w:rPr>
              <w:t>0</w:t>
            </w:r>
            <w:r w:rsidR="001A7A06" w:rsidRPr="003D057C">
              <w:rPr>
                <w:rFonts w:ascii="Century" w:hAnsi="Century"/>
                <w:color w:val="333333"/>
                <w:sz w:val="22"/>
                <w:szCs w:val="22"/>
                <w:lang w:eastAsia="tr-TR"/>
              </w:rPr>
              <w:t xml:space="preserve"> billion US dollars</w:t>
            </w:r>
            <w:r w:rsidRPr="003D057C">
              <w:rPr>
                <w:rFonts w:ascii="Century" w:hAnsi="Century"/>
                <w:color w:val="333333"/>
                <w:sz w:val="22"/>
                <w:szCs w:val="22"/>
                <w:lang w:eastAsia="tr-TR"/>
              </w:rPr>
              <w:t>.</w:t>
            </w:r>
            <w:r w:rsidR="001A7A06" w:rsidRPr="003D057C">
              <w:rPr>
                <w:rFonts w:ascii="Century" w:hAnsi="Century"/>
                <w:color w:val="333333"/>
                <w:sz w:val="22"/>
                <w:szCs w:val="22"/>
                <w:lang w:eastAsia="tr-TR"/>
              </w:rPr>
              <w:t xml:space="preserve"> </w:t>
            </w:r>
            <w:r w:rsidR="003D057C" w:rsidRPr="003D057C">
              <w:rPr>
                <w:rFonts w:ascii="Century" w:hAnsi="Century"/>
                <w:color w:val="333333"/>
                <w:sz w:val="22"/>
                <w:szCs w:val="22"/>
                <w:lang w:eastAsia="tr-TR"/>
              </w:rPr>
              <w:t>As a result of higher increase in export compared to export, Turkey’s foreign trade deficit has decreased by 28.2% and amounted to $55.1 billion.</w:t>
            </w:r>
          </w:p>
          <w:p w:rsidR="001A7A06" w:rsidRPr="003D057C" w:rsidRDefault="001A7A06" w:rsidP="003B729C">
            <w:pPr>
              <w:jc w:val="both"/>
              <w:rPr>
                <w:rFonts w:ascii="Century" w:hAnsi="Century"/>
                <w:color w:val="333333"/>
                <w:sz w:val="22"/>
                <w:szCs w:val="22"/>
                <w:lang w:eastAsia="tr-TR"/>
              </w:rPr>
            </w:pPr>
          </w:p>
          <w:p w:rsidR="001A7A06" w:rsidRPr="003D057C" w:rsidRDefault="00EE5CB5" w:rsidP="003B729C">
            <w:pPr>
              <w:jc w:val="both"/>
              <w:rPr>
                <w:rFonts w:ascii="Century" w:hAnsi="Century"/>
                <w:color w:val="333333"/>
                <w:sz w:val="22"/>
                <w:szCs w:val="22"/>
                <w:lang w:eastAsia="tr-TR"/>
              </w:rPr>
            </w:pPr>
            <w:r w:rsidRPr="003D057C">
              <w:rPr>
                <w:rFonts w:ascii="Century" w:hAnsi="Century"/>
                <w:color w:val="333333"/>
                <w:sz w:val="22"/>
                <w:szCs w:val="22"/>
                <w:lang w:eastAsia="tr-TR"/>
              </w:rPr>
              <w:t>Turkey’s</w:t>
            </w:r>
            <w:r w:rsidR="001A7A06" w:rsidRPr="003D057C">
              <w:rPr>
                <w:rFonts w:ascii="Century" w:hAnsi="Century"/>
                <w:color w:val="333333"/>
                <w:sz w:val="22"/>
                <w:szCs w:val="22"/>
                <w:lang w:eastAsia="tr-TR"/>
              </w:rPr>
              <w:t xml:space="preserve"> import and export figures for the last five years are shown in the table below.</w:t>
            </w:r>
          </w:p>
          <w:p w:rsidR="001A7A06" w:rsidRPr="003D057C" w:rsidRDefault="001A7A06" w:rsidP="003B729C">
            <w:pPr>
              <w:jc w:val="both"/>
              <w:rPr>
                <w:rFonts w:ascii="Century" w:hAnsi="Century"/>
                <w:color w:val="333333"/>
                <w:sz w:val="22"/>
                <w:szCs w:val="22"/>
                <w:lang w:eastAsia="tr-TR"/>
              </w:rPr>
            </w:pPr>
          </w:p>
        </w:tc>
      </w:tr>
      <w:tr w:rsidR="00645E83" w:rsidRPr="00B10D90" w:rsidTr="00441D50">
        <w:trPr>
          <w:gridAfter w:val="2"/>
          <w:wAfter w:w="38" w:type="dxa"/>
          <w:trHeight w:val="1904"/>
        </w:trPr>
        <w:tc>
          <w:tcPr>
            <w:tcW w:w="9820" w:type="dxa"/>
            <w:gridSpan w:val="14"/>
          </w:tcPr>
          <w:p w:rsidR="00117F6D" w:rsidRPr="00D6564D" w:rsidRDefault="00645E83" w:rsidP="00117F6D">
            <w:pPr>
              <w:jc w:val="center"/>
              <w:rPr>
                <w:rFonts w:ascii="Century" w:hAnsi="Century"/>
                <w:i/>
                <w:color w:val="000080"/>
                <w:sz w:val="20"/>
                <w:szCs w:val="20"/>
              </w:rPr>
            </w:pPr>
            <w:r w:rsidRPr="00D6564D">
              <w:rPr>
                <w:rFonts w:ascii="Century" w:hAnsi="Century"/>
                <w:b/>
                <w:color w:val="000080"/>
                <w:sz w:val="20"/>
                <w:szCs w:val="20"/>
              </w:rPr>
              <w:t>Tablo 1.1.</w:t>
            </w:r>
            <w:r w:rsidR="00BE0564" w:rsidRPr="00D6564D">
              <w:rPr>
                <w:rFonts w:ascii="Century" w:hAnsi="Century"/>
                <w:b/>
                <w:color w:val="000080"/>
                <w:sz w:val="20"/>
                <w:szCs w:val="20"/>
              </w:rPr>
              <w:t>2</w:t>
            </w:r>
            <w:r w:rsidRPr="00D6564D">
              <w:rPr>
                <w:rFonts w:ascii="Century" w:hAnsi="Century"/>
                <w:b/>
                <w:color w:val="000080"/>
                <w:sz w:val="20"/>
                <w:szCs w:val="20"/>
              </w:rPr>
              <w:t xml:space="preserve">: Dış Ticaret Dengesi  – </w:t>
            </w:r>
            <w:r w:rsidRPr="00D6564D">
              <w:rPr>
                <w:rFonts w:ascii="Century" w:hAnsi="Century"/>
                <w:i/>
                <w:color w:val="000080"/>
                <w:sz w:val="20"/>
                <w:szCs w:val="20"/>
              </w:rPr>
              <w:t>Foreign Trade Balance</w:t>
            </w:r>
          </w:p>
          <w:p w:rsidR="00366458" w:rsidRPr="003D057C" w:rsidRDefault="00D6564D" w:rsidP="00117F6D">
            <w:pPr>
              <w:jc w:val="center"/>
              <w:rPr>
                <w:rFonts w:ascii="Century" w:hAnsi="Century"/>
                <w:i/>
                <w:color w:val="000080"/>
                <w:sz w:val="20"/>
                <w:szCs w:val="20"/>
              </w:rPr>
            </w:pPr>
            <w:r w:rsidRPr="003D057C">
              <w:rPr>
                <w:rFonts w:ascii="Century" w:hAnsi="Century"/>
                <w:i/>
                <w:noProof/>
                <w:color w:val="000080"/>
                <w:sz w:val="20"/>
                <w:szCs w:val="20"/>
              </w:rPr>
              <w:drawing>
                <wp:inline distT="0" distB="0" distL="0" distR="0" wp14:anchorId="70FC3DE1" wp14:editId="17DEDA5A">
                  <wp:extent cx="6098540" cy="9702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540" cy="970280"/>
                          </a:xfrm>
                          <a:prstGeom prst="rect">
                            <a:avLst/>
                          </a:prstGeom>
                          <a:noFill/>
                          <a:ln>
                            <a:noFill/>
                          </a:ln>
                        </pic:spPr>
                      </pic:pic>
                    </a:graphicData>
                  </a:graphic>
                </wp:inline>
              </w:drawing>
            </w:r>
          </w:p>
          <w:p w:rsidR="008E4BB0" w:rsidRPr="003D057C" w:rsidRDefault="008E4BB0" w:rsidP="00E02291">
            <w:pPr>
              <w:jc w:val="both"/>
              <w:rPr>
                <w:rFonts w:ascii="Century" w:hAnsi="Century" w:cs="Arial TUR"/>
                <w:sz w:val="16"/>
                <w:szCs w:val="16"/>
                <w:lang w:eastAsia="tr-TR"/>
              </w:rPr>
            </w:pPr>
            <w:r w:rsidRPr="003D057C">
              <w:rPr>
                <w:rFonts w:ascii="Century" w:hAnsi="Century" w:cs="Arial TUR"/>
                <w:sz w:val="16"/>
                <w:szCs w:val="16"/>
                <w:lang w:eastAsia="tr-TR"/>
              </w:rPr>
              <w:t>(*) TÜİK verilerinden derlenmiştir.</w:t>
            </w:r>
            <w:r w:rsidR="003D057C" w:rsidRPr="003D057C">
              <w:rPr>
                <w:rFonts w:ascii="Century" w:hAnsi="Century" w:cs="Arial TUR"/>
                <w:i/>
                <w:sz w:val="16"/>
                <w:szCs w:val="16"/>
                <w:lang w:eastAsia="tr-TR"/>
              </w:rPr>
              <w:t xml:space="preserve"> Source: TUIK.</w:t>
            </w:r>
          </w:p>
          <w:p w:rsidR="00CA4360" w:rsidRPr="003D057C" w:rsidRDefault="00A63AD8" w:rsidP="00E02291">
            <w:pPr>
              <w:jc w:val="both"/>
              <w:rPr>
                <w:rFonts w:ascii="Century" w:hAnsi="Century" w:cs="Arial TUR"/>
                <w:i/>
                <w:sz w:val="16"/>
                <w:szCs w:val="16"/>
                <w:lang w:eastAsia="tr-TR"/>
              </w:rPr>
            </w:pPr>
            <w:r w:rsidRPr="003D057C">
              <w:rPr>
                <w:rFonts w:ascii="Century" w:hAnsi="Century" w:cs="Arial TUR"/>
                <w:sz w:val="16"/>
                <w:szCs w:val="16"/>
                <w:lang w:eastAsia="tr-TR"/>
              </w:rPr>
              <w:t>(*</w:t>
            </w:r>
            <w:r w:rsidR="008E4BB0" w:rsidRPr="003D057C">
              <w:rPr>
                <w:rFonts w:ascii="Century" w:hAnsi="Century" w:cs="Arial TUR"/>
                <w:sz w:val="16"/>
                <w:szCs w:val="16"/>
                <w:lang w:eastAsia="tr-TR"/>
              </w:rPr>
              <w:t>*</w:t>
            </w:r>
            <w:r w:rsidRPr="003D057C">
              <w:rPr>
                <w:rFonts w:ascii="Century" w:hAnsi="Century" w:cs="Arial TUR"/>
                <w:sz w:val="16"/>
                <w:szCs w:val="16"/>
                <w:lang w:eastAsia="tr-TR"/>
              </w:rPr>
              <w:t>) 201</w:t>
            </w:r>
            <w:r w:rsidR="007F573E" w:rsidRPr="003D057C">
              <w:rPr>
                <w:rFonts w:ascii="Century" w:hAnsi="Century" w:cs="Arial TUR"/>
                <w:sz w:val="16"/>
                <w:szCs w:val="16"/>
                <w:lang w:eastAsia="tr-TR"/>
              </w:rPr>
              <w:t>8</w:t>
            </w:r>
            <w:r w:rsidRPr="003D057C">
              <w:rPr>
                <w:rFonts w:ascii="Century" w:hAnsi="Century" w:cs="Arial TUR"/>
                <w:sz w:val="16"/>
                <w:szCs w:val="16"/>
                <w:lang w:eastAsia="tr-TR"/>
              </w:rPr>
              <w:t xml:space="preserve"> yılı verileri geçicidir. </w:t>
            </w:r>
            <w:r w:rsidRPr="003D057C">
              <w:rPr>
                <w:rFonts w:ascii="Century" w:hAnsi="Century" w:cs="Arial TUR"/>
                <w:i/>
                <w:sz w:val="16"/>
                <w:szCs w:val="16"/>
                <w:lang w:eastAsia="tr-TR"/>
              </w:rPr>
              <w:t>Data for 201</w:t>
            </w:r>
            <w:r w:rsidR="007F573E" w:rsidRPr="003D057C">
              <w:rPr>
                <w:rFonts w:ascii="Century" w:hAnsi="Century" w:cs="Arial TUR"/>
                <w:i/>
                <w:sz w:val="16"/>
                <w:szCs w:val="16"/>
                <w:lang w:eastAsia="tr-TR"/>
              </w:rPr>
              <w:t>8</w:t>
            </w:r>
            <w:r w:rsidRPr="003D057C">
              <w:rPr>
                <w:rFonts w:ascii="Century" w:hAnsi="Century" w:cs="Arial TUR"/>
                <w:i/>
                <w:sz w:val="16"/>
                <w:szCs w:val="16"/>
                <w:lang w:eastAsia="tr-TR"/>
              </w:rPr>
              <w:t xml:space="preserve"> is provisional.</w:t>
            </w:r>
          </w:p>
          <w:p w:rsidR="00A63AD8" w:rsidRPr="00B10D90" w:rsidRDefault="00A63AD8" w:rsidP="00E02291">
            <w:pPr>
              <w:jc w:val="both"/>
              <w:rPr>
                <w:rFonts w:ascii="Century" w:hAnsi="Century"/>
                <w:b/>
                <w:color w:val="003366"/>
                <w:sz w:val="22"/>
                <w:szCs w:val="22"/>
                <w:highlight w:val="yellow"/>
              </w:rPr>
            </w:pPr>
          </w:p>
        </w:tc>
      </w:tr>
      <w:tr w:rsidR="009B27BC" w:rsidRPr="00B10D90" w:rsidTr="00441D50">
        <w:trPr>
          <w:gridAfter w:val="2"/>
          <w:wAfter w:w="38" w:type="dxa"/>
          <w:trHeight w:val="283"/>
        </w:trPr>
        <w:tc>
          <w:tcPr>
            <w:tcW w:w="4817" w:type="dxa"/>
            <w:gridSpan w:val="2"/>
          </w:tcPr>
          <w:p w:rsidR="00555DF2" w:rsidRPr="00B10D90" w:rsidRDefault="003A30AF" w:rsidP="00555DF2">
            <w:pPr>
              <w:jc w:val="both"/>
              <w:rPr>
                <w:rFonts w:ascii="Century" w:hAnsi="Century"/>
                <w:color w:val="000000"/>
                <w:sz w:val="22"/>
                <w:szCs w:val="22"/>
                <w:highlight w:val="yellow"/>
                <w:lang w:eastAsia="tr-TR"/>
              </w:rPr>
            </w:pPr>
            <w:r w:rsidRPr="00A30242">
              <w:rPr>
                <w:rFonts w:ascii="Century" w:hAnsi="Century"/>
                <w:color w:val="000000"/>
                <w:sz w:val="22"/>
                <w:szCs w:val="22"/>
                <w:lang w:eastAsia="tr-TR"/>
              </w:rPr>
              <w:t>BDDK</w:t>
            </w:r>
            <w:r w:rsidR="000B0F4F" w:rsidRPr="00A30242">
              <w:rPr>
                <w:rFonts w:ascii="Century" w:hAnsi="Century"/>
                <w:color w:val="000000"/>
                <w:sz w:val="22"/>
                <w:szCs w:val="22"/>
                <w:lang w:eastAsia="tr-TR"/>
              </w:rPr>
              <w:t xml:space="preserve">, SPK ve </w:t>
            </w:r>
            <w:r w:rsidR="008938BC" w:rsidRPr="00A30242">
              <w:rPr>
                <w:rFonts w:ascii="Century" w:hAnsi="Century"/>
                <w:color w:val="000000"/>
                <w:sz w:val="22"/>
                <w:szCs w:val="22"/>
                <w:lang w:eastAsia="tr-TR"/>
              </w:rPr>
              <w:t>T</w:t>
            </w:r>
            <w:r w:rsidR="003B5A73" w:rsidRPr="00A30242">
              <w:rPr>
                <w:rFonts w:ascii="Century" w:hAnsi="Century"/>
                <w:color w:val="000000"/>
                <w:sz w:val="22"/>
                <w:szCs w:val="22"/>
                <w:lang w:eastAsia="tr-TR"/>
              </w:rPr>
              <w:t>SPB</w:t>
            </w:r>
            <w:r w:rsidRPr="00A30242">
              <w:rPr>
                <w:rFonts w:ascii="Century" w:hAnsi="Century"/>
                <w:color w:val="000000"/>
                <w:sz w:val="22"/>
                <w:szCs w:val="22"/>
                <w:lang w:eastAsia="tr-TR"/>
              </w:rPr>
              <w:t xml:space="preserve"> verilerin</w:t>
            </w:r>
            <w:r w:rsidR="00EE5CB5" w:rsidRPr="00A30242">
              <w:rPr>
                <w:rFonts w:ascii="Century" w:hAnsi="Century"/>
                <w:color w:val="000000"/>
                <w:sz w:val="22"/>
                <w:szCs w:val="22"/>
                <w:lang w:eastAsia="tr-TR"/>
              </w:rPr>
              <w:t>e</w:t>
            </w:r>
            <w:r w:rsidR="000B0F4F" w:rsidRPr="00A30242">
              <w:rPr>
                <w:rFonts w:ascii="Century" w:hAnsi="Century"/>
                <w:color w:val="000000"/>
                <w:sz w:val="22"/>
                <w:szCs w:val="22"/>
                <w:lang w:eastAsia="tr-TR"/>
              </w:rPr>
              <w:t xml:space="preserve"> </w:t>
            </w:r>
            <w:r w:rsidRPr="00A30242">
              <w:rPr>
                <w:rFonts w:ascii="Century" w:hAnsi="Century"/>
                <w:color w:val="000000"/>
                <w:sz w:val="22"/>
                <w:szCs w:val="22"/>
                <w:lang w:eastAsia="tr-TR"/>
              </w:rPr>
              <w:t xml:space="preserve">göre </w:t>
            </w:r>
            <w:r w:rsidR="000B0F4F" w:rsidRPr="00A30242">
              <w:rPr>
                <w:rFonts w:ascii="Century" w:hAnsi="Century"/>
                <w:color w:val="000000"/>
                <w:sz w:val="22"/>
                <w:szCs w:val="22"/>
                <w:lang w:eastAsia="tr-TR"/>
              </w:rPr>
              <w:t>Borsa İstanbul hariç</w:t>
            </w:r>
            <w:r w:rsidR="005D436B" w:rsidRPr="00A30242">
              <w:rPr>
                <w:rFonts w:ascii="Century" w:hAnsi="Century"/>
                <w:color w:val="000000"/>
                <w:sz w:val="22"/>
                <w:szCs w:val="22"/>
                <w:lang w:eastAsia="tr-TR"/>
              </w:rPr>
              <w:t>,</w:t>
            </w:r>
            <w:r w:rsidR="000B0F4F" w:rsidRPr="00A30242">
              <w:rPr>
                <w:rFonts w:ascii="Century" w:hAnsi="Century"/>
                <w:color w:val="000000"/>
                <w:sz w:val="22"/>
                <w:szCs w:val="22"/>
                <w:lang w:eastAsia="tr-TR"/>
              </w:rPr>
              <w:t xml:space="preserve"> </w:t>
            </w:r>
            <w:r w:rsidR="00EE5CB5" w:rsidRPr="00A30242">
              <w:rPr>
                <w:rFonts w:ascii="Century" w:hAnsi="Century"/>
                <w:color w:val="000000"/>
                <w:sz w:val="22"/>
                <w:szCs w:val="22"/>
                <w:lang w:eastAsia="tr-TR"/>
              </w:rPr>
              <w:t xml:space="preserve">ülkemizde </w:t>
            </w:r>
            <w:r w:rsidR="000B0F4F" w:rsidRPr="00A30242">
              <w:rPr>
                <w:rFonts w:ascii="Century" w:hAnsi="Century"/>
                <w:color w:val="000000"/>
                <w:sz w:val="22"/>
                <w:szCs w:val="22"/>
                <w:lang w:eastAsia="tr-TR"/>
              </w:rPr>
              <w:t>f</w:t>
            </w:r>
            <w:r w:rsidR="00F56268" w:rsidRPr="00A30242">
              <w:rPr>
                <w:rFonts w:ascii="Century" w:hAnsi="Century"/>
                <w:color w:val="000000"/>
                <w:sz w:val="22"/>
                <w:szCs w:val="22"/>
                <w:lang w:eastAsia="tr-TR"/>
              </w:rPr>
              <w:t>inans</w:t>
            </w:r>
            <w:r w:rsidR="00FB7F42" w:rsidRPr="00A30242">
              <w:rPr>
                <w:rFonts w:ascii="Century" w:hAnsi="Century"/>
                <w:color w:val="000000"/>
                <w:sz w:val="22"/>
                <w:szCs w:val="22"/>
                <w:lang w:eastAsia="tr-TR"/>
              </w:rPr>
              <w:t>al</w:t>
            </w:r>
            <w:r w:rsidR="00F56268" w:rsidRPr="00A30242">
              <w:rPr>
                <w:rFonts w:ascii="Century" w:hAnsi="Century"/>
                <w:color w:val="000000"/>
                <w:sz w:val="22"/>
                <w:szCs w:val="22"/>
                <w:lang w:eastAsia="tr-TR"/>
              </w:rPr>
              <w:t xml:space="preserve"> </w:t>
            </w:r>
            <w:r w:rsidR="00E00BA4" w:rsidRPr="00A30242">
              <w:rPr>
                <w:rFonts w:ascii="Century" w:hAnsi="Century"/>
                <w:color w:val="000000"/>
                <w:sz w:val="22"/>
                <w:szCs w:val="22"/>
                <w:lang w:eastAsia="tr-TR"/>
              </w:rPr>
              <w:t>s</w:t>
            </w:r>
            <w:r w:rsidR="00F56268" w:rsidRPr="00A30242">
              <w:rPr>
                <w:rFonts w:ascii="Century" w:hAnsi="Century"/>
                <w:color w:val="000000"/>
                <w:sz w:val="22"/>
                <w:szCs w:val="22"/>
                <w:lang w:eastAsia="tr-TR"/>
              </w:rPr>
              <w:t>ektör</w:t>
            </w:r>
            <w:r w:rsidR="00FB7F42" w:rsidRPr="00A30242">
              <w:rPr>
                <w:rFonts w:ascii="Century" w:hAnsi="Century"/>
                <w:color w:val="000000"/>
                <w:sz w:val="22"/>
                <w:szCs w:val="22"/>
                <w:lang w:eastAsia="tr-TR"/>
              </w:rPr>
              <w:t>lerin</w:t>
            </w:r>
            <w:r w:rsidR="00F56268" w:rsidRPr="00A30242">
              <w:rPr>
                <w:rFonts w:ascii="Century" w:hAnsi="Century"/>
                <w:color w:val="000000"/>
                <w:sz w:val="22"/>
                <w:szCs w:val="22"/>
                <w:lang w:eastAsia="tr-TR"/>
              </w:rPr>
              <w:t xml:space="preserve"> </w:t>
            </w:r>
            <w:r w:rsidRPr="00A30242">
              <w:rPr>
                <w:rFonts w:ascii="Century" w:hAnsi="Century"/>
                <w:color w:val="000000"/>
                <w:sz w:val="22"/>
                <w:szCs w:val="22"/>
                <w:lang w:eastAsia="tr-TR"/>
              </w:rPr>
              <w:t xml:space="preserve">aktif toplamı </w:t>
            </w:r>
            <w:r w:rsidR="000751C9" w:rsidRPr="00A30242">
              <w:rPr>
                <w:rFonts w:ascii="Century" w:hAnsi="Century"/>
                <w:color w:val="000000"/>
                <w:sz w:val="22"/>
                <w:szCs w:val="22"/>
                <w:lang w:eastAsia="tr-TR"/>
              </w:rPr>
              <w:t>201</w:t>
            </w:r>
            <w:r w:rsidR="00EC5821" w:rsidRPr="00A30242">
              <w:rPr>
                <w:rFonts w:ascii="Century" w:hAnsi="Century"/>
                <w:color w:val="000000"/>
                <w:sz w:val="22"/>
                <w:szCs w:val="22"/>
                <w:lang w:eastAsia="tr-TR"/>
              </w:rPr>
              <w:t>8</w:t>
            </w:r>
            <w:r w:rsidR="00813B2F" w:rsidRPr="00A30242">
              <w:rPr>
                <w:rFonts w:ascii="Century" w:hAnsi="Century"/>
                <w:color w:val="000000"/>
                <w:sz w:val="22"/>
                <w:szCs w:val="22"/>
                <w:lang w:eastAsia="tr-TR"/>
              </w:rPr>
              <w:t xml:space="preserve"> yılı</w:t>
            </w:r>
            <w:r w:rsidR="0032459B" w:rsidRPr="00A30242">
              <w:rPr>
                <w:rFonts w:ascii="Century" w:hAnsi="Century"/>
                <w:color w:val="000000"/>
                <w:sz w:val="22"/>
                <w:szCs w:val="22"/>
                <w:lang w:eastAsia="tr-TR"/>
              </w:rPr>
              <w:t>nda</w:t>
            </w:r>
            <w:r w:rsidR="005D436B" w:rsidRPr="00A30242">
              <w:rPr>
                <w:rFonts w:ascii="Century" w:hAnsi="Century"/>
                <w:color w:val="000000"/>
                <w:sz w:val="22"/>
                <w:szCs w:val="22"/>
                <w:lang w:eastAsia="tr-TR"/>
              </w:rPr>
              <w:t xml:space="preserve"> </w:t>
            </w:r>
            <w:r w:rsidR="00813B2F" w:rsidRPr="00A30242">
              <w:rPr>
                <w:rFonts w:ascii="Century" w:hAnsi="Century"/>
                <w:color w:val="000000"/>
                <w:sz w:val="22"/>
                <w:szCs w:val="22"/>
                <w:lang w:eastAsia="tr-TR"/>
              </w:rPr>
              <w:t>%</w:t>
            </w:r>
            <w:r w:rsidR="00EC5821" w:rsidRPr="00A30242">
              <w:rPr>
                <w:rFonts w:ascii="Century" w:hAnsi="Century"/>
                <w:color w:val="000000"/>
                <w:sz w:val="22"/>
                <w:szCs w:val="22"/>
                <w:lang w:eastAsia="tr-TR"/>
              </w:rPr>
              <w:t>17</w:t>
            </w:r>
            <w:r w:rsidR="00F56268" w:rsidRPr="00A30242">
              <w:rPr>
                <w:rFonts w:ascii="Century" w:hAnsi="Century"/>
                <w:color w:val="000000"/>
                <w:sz w:val="22"/>
                <w:szCs w:val="22"/>
                <w:lang w:eastAsia="tr-TR"/>
              </w:rPr>
              <w:t xml:space="preserve"> oranında </w:t>
            </w:r>
            <w:r w:rsidR="0033095B" w:rsidRPr="00A30242">
              <w:rPr>
                <w:rFonts w:ascii="Century" w:hAnsi="Century"/>
                <w:color w:val="000000"/>
                <w:sz w:val="22"/>
                <w:szCs w:val="22"/>
                <w:lang w:eastAsia="tr-TR"/>
              </w:rPr>
              <w:t>art</w:t>
            </w:r>
            <w:r w:rsidR="0032459B" w:rsidRPr="00A30242">
              <w:rPr>
                <w:rFonts w:ascii="Century" w:hAnsi="Century"/>
                <w:color w:val="000000"/>
                <w:sz w:val="22"/>
                <w:szCs w:val="22"/>
                <w:lang w:eastAsia="tr-TR"/>
              </w:rPr>
              <w:t>ışla</w:t>
            </w:r>
            <w:r w:rsidR="005D436B" w:rsidRPr="00A30242">
              <w:rPr>
                <w:rFonts w:ascii="Century" w:hAnsi="Century"/>
                <w:color w:val="000000"/>
                <w:sz w:val="22"/>
                <w:szCs w:val="22"/>
                <w:lang w:eastAsia="tr-TR"/>
              </w:rPr>
              <w:t xml:space="preserve"> </w:t>
            </w:r>
            <w:r w:rsidR="00A30242" w:rsidRPr="00A30242">
              <w:rPr>
                <w:rFonts w:ascii="Century" w:hAnsi="Century"/>
                <w:color w:val="000000"/>
                <w:sz w:val="22"/>
                <w:szCs w:val="22"/>
                <w:lang w:eastAsia="tr-TR"/>
              </w:rPr>
              <w:t>4</w:t>
            </w:r>
            <w:r w:rsidR="005D436B" w:rsidRPr="00A30242">
              <w:rPr>
                <w:rFonts w:ascii="Century" w:hAnsi="Century"/>
                <w:color w:val="000000"/>
                <w:sz w:val="22"/>
                <w:szCs w:val="22"/>
                <w:lang w:eastAsia="tr-TR"/>
              </w:rPr>
              <w:t>,</w:t>
            </w:r>
            <w:r w:rsidR="00A30242" w:rsidRPr="00A30242">
              <w:rPr>
                <w:rFonts w:ascii="Century" w:hAnsi="Century"/>
                <w:color w:val="000000"/>
                <w:sz w:val="22"/>
                <w:szCs w:val="22"/>
                <w:lang w:eastAsia="tr-TR"/>
              </w:rPr>
              <w:t>28</w:t>
            </w:r>
            <w:r w:rsidR="005D436B" w:rsidRPr="00A30242">
              <w:rPr>
                <w:rFonts w:ascii="Century" w:hAnsi="Century"/>
                <w:color w:val="000000"/>
                <w:sz w:val="22"/>
                <w:szCs w:val="22"/>
                <w:lang w:eastAsia="tr-TR"/>
              </w:rPr>
              <w:t xml:space="preserve"> trilyon TL’ye ulaşmıştır. Ülkemiz f</w:t>
            </w:r>
            <w:r w:rsidR="0048247D" w:rsidRPr="00A30242">
              <w:rPr>
                <w:rFonts w:ascii="Century" w:hAnsi="Century"/>
                <w:color w:val="000000"/>
                <w:sz w:val="22"/>
                <w:szCs w:val="22"/>
                <w:lang w:eastAsia="tr-TR"/>
              </w:rPr>
              <w:t>inans</w:t>
            </w:r>
            <w:r w:rsidR="00EE5CB5" w:rsidRPr="00A30242">
              <w:rPr>
                <w:rFonts w:ascii="Century" w:hAnsi="Century"/>
                <w:color w:val="000000"/>
                <w:sz w:val="22"/>
                <w:szCs w:val="22"/>
                <w:lang w:eastAsia="tr-TR"/>
              </w:rPr>
              <w:t>al sisteminde</w:t>
            </w:r>
            <w:r w:rsidR="00F56268" w:rsidRPr="00A30242">
              <w:rPr>
                <w:rFonts w:ascii="Century" w:hAnsi="Century"/>
                <w:color w:val="000000"/>
                <w:sz w:val="22"/>
                <w:szCs w:val="22"/>
                <w:lang w:eastAsia="tr-TR"/>
              </w:rPr>
              <w:t xml:space="preserve"> </w:t>
            </w:r>
            <w:r w:rsidR="005D436B" w:rsidRPr="00A30242">
              <w:rPr>
                <w:rFonts w:ascii="Century" w:hAnsi="Century"/>
                <w:color w:val="000000"/>
                <w:sz w:val="22"/>
                <w:szCs w:val="22"/>
                <w:lang w:eastAsia="tr-TR"/>
              </w:rPr>
              <w:t>geleneksel olarak</w:t>
            </w:r>
            <w:r w:rsidR="00F56268" w:rsidRPr="00A30242">
              <w:rPr>
                <w:rFonts w:ascii="Century" w:hAnsi="Century"/>
                <w:color w:val="000000"/>
                <w:sz w:val="22"/>
                <w:szCs w:val="22"/>
                <w:lang w:eastAsia="tr-TR"/>
              </w:rPr>
              <w:t xml:space="preserve"> </w:t>
            </w:r>
            <w:r w:rsidR="0048247D" w:rsidRPr="00A30242">
              <w:rPr>
                <w:rFonts w:ascii="Century" w:hAnsi="Century"/>
                <w:color w:val="000000"/>
                <w:sz w:val="22"/>
                <w:szCs w:val="22"/>
                <w:lang w:eastAsia="tr-TR"/>
              </w:rPr>
              <w:t xml:space="preserve">bankacılık sektörü </w:t>
            </w:r>
            <w:r w:rsidR="00F56268" w:rsidRPr="00A30242">
              <w:rPr>
                <w:rFonts w:ascii="Century" w:hAnsi="Century"/>
                <w:color w:val="000000"/>
                <w:sz w:val="22"/>
                <w:szCs w:val="22"/>
                <w:lang w:eastAsia="tr-TR"/>
              </w:rPr>
              <w:t>en büyük paya sahip</w:t>
            </w:r>
            <w:r w:rsidR="0048247D" w:rsidRPr="00A30242">
              <w:rPr>
                <w:rFonts w:ascii="Century" w:hAnsi="Century"/>
                <w:color w:val="000000"/>
                <w:sz w:val="22"/>
                <w:szCs w:val="22"/>
                <w:lang w:eastAsia="tr-TR"/>
              </w:rPr>
              <w:t xml:space="preserve">tir. </w:t>
            </w:r>
            <w:r w:rsidR="00FC306E" w:rsidRPr="00A30242">
              <w:rPr>
                <w:rFonts w:ascii="Century" w:hAnsi="Century"/>
                <w:color w:val="000000"/>
                <w:sz w:val="22"/>
                <w:szCs w:val="22"/>
                <w:lang w:eastAsia="tr-TR"/>
              </w:rPr>
              <w:t>201</w:t>
            </w:r>
            <w:r w:rsidR="00A30242" w:rsidRPr="00A30242">
              <w:rPr>
                <w:rFonts w:ascii="Century" w:hAnsi="Century"/>
                <w:color w:val="000000"/>
                <w:sz w:val="22"/>
                <w:szCs w:val="22"/>
                <w:lang w:eastAsia="tr-TR"/>
              </w:rPr>
              <w:t>8</w:t>
            </w:r>
            <w:r w:rsidR="00FC306E" w:rsidRPr="00A30242">
              <w:rPr>
                <w:rFonts w:ascii="Century" w:hAnsi="Century"/>
                <w:color w:val="000000"/>
                <w:sz w:val="22"/>
                <w:szCs w:val="22"/>
                <w:lang w:eastAsia="tr-TR"/>
              </w:rPr>
              <w:t xml:space="preserve"> yılında b</w:t>
            </w:r>
            <w:r w:rsidR="00F56268" w:rsidRPr="00A30242">
              <w:rPr>
                <w:rFonts w:ascii="Century" w:hAnsi="Century"/>
                <w:color w:val="000000"/>
                <w:sz w:val="22"/>
                <w:szCs w:val="22"/>
                <w:lang w:eastAsia="tr-TR"/>
              </w:rPr>
              <w:t xml:space="preserve">ankacılık </w:t>
            </w:r>
            <w:r w:rsidR="005851DB" w:rsidRPr="00A30242">
              <w:rPr>
                <w:rFonts w:ascii="Century" w:hAnsi="Century"/>
                <w:color w:val="000000"/>
                <w:sz w:val="22"/>
                <w:szCs w:val="22"/>
                <w:lang w:eastAsia="tr-TR"/>
              </w:rPr>
              <w:t>sektörü</w:t>
            </w:r>
            <w:r w:rsidR="003B5A73" w:rsidRPr="00A30242">
              <w:rPr>
                <w:rFonts w:ascii="Century" w:hAnsi="Century"/>
                <w:color w:val="000000"/>
                <w:sz w:val="22"/>
                <w:szCs w:val="22"/>
                <w:lang w:eastAsia="tr-TR"/>
              </w:rPr>
              <w:t>n</w:t>
            </w:r>
            <w:r w:rsidR="0048247D" w:rsidRPr="00A30242">
              <w:rPr>
                <w:rFonts w:ascii="Century" w:hAnsi="Century"/>
                <w:color w:val="000000"/>
                <w:sz w:val="22"/>
                <w:szCs w:val="22"/>
                <w:lang w:eastAsia="tr-TR"/>
              </w:rPr>
              <w:t>ün</w:t>
            </w:r>
            <w:r w:rsidR="005851DB" w:rsidRPr="00A30242">
              <w:rPr>
                <w:rFonts w:ascii="Century" w:hAnsi="Century"/>
                <w:color w:val="000000"/>
                <w:sz w:val="22"/>
                <w:szCs w:val="22"/>
                <w:lang w:eastAsia="tr-TR"/>
              </w:rPr>
              <w:t xml:space="preserve"> aktif toplamı </w:t>
            </w:r>
            <w:r w:rsidR="00813B2F" w:rsidRPr="00A30242">
              <w:rPr>
                <w:rFonts w:ascii="Century" w:hAnsi="Century"/>
                <w:color w:val="000000"/>
                <w:sz w:val="22"/>
                <w:szCs w:val="22"/>
                <w:lang w:eastAsia="tr-TR"/>
              </w:rPr>
              <w:t>%</w:t>
            </w:r>
            <w:r w:rsidR="00A30242" w:rsidRPr="00A30242">
              <w:rPr>
                <w:rFonts w:ascii="Century" w:hAnsi="Century"/>
                <w:color w:val="000000"/>
                <w:sz w:val="22"/>
                <w:szCs w:val="22"/>
                <w:lang w:eastAsia="tr-TR"/>
              </w:rPr>
              <w:t>18</w:t>
            </w:r>
            <w:proofErr w:type="gramStart"/>
            <w:r w:rsidR="00E66FE6" w:rsidRPr="00A30242">
              <w:rPr>
                <w:rFonts w:ascii="Century" w:hAnsi="Century"/>
                <w:color w:val="000000"/>
                <w:sz w:val="22"/>
                <w:szCs w:val="22"/>
                <w:lang w:val="tr-TR" w:eastAsia="tr-TR"/>
              </w:rPr>
              <w:t>,</w:t>
            </w:r>
            <w:r w:rsidR="00A30242" w:rsidRPr="00A30242">
              <w:rPr>
                <w:rFonts w:ascii="Century" w:hAnsi="Century"/>
                <w:color w:val="000000"/>
                <w:sz w:val="22"/>
                <w:szCs w:val="22"/>
                <w:lang w:val="tr-TR" w:eastAsia="tr-TR"/>
              </w:rPr>
              <w:t>7</w:t>
            </w:r>
            <w:proofErr w:type="gramEnd"/>
            <w:r w:rsidR="00C9352A" w:rsidRPr="00A30242">
              <w:rPr>
                <w:rFonts w:ascii="Century" w:hAnsi="Century"/>
                <w:color w:val="000000"/>
                <w:sz w:val="22"/>
                <w:szCs w:val="22"/>
                <w:lang w:val="tr-TR" w:eastAsia="tr-TR"/>
              </w:rPr>
              <w:t xml:space="preserve"> oranında art</w:t>
            </w:r>
            <w:r w:rsidR="00EE5CB5" w:rsidRPr="00A30242">
              <w:rPr>
                <w:rFonts w:ascii="Century" w:hAnsi="Century"/>
                <w:color w:val="000000"/>
                <w:sz w:val="22"/>
                <w:szCs w:val="22"/>
                <w:lang w:val="tr-TR" w:eastAsia="tr-TR"/>
              </w:rPr>
              <w:t xml:space="preserve">mıştır. Buna karşılık, </w:t>
            </w:r>
            <w:r w:rsidR="00FC306E" w:rsidRPr="00A30242">
              <w:rPr>
                <w:rFonts w:ascii="Century" w:hAnsi="Century"/>
                <w:color w:val="000000"/>
                <w:sz w:val="22"/>
                <w:szCs w:val="22"/>
                <w:lang w:eastAsia="tr-TR"/>
              </w:rPr>
              <w:t>e</w:t>
            </w:r>
            <w:r w:rsidR="00675832" w:rsidRPr="00A30242">
              <w:rPr>
                <w:rFonts w:ascii="Century" w:hAnsi="Century"/>
                <w:color w:val="000000"/>
                <w:sz w:val="22"/>
                <w:szCs w:val="22"/>
                <w:lang w:eastAsia="tr-TR"/>
              </w:rPr>
              <w:t>meklilik y</w:t>
            </w:r>
            <w:r w:rsidR="00A30242" w:rsidRPr="00A30242">
              <w:rPr>
                <w:rFonts w:ascii="Century" w:hAnsi="Century"/>
                <w:color w:val="000000"/>
                <w:sz w:val="22"/>
                <w:szCs w:val="22"/>
                <w:lang w:eastAsia="tr-TR"/>
              </w:rPr>
              <w:t>atırım fonlarındaki %13</w:t>
            </w:r>
            <w:r w:rsidR="00FC306E" w:rsidRPr="00A30242">
              <w:rPr>
                <w:rFonts w:ascii="Century" w:hAnsi="Century"/>
                <w:color w:val="000000"/>
                <w:sz w:val="22"/>
                <w:szCs w:val="22"/>
                <w:lang w:eastAsia="tr-TR"/>
              </w:rPr>
              <w:t>,</w:t>
            </w:r>
            <w:r w:rsidR="007008CA" w:rsidRPr="00A30242">
              <w:rPr>
                <w:rFonts w:ascii="Century" w:hAnsi="Century"/>
                <w:color w:val="000000"/>
                <w:sz w:val="22"/>
                <w:szCs w:val="22"/>
                <w:lang w:eastAsia="tr-TR"/>
              </w:rPr>
              <w:t>8</w:t>
            </w:r>
            <w:r w:rsidR="00FC306E" w:rsidRPr="00A30242">
              <w:rPr>
                <w:rFonts w:ascii="Century" w:hAnsi="Century"/>
                <w:color w:val="000000"/>
                <w:sz w:val="22"/>
                <w:szCs w:val="22"/>
                <w:lang w:eastAsia="tr-TR"/>
              </w:rPr>
              <w:t>’l</w:t>
            </w:r>
            <w:r w:rsidR="009A0085" w:rsidRPr="00A30242">
              <w:rPr>
                <w:rFonts w:ascii="Century" w:hAnsi="Century"/>
                <w:color w:val="000000"/>
                <w:sz w:val="22"/>
                <w:szCs w:val="22"/>
                <w:lang w:eastAsia="tr-TR"/>
              </w:rPr>
              <w:t>i</w:t>
            </w:r>
            <w:r w:rsidR="00FC306E" w:rsidRPr="00A30242">
              <w:rPr>
                <w:rFonts w:ascii="Century" w:hAnsi="Century"/>
                <w:color w:val="000000"/>
                <w:sz w:val="22"/>
                <w:szCs w:val="22"/>
                <w:lang w:eastAsia="tr-TR"/>
              </w:rPr>
              <w:t>k artışın</w:t>
            </w:r>
            <w:r w:rsidR="00675832" w:rsidRPr="00A30242">
              <w:rPr>
                <w:rFonts w:ascii="Century" w:hAnsi="Century"/>
                <w:color w:val="000000"/>
                <w:sz w:val="22"/>
                <w:szCs w:val="22"/>
                <w:lang w:eastAsia="tr-TR"/>
              </w:rPr>
              <w:t xml:space="preserve"> da</w:t>
            </w:r>
            <w:r w:rsidR="00FC306E" w:rsidRPr="00A30242">
              <w:rPr>
                <w:rFonts w:ascii="Century" w:hAnsi="Century"/>
                <w:color w:val="000000"/>
                <w:sz w:val="22"/>
                <w:szCs w:val="22"/>
                <w:lang w:eastAsia="tr-TR"/>
              </w:rPr>
              <w:t xml:space="preserve"> etkisiyle sigorta, </w:t>
            </w:r>
            <w:proofErr w:type="gramStart"/>
            <w:r w:rsidR="00FC306E" w:rsidRPr="00A30242">
              <w:rPr>
                <w:rFonts w:ascii="Century" w:hAnsi="Century"/>
                <w:color w:val="000000"/>
                <w:sz w:val="22"/>
                <w:szCs w:val="22"/>
                <w:lang w:eastAsia="tr-TR"/>
              </w:rPr>
              <w:t>reasürans</w:t>
            </w:r>
            <w:proofErr w:type="gramEnd"/>
            <w:r w:rsidR="00FC306E" w:rsidRPr="00A30242">
              <w:rPr>
                <w:rFonts w:ascii="Century" w:hAnsi="Century"/>
                <w:color w:val="000000"/>
                <w:sz w:val="22"/>
                <w:szCs w:val="22"/>
                <w:lang w:eastAsia="tr-TR"/>
              </w:rPr>
              <w:t xml:space="preserve"> ve emekli</w:t>
            </w:r>
            <w:r w:rsidR="00EE5CB5" w:rsidRPr="00A30242">
              <w:rPr>
                <w:rFonts w:ascii="Century" w:hAnsi="Century"/>
                <w:color w:val="000000"/>
                <w:sz w:val="22"/>
                <w:szCs w:val="22"/>
                <w:lang w:eastAsia="tr-TR"/>
              </w:rPr>
              <w:t>lik şirketlerinin aktifleri</w:t>
            </w:r>
            <w:r w:rsidR="00A30242" w:rsidRPr="00A30242">
              <w:rPr>
                <w:rFonts w:ascii="Century" w:hAnsi="Century"/>
                <w:color w:val="000000"/>
                <w:sz w:val="22"/>
                <w:szCs w:val="22"/>
                <w:lang w:eastAsia="tr-TR"/>
              </w:rPr>
              <w:t xml:space="preserve"> %17</w:t>
            </w:r>
            <w:r w:rsidR="00AE1FF5">
              <w:rPr>
                <w:rFonts w:ascii="Century" w:hAnsi="Century"/>
                <w:color w:val="000000"/>
                <w:sz w:val="22"/>
                <w:szCs w:val="22"/>
                <w:lang w:eastAsia="tr-TR"/>
              </w:rPr>
              <w:t>,1</w:t>
            </w:r>
            <w:r w:rsidR="00FC306E" w:rsidRPr="00A30242">
              <w:rPr>
                <w:rFonts w:ascii="Century" w:hAnsi="Century"/>
                <w:color w:val="000000"/>
                <w:sz w:val="22"/>
                <w:szCs w:val="22"/>
                <w:lang w:eastAsia="tr-TR"/>
              </w:rPr>
              <w:t xml:space="preserve"> oranında </w:t>
            </w:r>
            <w:r w:rsidR="00C9352A" w:rsidRPr="00A30242">
              <w:rPr>
                <w:rFonts w:ascii="Century" w:hAnsi="Century"/>
                <w:color w:val="000000"/>
                <w:sz w:val="22"/>
                <w:szCs w:val="22"/>
                <w:lang w:eastAsia="tr-TR"/>
              </w:rPr>
              <w:t xml:space="preserve">yükselmiş </w:t>
            </w:r>
            <w:r w:rsidR="00FC306E" w:rsidRPr="00A30242">
              <w:rPr>
                <w:rFonts w:ascii="Century" w:hAnsi="Century"/>
                <w:color w:val="000000"/>
                <w:sz w:val="22"/>
                <w:szCs w:val="22"/>
                <w:lang w:eastAsia="tr-TR"/>
              </w:rPr>
              <w:t xml:space="preserve">ve </w:t>
            </w:r>
            <w:r w:rsidR="007008CA" w:rsidRPr="00A30242">
              <w:rPr>
                <w:rFonts w:ascii="Century" w:hAnsi="Century"/>
                <w:color w:val="000000"/>
                <w:sz w:val="22"/>
                <w:szCs w:val="22"/>
                <w:lang w:eastAsia="tr-TR"/>
              </w:rPr>
              <w:t>1</w:t>
            </w:r>
            <w:r w:rsidR="00A30242" w:rsidRPr="00A30242">
              <w:rPr>
                <w:rFonts w:ascii="Century" w:hAnsi="Century"/>
                <w:color w:val="000000"/>
                <w:sz w:val="22"/>
                <w:szCs w:val="22"/>
                <w:lang w:eastAsia="tr-TR"/>
              </w:rPr>
              <w:t>78</w:t>
            </w:r>
            <w:r w:rsidR="00675832" w:rsidRPr="00A30242">
              <w:rPr>
                <w:rFonts w:ascii="Century" w:hAnsi="Century"/>
                <w:color w:val="000000"/>
                <w:sz w:val="22"/>
                <w:szCs w:val="22"/>
                <w:lang w:eastAsia="tr-TR"/>
              </w:rPr>
              <w:t>,</w:t>
            </w:r>
            <w:r w:rsidR="00A30242" w:rsidRPr="00A30242">
              <w:rPr>
                <w:rFonts w:ascii="Century" w:hAnsi="Century"/>
                <w:color w:val="000000"/>
                <w:sz w:val="22"/>
                <w:szCs w:val="22"/>
                <w:lang w:eastAsia="tr-TR"/>
              </w:rPr>
              <w:t>4</w:t>
            </w:r>
            <w:r w:rsidR="00AE1FF5">
              <w:rPr>
                <w:rFonts w:ascii="Century" w:hAnsi="Century"/>
                <w:color w:val="000000"/>
                <w:sz w:val="22"/>
                <w:szCs w:val="22"/>
                <w:lang w:eastAsia="tr-TR"/>
              </w:rPr>
              <w:t>2</w:t>
            </w:r>
            <w:r w:rsidR="005C4487" w:rsidRPr="00A30242">
              <w:rPr>
                <w:rFonts w:ascii="Century" w:hAnsi="Century"/>
                <w:color w:val="000000"/>
                <w:sz w:val="22"/>
                <w:szCs w:val="22"/>
                <w:lang w:eastAsia="tr-TR"/>
              </w:rPr>
              <w:t xml:space="preserve"> </w:t>
            </w:r>
            <w:r w:rsidR="005C4487" w:rsidRPr="00A30242">
              <w:rPr>
                <w:rFonts w:ascii="Century" w:hAnsi="Century"/>
                <w:color w:val="000000"/>
                <w:sz w:val="22"/>
                <w:szCs w:val="22"/>
                <w:lang w:eastAsia="tr-TR"/>
              </w:rPr>
              <w:lastRenderedPageBreak/>
              <w:t>mily</w:t>
            </w:r>
            <w:r w:rsidR="00FC306E" w:rsidRPr="00A30242">
              <w:rPr>
                <w:rFonts w:ascii="Century" w:hAnsi="Century"/>
                <w:color w:val="000000"/>
                <w:sz w:val="22"/>
                <w:szCs w:val="22"/>
                <w:lang w:eastAsia="tr-TR"/>
              </w:rPr>
              <w:t>ar</w:t>
            </w:r>
            <w:r w:rsidR="005C4487" w:rsidRPr="00A30242">
              <w:rPr>
                <w:rFonts w:ascii="Century" w:hAnsi="Century"/>
                <w:color w:val="000000"/>
                <w:sz w:val="22"/>
                <w:szCs w:val="22"/>
                <w:lang w:eastAsia="tr-TR"/>
              </w:rPr>
              <w:t xml:space="preserve"> TL’ye </w:t>
            </w:r>
            <w:r w:rsidR="0048247D" w:rsidRPr="00A30242">
              <w:rPr>
                <w:rFonts w:ascii="Century" w:hAnsi="Century"/>
                <w:color w:val="000000"/>
                <w:sz w:val="22"/>
                <w:szCs w:val="22"/>
                <w:lang w:eastAsia="tr-TR"/>
              </w:rPr>
              <w:t>ulaşmıştır.</w:t>
            </w:r>
            <w:r w:rsidR="00FC306E" w:rsidRPr="00A30242">
              <w:rPr>
                <w:rFonts w:ascii="Century" w:hAnsi="Century"/>
                <w:color w:val="000000"/>
                <w:sz w:val="22"/>
                <w:szCs w:val="22"/>
                <w:lang w:eastAsia="tr-TR"/>
              </w:rPr>
              <w:t xml:space="preserve"> </w:t>
            </w:r>
            <w:r w:rsidR="00276977" w:rsidRPr="00A30242">
              <w:rPr>
                <w:rFonts w:ascii="Century" w:hAnsi="Century"/>
                <w:color w:val="000000"/>
                <w:sz w:val="22"/>
                <w:szCs w:val="22"/>
                <w:lang w:eastAsia="tr-TR"/>
              </w:rPr>
              <w:t>S</w:t>
            </w:r>
            <w:r w:rsidR="005A4015" w:rsidRPr="00A30242">
              <w:rPr>
                <w:rFonts w:ascii="Century" w:hAnsi="Century"/>
                <w:color w:val="000000"/>
                <w:sz w:val="22"/>
                <w:szCs w:val="22"/>
                <w:lang w:eastAsia="tr-TR"/>
              </w:rPr>
              <w:t>igorta</w:t>
            </w:r>
            <w:r w:rsidR="00FC306E" w:rsidRPr="00A30242">
              <w:rPr>
                <w:rFonts w:ascii="Century" w:hAnsi="Century"/>
                <w:color w:val="000000"/>
                <w:sz w:val="22"/>
                <w:szCs w:val="22"/>
                <w:lang w:eastAsia="tr-TR"/>
              </w:rPr>
              <w:t xml:space="preserve">, reasürans ve </w:t>
            </w:r>
            <w:r w:rsidR="000B0F4F" w:rsidRPr="00A30242">
              <w:rPr>
                <w:rFonts w:ascii="Century" w:hAnsi="Century"/>
                <w:color w:val="000000"/>
                <w:sz w:val="22"/>
                <w:szCs w:val="22"/>
                <w:lang w:eastAsia="tr-TR"/>
              </w:rPr>
              <w:t xml:space="preserve">emeklilik </w:t>
            </w:r>
            <w:r w:rsidR="005A4015" w:rsidRPr="00A30242">
              <w:rPr>
                <w:rFonts w:ascii="Century" w:hAnsi="Century"/>
                <w:color w:val="000000"/>
                <w:sz w:val="22"/>
                <w:szCs w:val="22"/>
                <w:lang w:eastAsia="tr-TR"/>
              </w:rPr>
              <w:t>şirketlerinin</w:t>
            </w:r>
            <w:r w:rsidR="000B0F4F" w:rsidRPr="00A30242">
              <w:rPr>
                <w:rFonts w:ascii="Century" w:hAnsi="Century"/>
                <w:color w:val="000000"/>
                <w:sz w:val="22"/>
                <w:szCs w:val="22"/>
                <w:lang w:eastAsia="tr-TR"/>
              </w:rPr>
              <w:t xml:space="preserve"> toplam finansal piyasalar içindeki </w:t>
            </w:r>
            <w:r w:rsidR="00F744EC" w:rsidRPr="00A30242">
              <w:rPr>
                <w:rFonts w:ascii="Century" w:hAnsi="Century"/>
                <w:color w:val="000000"/>
                <w:sz w:val="22"/>
                <w:szCs w:val="22"/>
                <w:lang w:eastAsia="tr-TR"/>
              </w:rPr>
              <w:t xml:space="preserve">payı </w:t>
            </w:r>
            <w:r w:rsidR="00FD0804" w:rsidRPr="00A30242">
              <w:rPr>
                <w:rFonts w:ascii="Century" w:hAnsi="Century"/>
                <w:color w:val="000000"/>
                <w:sz w:val="22"/>
                <w:szCs w:val="22"/>
                <w:lang w:eastAsia="tr-TR"/>
              </w:rPr>
              <w:t>201</w:t>
            </w:r>
            <w:r w:rsidR="00A30242" w:rsidRPr="00A30242">
              <w:rPr>
                <w:rFonts w:ascii="Century" w:hAnsi="Century"/>
                <w:color w:val="000000"/>
                <w:sz w:val="22"/>
                <w:szCs w:val="22"/>
                <w:lang w:eastAsia="tr-TR"/>
              </w:rPr>
              <w:t>8</w:t>
            </w:r>
            <w:r w:rsidR="00FC306E" w:rsidRPr="00A30242">
              <w:rPr>
                <w:rFonts w:ascii="Century" w:hAnsi="Century"/>
                <w:color w:val="000000"/>
                <w:sz w:val="22"/>
                <w:szCs w:val="22"/>
                <w:lang w:eastAsia="tr-TR"/>
              </w:rPr>
              <w:t xml:space="preserve"> yılı sonunda</w:t>
            </w:r>
            <w:r w:rsidR="00FD0804" w:rsidRPr="00A30242">
              <w:rPr>
                <w:rFonts w:ascii="Century" w:hAnsi="Century"/>
                <w:color w:val="000000"/>
                <w:sz w:val="22"/>
                <w:szCs w:val="22"/>
                <w:lang w:eastAsia="tr-TR"/>
              </w:rPr>
              <w:t xml:space="preserve"> </w:t>
            </w:r>
            <w:r w:rsidR="00412049" w:rsidRPr="00A30242">
              <w:rPr>
                <w:rFonts w:ascii="Century" w:hAnsi="Century"/>
                <w:color w:val="000000"/>
                <w:sz w:val="22"/>
                <w:szCs w:val="22"/>
                <w:lang w:eastAsia="tr-TR"/>
              </w:rPr>
              <w:t>%</w:t>
            </w:r>
            <w:r w:rsidR="007008CA" w:rsidRPr="00A30242">
              <w:rPr>
                <w:rFonts w:ascii="Century" w:hAnsi="Century"/>
                <w:color w:val="000000"/>
                <w:sz w:val="22"/>
                <w:szCs w:val="22"/>
                <w:lang w:eastAsia="tr-TR"/>
              </w:rPr>
              <w:t>4</w:t>
            </w:r>
            <w:proofErr w:type="gramStart"/>
            <w:r w:rsidR="00ED7D8C" w:rsidRPr="00A30242">
              <w:rPr>
                <w:rFonts w:ascii="Century" w:hAnsi="Century"/>
                <w:color w:val="000000"/>
                <w:sz w:val="22"/>
                <w:szCs w:val="22"/>
                <w:lang w:eastAsia="tr-TR"/>
              </w:rPr>
              <w:t>,</w:t>
            </w:r>
            <w:r w:rsidR="00B825BA" w:rsidRPr="00A30242">
              <w:rPr>
                <w:rFonts w:ascii="Century" w:hAnsi="Century"/>
                <w:color w:val="000000"/>
                <w:sz w:val="22"/>
                <w:szCs w:val="22"/>
                <w:lang w:eastAsia="tr-TR"/>
              </w:rPr>
              <w:t>1</w:t>
            </w:r>
            <w:r w:rsidR="00A30242" w:rsidRPr="00A30242">
              <w:rPr>
                <w:rFonts w:ascii="Century" w:hAnsi="Century"/>
                <w:color w:val="000000"/>
                <w:sz w:val="22"/>
                <w:szCs w:val="22"/>
                <w:lang w:eastAsia="tr-TR"/>
              </w:rPr>
              <w:t>7</w:t>
            </w:r>
            <w:proofErr w:type="gramEnd"/>
            <w:r w:rsidR="00B825BA" w:rsidRPr="00A30242">
              <w:rPr>
                <w:rFonts w:ascii="Century" w:hAnsi="Century"/>
                <w:color w:val="000000"/>
                <w:sz w:val="22"/>
                <w:szCs w:val="22"/>
                <w:lang w:eastAsia="tr-TR"/>
              </w:rPr>
              <w:t xml:space="preserve"> olarak gerçekleşmiştir.</w:t>
            </w:r>
            <w:r w:rsidR="00ED7D8C" w:rsidRPr="00A30242">
              <w:rPr>
                <w:rFonts w:ascii="Century" w:hAnsi="Century"/>
                <w:color w:val="000000"/>
                <w:sz w:val="22"/>
                <w:szCs w:val="22"/>
                <w:lang w:eastAsia="tr-TR"/>
              </w:rPr>
              <w:t xml:space="preserve"> </w:t>
            </w:r>
            <w:r w:rsidR="00555DF2" w:rsidRPr="00A30242">
              <w:rPr>
                <w:rFonts w:ascii="Century" w:hAnsi="Century"/>
                <w:color w:val="000000"/>
                <w:sz w:val="22"/>
                <w:szCs w:val="22"/>
                <w:lang w:eastAsia="tr-TR"/>
              </w:rPr>
              <w:t>Sigortacılık ve bireysel emeklilik sektörlerinin finansal sektörler içindeki payı halen düşük olmakla birlikte, aktif büyüklüğü açısından Bankacılık sektörünün ardından ikinci sırada yer almaktadır.</w:t>
            </w:r>
          </w:p>
          <w:p w:rsidR="003B5A73" w:rsidRPr="00A30242" w:rsidRDefault="003B5A73" w:rsidP="003B5A73">
            <w:pPr>
              <w:rPr>
                <w:rFonts w:ascii="Century" w:hAnsi="Century"/>
                <w:color w:val="000000"/>
                <w:sz w:val="22"/>
                <w:szCs w:val="22"/>
                <w:lang w:eastAsia="tr-TR"/>
              </w:rPr>
            </w:pPr>
          </w:p>
          <w:p w:rsidR="003B5A73" w:rsidRPr="00A30242" w:rsidRDefault="003B5A73" w:rsidP="003B5A73">
            <w:pPr>
              <w:jc w:val="both"/>
              <w:rPr>
                <w:rFonts w:ascii="Century" w:hAnsi="Century"/>
                <w:color w:val="000000"/>
                <w:sz w:val="22"/>
                <w:szCs w:val="22"/>
                <w:lang w:eastAsia="tr-TR"/>
              </w:rPr>
            </w:pPr>
            <w:r w:rsidRPr="00A30242">
              <w:rPr>
                <w:rFonts w:ascii="Century" w:hAnsi="Century"/>
                <w:color w:val="000000"/>
                <w:sz w:val="22"/>
                <w:szCs w:val="22"/>
                <w:lang w:eastAsia="tr-TR"/>
              </w:rPr>
              <w:t>Aşağıdaki tabloda finansal sektörlerin son beş yıla ilişkin aktif büyüklükleri ile 201</w:t>
            </w:r>
            <w:r w:rsidR="00A30242" w:rsidRPr="00A30242">
              <w:rPr>
                <w:rFonts w:ascii="Century" w:hAnsi="Century"/>
                <w:color w:val="000000"/>
                <w:sz w:val="22"/>
                <w:szCs w:val="22"/>
                <w:lang w:eastAsia="tr-TR"/>
              </w:rPr>
              <w:t>8</w:t>
            </w:r>
            <w:r w:rsidRPr="00A30242">
              <w:rPr>
                <w:rFonts w:ascii="Century" w:hAnsi="Century"/>
                <w:color w:val="000000"/>
                <w:sz w:val="22"/>
                <w:szCs w:val="22"/>
                <w:lang w:eastAsia="tr-TR"/>
              </w:rPr>
              <w:t xml:space="preserve"> yılındaki payları gösterilmiştir.</w:t>
            </w:r>
          </w:p>
          <w:p w:rsidR="00BD148F" w:rsidRPr="00B10D90" w:rsidRDefault="00BD148F" w:rsidP="00CD0D5F">
            <w:pPr>
              <w:jc w:val="both"/>
              <w:rPr>
                <w:rFonts w:ascii="Century" w:hAnsi="Century"/>
                <w:color w:val="000000"/>
                <w:sz w:val="22"/>
                <w:szCs w:val="22"/>
                <w:highlight w:val="yellow"/>
                <w:lang w:eastAsia="tr-TR"/>
              </w:rPr>
            </w:pPr>
          </w:p>
        </w:tc>
        <w:tc>
          <w:tcPr>
            <w:tcW w:w="236" w:type="dxa"/>
            <w:gridSpan w:val="6"/>
          </w:tcPr>
          <w:p w:rsidR="009B27BC" w:rsidRPr="00B10D90" w:rsidRDefault="009B27BC" w:rsidP="00CD35C2">
            <w:pPr>
              <w:jc w:val="both"/>
              <w:rPr>
                <w:rFonts w:ascii="Century" w:hAnsi="Century"/>
                <w:sz w:val="22"/>
                <w:szCs w:val="22"/>
                <w:highlight w:val="yellow"/>
              </w:rPr>
            </w:pPr>
          </w:p>
        </w:tc>
        <w:tc>
          <w:tcPr>
            <w:tcW w:w="4767" w:type="dxa"/>
            <w:gridSpan w:val="6"/>
          </w:tcPr>
          <w:p w:rsidR="00555DF2" w:rsidRPr="00B10D90" w:rsidRDefault="003B5A73" w:rsidP="00555DF2">
            <w:pPr>
              <w:jc w:val="both"/>
              <w:rPr>
                <w:rFonts w:ascii="Century" w:hAnsi="Century" w:cs="Arial"/>
                <w:color w:val="333333"/>
                <w:sz w:val="22"/>
                <w:szCs w:val="22"/>
                <w:highlight w:val="yellow"/>
              </w:rPr>
            </w:pPr>
            <w:r w:rsidRPr="00A30242">
              <w:rPr>
                <w:rFonts w:ascii="Century" w:hAnsi="Century" w:cs="Arial"/>
                <w:color w:val="333333"/>
                <w:sz w:val="22"/>
                <w:szCs w:val="22"/>
              </w:rPr>
              <w:t xml:space="preserve">According to figures released by the BRSA, CMB and Association of Turkish Capital Markets (ATCM), total </w:t>
            </w:r>
            <w:r w:rsidR="00ED7D8C" w:rsidRPr="00A30242">
              <w:rPr>
                <w:rFonts w:ascii="Century" w:hAnsi="Century" w:cs="Arial"/>
                <w:color w:val="333333"/>
                <w:sz w:val="22"/>
                <w:szCs w:val="22"/>
              </w:rPr>
              <w:t>assets</w:t>
            </w:r>
            <w:r w:rsidR="0082584E" w:rsidRPr="00A30242">
              <w:rPr>
                <w:rFonts w:ascii="Century" w:hAnsi="Century" w:cs="Arial"/>
                <w:color w:val="333333"/>
                <w:sz w:val="22"/>
                <w:szCs w:val="22"/>
              </w:rPr>
              <w:t xml:space="preserve"> of </w:t>
            </w:r>
            <w:r w:rsidRPr="00A30242">
              <w:rPr>
                <w:rFonts w:ascii="Century" w:hAnsi="Century" w:cs="Arial"/>
                <w:color w:val="333333"/>
                <w:sz w:val="22"/>
                <w:szCs w:val="22"/>
              </w:rPr>
              <w:t xml:space="preserve">Turkish financial sectors </w:t>
            </w:r>
            <w:r w:rsidR="0082584E" w:rsidRPr="00A30242">
              <w:rPr>
                <w:rFonts w:ascii="Century" w:hAnsi="Century" w:cs="Arial"/>
                <w:color w:val="333333"/>
                <w:sz w:val="22"/>
                <w:szCs w:val="22"/>
              </w:rPr>
              <w:t xml:space="preserve">excluding </w:t>
            </w:r>
            <w:r w:rsidRPr="00A30242">
              <w:rPr>
                <w:rFonts w:ascii="Century" w:hAnsi="Century" w:cs="Arial"/>
                <w:color w:val="333333"/>
                <w:sz w:val="22"/>
                <w:szCs w:val="22"/>
              </w:rPr>
              <w:t>Istanbul Stock Exchange Market</w:t>
            </w:r>
            <w:r w:rsidR="0082584E" w:rsidRPr="00A30242">
              <w:rPr>
                <w:rFonts w:ascii="Century" w:hAnsi="Century" w:cs="Arial"/>
                <w:color w:val="333333"/>
                <w:sz w:val="22"/>
                <w:szCs w:val="22"/>
              </w:rPr>
              <w:t xml:space="preserve"> (BIST)</w:t>
            </w:r>
            <w:r w:rsidRPr="00A30242">
              <w:rPr>
                <w:rFonts w:ascii="Century" w:hAnsi="Century" w:cs="Arial"/>
                <w:color w:val="333333"/>
                <w:sz w:val="22"/>
                <w:szCs w:val="22"/>
              </w:rPr>
              <w:t xml:space="preserve">, </w:t>
            </w:r>
            <w:r w:rsidR="00EE5CB5" w:rsidRPr="00A30242">
              <w:rPr>
                <w:rFonts w:ascii="Century" w:hAnsi="Century" w:cs="Arial"/>
                <w:color w:val="333333"/>
                <w:sz w:val="22"/>
                <w:szCs w:val="22"/>
              </w:rPr>
              <w:t xml:space="preserve">has </w:t>
            </w:r>
            <w:r w:rsidRPr="00A30242">
              <w:rPr>
                <w:rFonts w:ascii="Century" w:hAnsi="Century" w:cs="Arial"/>
                <w:color w:val="333333"/>
                <w:sz w:val="22"/>
                <w:szCs w:val="22"/>
              </w:rPr>
              <w:t xml:space="preserve">experienced a </w:t>
            </w:r>
            <w:r w:rsidR="00A30242" w:rsidRPr="00A30242">
              <w:rPr>
                <w:rFonts w:ascii="Century" w:hAnsi="Century" w:cs="Arial"/>
                <w:color w:val="333333"/>
                <w:sz w:val="22"/>
                <w:szCs w:val="22"/>
              </w:rPr>
              <w:t>17</w:t>
            </w:r>
            <w:r w:rsidRPr="00A30242">
              <w:rPr>
                <w:rFonts w:ascii="Century" w:hAnsi="Century" w:cs="Arial"/>
                <w:color w:val="333333"/>
                <w:sz w:val="22"/>
                <w:szCs w:val="22"/>
              </w:rPr>
              <w:t>% growth in 201</w:t>
            </w:r>
            <w:r w:rsidR="00A30242" w:rsidRPr="00A30242">
              <w:rPr>
                <w:rFonts w:ascii="Century" w:hAnsi="Century" w:cs="Arial"/>
                <w:color w:val="333333"/>
                <w:sz w:val="22"/>
                <w:szCs w:val="22"/>
              </w:rPr>
              <w:t>8</w:t>
            </w:r>
            <w:r w:rsidRPr="00A30242">
              <w:rPr>
                <w:rFonts w:ascii="Century" w:hAnsi="Century" w:cs="Arial"/>
                <w:color w:val="333333"/>
                <w:sz w:val="22"/>
                <w:szCs w:val="22"/>
              </w:rPr>
              <w:t xml:space="preserve"> and</w:t>
            </w:r>
            <w:r w:rsidR="000E1CE4" w:rsidRPr="00A30242">
              <w:rPr>
                <w:rFonts w:ascii="Century" w:hAnsi="Century" w:cs="Arial"/>
                <w:color w:val="333333"/>
                <w:sz w:val="22"/>
                <w:szCs w:val="22"/>
              </w:rPr>
              <w:t xml:space="preserve"> has</w:t>
            </w:r>
            <w:r w:rsidRPr="00A30242">
              <w:rPr>
                <w:rFonts w:ascii="Century" w:hAnsi="Century" w:cs="Arial"/>
                <w:color w:val="333333"/>
                <w:sz w:val="22"/>
                <w:szCs w:val="22"/>
              </w:rPr>
              <w:t xml:space="preserve"> reached to </w:t>
            </w:r>
            <w:r w:rsidRPr="00A30242">
              <w:rPr>
                <w:rFonts w:ascii="AbakuTLSymSans" w:hAnsi="AbakuTLSymSans" w:cs="Arial"/>
                <w:bCs/>
                <w:sz w:val="20"/>
                <w:szCs w:val="20"/>
              </w:rPr>
              <w:t>¨</w:t>
            </w:r>
            <w:r w:rsidR="00A30242" w:rsidRPr="00A30242">
              <w:rPr>
                <w:rFonts w:ascii="Century" w:hAnsi="Century" w:cs="Arial"/>
                <w:color w:val="333333"/>
                <w:sz w:val="22"/>
                <w:szCs w:val="22"/>
              </w:rPr>
              <w:t>4</w:t>
            </w:r>
            <w:r w:rsidRPr="00A30242">
              <w:rPr>
                <w:rFonts w:ascii="Century" w:hAnsi="Century" w:cs="Arial"/>
                <w:color w:val="333333"/>
                <w:sz w:val="22"/>
                <w:szCs w:val="22"/>
              </w:rPr>
              <w:t>.</w:t>
            </w:r>
            <w:r w:rsidR="00A30242" w:rsidRPr="00A30242">
              <w:rPr>
                <w:rFonts w:ascii="Century" w:hAnsi="Century" w:cs="Arial"/>
                <w:color w:val="333333"/>
                <w:sz w:val="22"/>
                <w:szCs w:val="22"/>
              </w:rPr>
              <w:t>28</w:t>
            </w:r>
            <w:r w:rsidRPr="00A30242">
              <w:rPr>
                <w:rFonts w:ascii="Century" w:hAnsi="Century" w:cs="Arial"/>
                <w:color w:val="333333"/>
                <w:sz w:val="22"/>
                <w:szCs w:val="22"/>
              </w:rPr>
              <w:t xml:space="preserve"> trillion. Banking sector </w:t>
            </w:r>
            <w:r w:rsidR="00C9352A" w:rsidRPr="00A30242">
              <w:rPr>
                <w:rFonts w:ascii="Century" w:hAnsi="Century" w:cs="Arial"/>
                <w:color w:val="333333"/>
                <w:sz w:val="22"/>
                <w:szCs w:val="22"/>
              </w:rPr>
              <w:t xml:space="preserve">traditionally </w:t>
            </w:r>
            <w:r w:rsidRPr="00A30242">
              <w:rPr>
                <w:rFonts w:ascii="Century" w:hAnsi="Century" w:cs="Arial"/>
                <w:color w:val="333333"/>
                <w:sz w:val="22"/>
                <w:szCs w:val="22"/>
              </w:rPr>
              <w:t>has the largest share in Turkey</w:t>
            </w:r>
            <w:r w:rsidR="0082584E" w:rsidRPr="00A30242">
              <w:rPr>
                <w:rFonts w:ascii="Century" w:hAnsi="Century" w:cs="Arial"/>
                <w:color w:val="333333"/>
                <w:sz w:val="22"/>
                <w:szCs w:val="22"/>
              </w:rPr>
              <w:t>’s financial sector</w:t>
            </w:r>
            <w:r w:rsidR="00FC306E" w:rsidRPr="00A30242">
              <w:rPr>
                <w:rFonts w:ascii="Century" w:hAnsi="Century" w:cs="Arial"/>
                <w:color w:val="333333"/>
                <w:sz w:val="22"/>
                <w:szCs w:val="22"/>
              </w:rPr>
              <w:t xml:space="preserve">. </w:t>
            </w:r>
            <w:r w:rsidR="00EE5CB5" w:rsidRPr="00A30242">
              <w:rPr>
                <w:rFonts w:ascii="Century" w:hAnsi="Century" w:cs="Arial"/>
                <w:color w:val="333333"/>
                <w:sz w:val="22"/>
                <w:szCs w:val="22"/>
              </w:rPr>
              <w:t>Banking</w:t>
            </w:r>
            <w:r w:rsidR="0023565B" w:rsidRPr="00A30242">
              <w:rPr>
                <w:rFonts w:ascii="Century" w:hAnsi="Century" w:cs="Arial"/>
                <w:color w:val="333333"/>
                <w:sz w:val="22"/>
                <w:szCs w:val="22"/>
              </w:rPr>
              <w:t xml:space="preserve"> sector has realized a </w:t>
            </w:r>
            <w:r w:rsidR="00A30242" w:rsidRPr="00A30242">
              <w:rPr>
                <w:rFonts w:ascii="Century" w:hAnsi="Century" w:cs="Arial"/>
                <w:color w:val="333333"/>
                <w:sz w:val="22"/>
                <w:szCs w:val="22"/>
              </w:rPr>
              <w:t>18</w:t>
            </w:r>
            <w:r w:rsidR="0023565B" w:rsidRPr="00A30242">
              <w:rPr>
                <w:rFonts w:ascii="Century" w:hAnsi="Century" w:cs="Arial"/>
                <w:color w:val="333333"/>
                <w:sz w:val="22"/>
                <w:szCs w:val="22"/>
              </w:rPr>
              <w:t>.</w:t>
            </w:r>
            <w:r w:rsidR="00A30242" w:rsidRPr="00A30242">
              <w:rPr>
                <w:rFonts w:ascii="Century" w:hAnsi="Century" w:cs="Arial"/>
                <w:color w:val="333333"/>
                <w:sz w:val="22"/>
                <w:szCs w:val="22"/>
              </w:rPr>
              <w:t>7</w:t>
            </w:r>
            <w:r w:rsidR="0023565B" w:rsidRPr="00A30242">
              <w:rPr>
                <w:rFonts w:ascii="Century" w:hAnsi="Century" w:cs="Arial"/>
                <w:color w:val="333333"/>
                <w:sz w:val="22"/>
                <w:szCs w:val="22"/>
              </w:rPr>
              <w:t xml:space="preserve">% increase in </w:t>
            </w:r>
            <w:r w:rsidR="00EE5CB5" w:rsidRPr="00A30242">
              <w:rPr>
                <w:rFonts w:ascii="Century" w:hAnsi="Century" w:cs="Arial"/>
                <w:color w:val="333333"/>
                <w:sz w:val="22"/>
                <w:szCs w:val="22"/>
              </w:rPr>
              <w:t xml:space="preserve">the year whereas </w:t>
            </w:r>
            <w:r w:rsidR="001030A1" w:rsidRPr="00A30242">
              <w:rPr>
                <w:rFonts w:ascii="Century" w:hAnsi="Century" w:cs="Arial"/>
                <w:color w:val="333333"/>
                <w:sz w:val="22"/>
                <w:szCs w:val="22"/>
              </w:rPr>
              <w:t xml:space="preserve">the </w:t>
            </w:r>
            <w:r w:rsidR="00EE5CB5" w:rsidRPr="00A30242">
              <w:rPr>
                <w:rFonts w:ascii="Century" w:hAnsi="Century" w:cs="Arial"/>
                <w:color w:val="333333"/>
                <w:sz w:val="22"/>
                <w:szCs w:val="22"/>
              </w:rPr>
              <w:t>total assets of  insurance, reinsurance and pension companies has been</w:t>
            </w:r>
            <w:r w:rsidR="0023565B" w:rsidRPr="00A30242">
              <w:rPr>
                <w:rFonts w:ascii="Century" w:hAnsi="Century" w:cs="Arial"/>
                <w:color w:val="333333"/>
                <w:sz w:val="22"/>
                <w:szCs w:val="22"/>
              </w:rPr>
              <w:t xml:space="preserve"> amounted to </w:t>
            </w:r>
            <w:r w:rsidR="0023565B" w:rsidRPr="00A30242">
              <w:rPr>
                <w:rFonts w:ascii="AbakuTLSymSans" w:hAnsi="AbakuTLSymSans" w:cs="Arial"/>
                <w:bCs/>
                <w:sz w:val="20"/>
                <w:szCs w:val="20"/>
              </w:rPr>
              <w:t>¨</w:t>
            </w:r>
            <w:r w:rsidR="00A30242" w:rsidRPr="00A30242">
              <w:rPr>
                <w:rFonts w:ascii="Century" w:hAnsi="Century" w:cs="Arial"/>
                <w:color w:val="333333"/>
                <w:sz w:val="22"/>
                <w:szCs w:val="22"/>
              </w:rPr>
              <w:t>178</w:t>
            </w:r>
            <w:r w:rsidR="00E66FE6" w:rsidRPr="00A30242">
              <w:rPr>
                <w:rFonts w:ascii="Century" w:hAnsi="Century" w:cs="Arial"/>
                <w:color w:val="333333"/>
                <w:sz w:val="22"/>
                <w:szCs w:val="22"/>
              </w:rPr>
              <w:t>.</w:t>
            </w:r>
            <w:r w:rsidR="00A30242" w:rsidRPr="00A30242">
              <w:rPr>
                <w:rFonts w:ascii="Century" w:hAnsi="Century" w:cs="Arial"/>
                <w:color w:val="333333"/>
                <w:sz w:val="22"/>
                <w:szCs w:val="22"/>
              </w:rPr>
              <w:t>4</w:t>
            </w:r>
            <w:r w:rsidR="00EE5CB5" w:rsidRPr="00A30242">
              <w:rPr>
                <w:rFonts w:ascii="Century" w:hAnsi="Century" w:cs="Arial"/>
                <w:color w:val="333333"/>
                <w:sz w:val="22"/>
                <w:szCs w:val="22"/>
              </w:rPr>
              <w:t xml:space="preserve"> </w:t>
            </w:r>
            <w:r w:rsidR="00EE5CB5" w:rsidRPr="00A30242">
              <w:rPr>
                <w:rFonts w:ascii="Century" w:hAnsi="Century" w:cs="Arial"/>
                <w:color w:val="333333"/>
                <w:sz w:val="22"/>
                <w:szCs w:val="22"/>
              </w:rPr>
              <w:lastRenderedPageBreak/>
              <w:t xml:space="preserve">billion with </w:t>
            </w:r>
            <w:r w:rsidR="00A30242" w:rsidRPr="00A30242">
              <w:rPr>
                <w:rFonts w:ascii="Century" w:hAnsi="Century" w:cs="Arial"/>
                <w:color w:val="333333"/>
                <w:sz w:val="22"/>
                <w:szCs w:val="22"/>
              </w:rPr>
              <w:t>a 17% growth thanks to a 13</w:t>
            </w:r>
            <w:r w:rsidR="00CD60D0" w:rsidRPr="00A30242">
              <w:rPr>
                <w:rFonts w:ascii="Century" w:hAnsi="Century" w:cs="Arial"/>
                <w:color w:val="333333"/>
                <w:sz w:val="22"/>
                <w:szCs w:val="22"/>
              </w:rPr>
              <w:t>.</w:t>
            </w:r>
            <w:r w:rsidR="00A30242" w:rsidRPr="00A30242">
              <w:rPr>
                <w:rFonts w:ascii="Century" w:hAnsi="Century" w:cs="Arial"/>
                <w:color w:val="333333"/>
                <w:sz w:val="22"/>
                <w:szCs w:val="22"/>
              </w:rPr>
              <w:t>4</w:t>
            </w:r>
            <w:r w:rsidR="0023565B" w:rsidRPr="00A30242">
              <w:rPr>
                <w:rFonts w:ascii="Century" w:hAnsi="Century" w:cs="Arial"/>
                <w:color w:val="333333"/>
                <w:sz w:val="22"/>
                <w:szCs w:val="22"/>
              </w:rPr>
              <w:t xml:space="preserve">% increase in private pension funds. </w:t>
            </w:r>
            <w:r w:rsidR="00276977" w:rsidRPr="00A30242">
              <w:rPr>
                <w:rFonts w:ascii="Century" w:hAnsi="Century" w:cs="Arial"/>
                <w:color w:val="333333"/>
                <w:sz w:val="22"/>
                <w:szCs w:val="22"/>
              </w:rPr>
              <w:t>T</w:t>
            </w:r>
            <w:r w:rsidRPr="00A30242">
              <w:rPr>
                <w:rFonts w:ascii="Century" w:hAnsi="Century" w:cs="Arial"/>
                <w:color w:val="333333"/>
                <w:sz w:val="22"/>
                <w:szCs w:val="22"/>
              </w:rPr>
              <w:t xml:space="preserve">he share of </w:t>
            </w:r>
            <w:r w:rsidR="001030A1" w:rsidRPr="00A30242">
              <w:rPr>
                <w:rFonts w:ascii="Century" w:hAnsi="Century" w:cs="Arial"/>
                <w:color w:val="333333"/>
                <w:sz w:val="22"/>
                <w:szCs w:val="22"/>
              </w:rPr>
              <w:t xml:space="preserve">the </w:t>
            </w:r>
            <w:r w:rsidRPr="00A30242">
              <w:rPr>
                <w:rFonts w:ascii="Century" w:hAnsi="Century" w:cs="Arial"/>
                <w:color w:val="333333"/>
                <w:sz w:val="22"/>
                <w:szCs w:val="22"/>
              </w:rPr>
              <w:t xml:space="preserve">insurance and pension sectors in </w:t>
            </w:r>
            <w:r w:rsidR="006236AA" w:rsidRPr="00A30242">
              <w:rPr>
                <w:rFonts w:ascii="Century" w:hAnsi="Century" w:cs="Arial"/>
                <w:color w:val="333333"/>
                <w:sz w:val="22"/>
                <w:szCs w:val="22"/>
              </w:rPr>
              <w:t xml:space="preserve">the </w:t>
            </w:r>
            <w:r w:rsidRPr="00A30242">
              <w:rPr>
                <w:rFonts w:ascii="Century" w:hAnsi="Century" w:cs="Arial"/>
                <w:color w:val="333333"/>
                <w:sz w:val="22"/>
                <w:szCs w:val="22"/>
              </w:rPr>
              <w:t>financial system</w:t>
            </w:r>
            <w:r w:rsidR="00B9134A" w:rsidRPr="00A30242">
              <w:rPr>
                <w:rFonts w:ascii="Century" w:hAnsi="Century" w:cs="Arial"/>
                <w:color w:val="333333"/>
                <w:sz w:val="22"/>
                <w:szCs w:val="22"/>
              </w:rPr>
              <w:t xml:space="preserve"> has</w:t>
            </w:r>
            <w:r w:rsidRPr="00A30242">
              <w:rPr>
                <w:rFonts w:ascii="Century" w:hAnsi="Century" w:cs="Arial"/>
                <w:color w:val="333333"/>
                <w:sz w:val="22"/>
                <w:szCs w:val="22"/>
              </w:rPr>
              <w:t xml:space="preserve"> </w:t>
            </w:r>
            <w:r w:rsidR="00276977" w:rsidRPr="00A30242">
              <w:rPr>
                <w:rFonts w:ascii="Century" w:hAnsi="Century" w:cs="Arial"/>
                <w:color w:val="333333"/>
                <w:sz w:val="22"/>
                <w:szCs w:val="22"/>
              </w:rPr>
              <w:t>de</w:t>
            </w:r>
            <w:r w:rsidR="00CD0D5F" w:rsidRPr="00A30242">
              <w:rPr>
                <w:rFonts w:ascii="Century" w:hAnsi="Century" w:cs="Arial"/>
                <w:color w:val="333333"/>
                <w:sz w:val="22"/>
                <w:szCs w:val="22"/>
              </w:rPr>
              <w:t>creased</w:t>
            </w:r>
            <w:r w:rsidRPr="00A30242">
              <w:rPr>
                <w:rFonts w:ascii="Century" w:hAnsi="Century" w:cs="Arial"/>
                <w:color w:val="333333"/>
                <w:sz w:val="22"/>
                <w:szCs w:val="22"/>
              </w:rPr>
              <w:t xml:space="preserve"> to </w:t>
            </w:r>
            <w:r w:rsidR="007008CA" w:rsidRPr="00A30242">
              <w:rPr>
                <w:rFonts w:ascii="Century" w:hAnsi="Century" w:cs="Arial"/>
                <w:color w:val="333333"/>
                <w:sz w:val="22"/>
                <w:szCs w:val="22"/>
              </w:rPr>
              <w:t>4</w:t>
            </w:r>
            <w:r w:rsidR="00CD0D5F" w:rsidRPr="00A30242">
              <w:rPr>
                <w:rFonts w:ascii="Century" w:hAnsi="Century" w:cs="Arial"/>
                <w:color w:val="333333"/>
                <w:sz w:val="22"/>
                <w:szCs w:val="22"/>
              </w:rPr>
              <w:t>.</w:t>
            </w:r>
            <w:r w:rsidR="0059615C" w:rsidRPr="00A30242">
              <w:rPr>
                <w:rFonts w:ascii="Century" w:hAnsi="Century" w:cs="Arial"/>
                <w:color w:val="333333"/>
                <w:sz w:val="22"/>
                <w:szCs w:val="22"/>
              </w:rPr>
              <w:t>1</w:t>
            </w:r>
            <w:r w:rsidR="00A30242" w:rsidRPr="00A30242">
              <w:rPr>
                <w:rFonts w:ascii="Century" w:hAnsi="Century" w:cs="Arial"/>
                <w:color w:val="333333"/>
                <w:sz w:val="22"/>
                <w:szCs w:val="22"/>
              </w:rPr>
              <w:t>7</w:t>
            </w:r>
            <w:r w:rsidRPr="00A30242">
              <w:rPr>
                <w:rFonts w:ascii="Century" w:hAnsi="Century" w:cs="Arial"/>
                <w:color w:val="333333"/>
                <w:sz w:val="22"/>
                <w:szCs w:val="22"/>
              </w:rPr>
              <w:t>% in 201</w:t>
            </w:r>
            <w:r w:rsidR="00A30242" w:rsidRPr="00A30242">
              <w:rPr>
                <w:rFonts w:ascii="Century" w:hAnsi="Century" w:cs="Arial"/>
                <w:color w:val="333333"/>
                <w:sz w:val="22"/>
                <w:szCs w:val="22"/>
              </w:rPr>
              <w:t>8.</w:t>
            </w:r>
            <w:r w:rsidRPr="00A30242">
              <w:rPr>
                <w:rFonts w:ascii="Century" w:hAnsi="Century" w:cs="Arial"/>
                <w:color w:val="333333"/>
                <w:sz w:val="22"/>
                <w:szCs w:val="22"/>
              </w:rPr>
              <w:t xml:space="preserve"> </w:t>
            </w:r>
            <w:r w:rsidR="0068447D" w:rsidRPr="00A30242">
              <w:rPr>
                <w:rFonts w:ascii="Century" w:hAnsi="Century" w:cs="Arial"/>
                <w:color w:val="333333"/>
                <w:sz w:val="22"/>
                <w:szCs w:val="22"/>
              </w:rPr>
              <w:t>The share of the insurance and private pension sectors in the financial system is still low, but in terms of the asset size, it is the second biggest sector after the banking sector.</w:t>
            </w:r>
          </w:p>
          <w:p w:rsidR="002725FC" w:rsidRPr="00B10D90" w:rsidRDefault="002725FC" w:rsidP="003B5A73">
            <w:pPr>
              <w:jc w:val="both"/>
              <w:rPr>
                <w:rFonts w:ascii="Century" w:hAnsi="Century" w:cs="Arial"/>
                <w:color w:val="333333"/>
                <w:sz w:val="22"/>
                <w:szCs w:val="22"/>
                <w:highlight w:val="yellow"/>
              </w:rPr>
            </w:pPr>
          </w:p>
          <w:p w:rsidR="003B5A73" w:rsidRPr="00A30242" w:rsidRDefault="0068447D" w:rsidP="003B5A73">
            <w:pPr>
              <w:jc w:val="both"/>
              <w:rPr>
                <w:rFonts w:ascii="Century" w:hAnsi="Century" w:cs="Arial"/>
                <w:color w:val="333333"/>
                <w:sz w:val="22"/>
                <w:szCs w:val="22"/>
              </w:rPr>
            </w:pPr>
            <w:r w:rsidRPr="00A30242">
              <w:rPr>
                <w:rFonts w:ascii="Century" w:hAnsi="Century" w:cs="Arial"/>
                <w:color w:val="333333"/>
                <w:sz w:val="22"/>
                <w:szCs w:val="22"/>
              </w:rPr>
              <w:t>T</w:t>
            </w:r>
            <w:r w:rsidR="003B5A73" w:rsidRPr="00A30242">
              <w:rPr>
                <w:rFonts w:ascii="Century" w:hAnsi="Century" w:cs="Arial"/>
                <w:color w:val="333333"/>
                <w:sz w:val="22"/>
                <w:szCs w:val="22"/>
              </w:rPr>
              <w:t>otal assets of the Turkish financial sector for the last five years and the share of the sub-sectors in 201</w:t>
            </w:r>
            <w:r w:rsidR="00A30242">
              <w:rPr>
                <w:rFonts w:ascii="Century" w:hAnsi="Century" w:cs="Arial"/>
                <w:color w:val="333333"/>
                <w:sz w:val="22"/>
                <w:szCs w:val="22"/>
              </w:rPr>
              <w:t>8</w:t>
            </w:r>
            <w:r w:rsidR="003B5A73" w:rsidRPr="00A30242">
              <w:rPr>
                <w:rFonts w:ascii="Century" w:hAnsi="Century" w:cs="Arial"/>
                <w:color w:val="333333"/>
                <w:sz w:val="22"/>
                <w:szCs w:val="22"/>
              </w:rPr>
              <w:t xml:space="preserve"> </w:t>
            </w:r>
            <w:r w:rsidRPr="00A30242">
              <w:rPr>
                <w:rFonts w:ascii="Century" w:hAnsi="Century" w:cs="Arial"/>
                <w:color w:val="333333"/>
                <w:sz w:val="22"/>
                <w:szCs w:val="22"/>
              </w:rPr>
              <w:t>are shown in the table below</w:t>
            </w:r>
            <w:r w:rsidR="003B5A73" w:rsidRPr="00A30242">
              <w:rPr>
                <w:rFonts w:ascii="Century" w:hAnsi="Century" w:cs="Arial"/>
                <w:color w:val="333333"/>
                <w:sz w:val="22"/>
                <w:szCs w:val="22"/>
              </w:rPr>
              <w:t xml:space="preserve">. </w:t>
            </w:r>
          </w:p>
          <w:p w:rsidR="00FD0804" w:rsidRPr="00B10D90" w:rsidRDefault="00FD0804" w:rsidP="00074A61">
            <w:pPr>
              <w:jc w:val="both"/>
              <w:rPr>
                <w:rFonts w:ascii="Century" w:hAnsi="Century" w:cs="Arial"/>
                <w:color w:val="333333"/>
                <w:sz w:val="22"/>
                <w:szCs w:val="22"/>
                <w:highlight w:val="yellow"/>
              </w:rPr>
            </w:pPr>
          </w:p>
        </w:tc>
      </w:tr>
      <w:tr w:rsidR="00FB7F42" w:rsidRPr="00B10D90" w:rsidTr="00441D50">
        <w:trPr>
          <w:gridAfter w:val="2"/>
          <w:wAfter w:w="38" w:type="dxa"/>
          <w:trHeight w:val="283"/>
        </w:trPr>
        <w:tc>
          <w:tcPr>
            <w:tcW w:w="9820" w:type="dxa"/>
            <w:gridSpan w:val="14"/>
          </w:tcPr>
          <w:p w:rsidR="003105D0" w:rsidRPr="00EC5821" w:rsidRDefault="00FB7F42" w:rsidP="00BE0564">
            <w:pPr>
              <w:jc w:val="center"/>
              <w:rPr>
                <w:rFonts w:ascii="Century" w:hAnsi="Century"/>
                <w:b/>
                <w:color w:val="000080"/>
                <w:sz w:val="20"/>
                <w:szCs w:val="20"/>
              </w:rPr>
            </w:pPr>
            <w:r w:rsidRPr="00EC5821">
              <w:rPr>
                <w:rFonts w:ascii="Century" w:hAnsi="Century"/>
                <w:b/>
                <w:color w:val="000080"/>
                <w:sz w:val="20"/>
                <w:szCs w:val="20"/>
              </w:rPr>
              <w:lastRenderedPageBreak/>
              <w:t>Tablo 1.1.</w:t>
            </w:r>
            <w:r w:rsidR="00BE0564" w:rsidRPr="00EC5821">
              <w:rPr>
                <w:rFonts w:ascii="Century" w:hAnsi="Century"/>
                <w:b/>
                <w:color w:val="000080"/>
                <w:sz w:val="20"/>
                <w:szCs w:val="20"/>
              </w:rPr>
              <w:t>3</w:t>
            </w:r>
            <w:r w:rsidRPr="00EC5821">
              <w:rPr>
                <w:rFonts w:ascii="Century" w:hAnsi="Century"/>
                <w:b/>
                <w:color w:val="000080"/>
                <w:sz w:val="20"/>
                <w:szCs w:val="20"/>
              </w:rPr>
              <w:t xml:space="preserve">: </w:t>
            </w:r>
            <w:r w:rsidR="006618C1" w:rsidRPr="00EC5821">
              <w:rPr>
                <w:rFonts w:ascii="Century" w:hAnsi="Century"/>
                <w:b/>
                <w:color w:val="000080"/>
                <w:sz w:val="20"/>
                <w:szCs w:val="20"/>
              </w:rPr>
              <w:t>Türk Finans Sektörü Bilanço Büyüklükleri</w:t>
            </w:r>
          </w:p>
          <w:p w:rsidR="00F517F6" w:rsidRDefault="00BE0564" w:rsidP="00BE0564">
            <w:pPr>
              <w:jc w:val="center"/>
              <w:rPr>
                <w:rFonts w:ascii="Century" w:hAnsi="Century"/>
                <w:i/>
                <w:color w:val="000080"/>
                <w:sz w:val="20"/>
                <w:szCs w:val="20"/>
              </w:rPr>
            </w:pPr>
            <w:r w:rsidRPr="00EC5821">
              <w:rPr>
                <w:rFonts w:ascii="Century" w:hAnsi="Century"/>
                <w:i/>
                <w:color w:val="000080"/>
                <w:sz w:val="20"/>
                <w:szCs w:val="20"/>
              </w:rPr>
              <w:t>T</w:t>
            </w:r>
            <w:r w:rsidR="006618C1" w:rsidRPr="00EC5821">
              <w:rPr>
                <w:rFonts w:ascii="Century" w:hAnsi="Century"/>
                <w:i/>
                <w:color w:val="000080"/>
                <w:sz w:val="20"/>
                <w:szCs w:val="20"/>
              </w:rPr>
              <w:t>urkish Finance Sectors</w:t>
            </w:r>
            <w:r w:rsidR="00597F89" w:rsidRPr="00EC5821">
              <w:rPr>
                <w:rFonts w:ascii="Century" w:hAnsi="Century"/>
                <w:i/>
                <w:color w:val="000080"/>
                <w:sz w:val="20"/>
                <w:szCs w:val="20"/>
              </w:rPr>
              <w:t>’</w:t>
            </w:r>
            <w:r w:rsidR="006618C1" w:rsidRPr="00EC5821">
              <w:rPr>
                <w:rFonts w:ascii="Century" w:hAnsi="Century"/>
                <w:i/>
                <w:color w:val="000080"/>
                <w:sz w:val="20"/>
                <w:szCs w:val="20"/>
              </w:rPr>
              <w:t xml:space="preserve"> Total Asset</w:t>
            </w:r>
            <w:r w:rsidR="00597F89" w:rsidRPr="00EC5821">
              <w:rPr>
                <w:rFonts w:ascii="Century" w:hAnsi="Century"/>
                <w:i/>
                <w:color w:val="000080"/>
                <w:sz w:val="20"/>
                <w:szCs w:val="20"/>
              </w:rPr>
              <w:t>s</w:t>
            </w:r>
          </w:p>
          <w:p w:rsidR="00AE1FF5" w:rsidRDefault="00AE1FF5" w:rsidP="00BE0564">
            <w:pPr>
              <w:jc w:val="center"/>
              <w:rPr>
                <w:rFonts w:ascii="Century" w:hAnsi="Century"/>
                <w:i/>
                <w:color w:val="000080"/>
                <w:sz w:val="20"/>
                <w:szCs w:val="20"/>
              </w:rPr>
            </w:pPr>
            <w:r>
              <w:rPr>
                <w:rFonts w:ascii="Century" w:hAnsi="Century"/>
                <w:i/>
                <w:noProof/>
                <w:color w:val="000080"/>
                <w:sz w:val="20"/>
                <w:szCs w:val="20"/>
              </w:rPr>
              <w:drawing>
                <wp:inline distT="0" distB="0" distL="0" distR="0" wp14:anchorId="5B6B5AAD" wp14:editId="40829097">
                  <wp:extent cx="6090920" cy="1964055"/>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920" cy="1964055"/>
                          </a:xfrm>
                          <a:prstGeom prst="rect">
                            <a:avLst/>
                          </a:prstGeom>
                          <a:noFill/>
                          <a:ln>
                            <a:noFill/>
                          </a:ln>
                        </pic:spPr>
                      </pic:pic>
                    </a:graphicData>
                  </a:graphic>
                </wp:inline>
              </w:drawing>
            </w:r>
          </w:p>
          <w:p w:rsidR="006618C1" w:rsidRPr="00EC5821" w:rsidRDefault="006618C1" w:rsidP="006618C1">
            <w:pPr>
              <w:jc w:val="both"/>
              <w:rPr>
                <w:rFonts w:ascii="Century" w:hAnsi="Century" w:cs="Arial TUR"/>
                <w:sz w:val="16"/>
                <w:szCs w:val="16"/>
                <w:lang w:eastAsia="tr-TR"/>
              </w:rPr>
            </w:pPr>
            <w:r w:rsidRPr="00EC5821">
              <w:rPr>
                <w:rFonts w:ascii="Century" w:hAnsi="Century" w:cs="Arial TUR"/>
                <w:sz w:val="16"/>
                <w:szCs w:val="16"/>
                <w:lang w:eastAsia="tr-TR"/>
              </w:rPr>
              <w:t xml:space="preserve">Kaynak: </w:t>
            </w:r>
            <w:r w:rsidR="003B5A73" w:rsidRPr="00EC5821">
              <w:rPr>
                <w:rFonts w:ascii="Century" w:hAnsi="Century" w:cs="Arial TUR"/>
                <w:sz w:val="16"/>
                <w:szCs w:val="16"/>
                <w:lang w:eastAsia="tr-TR"/>
              </w:rPr>
              <w:t>HM,</w:t>
            </w:r>
            <w:r w:rsidR="00F744EC" w:rsidRPr="00EC5821">
              <w:rPr>
                <w:rFonts w:ascii="Century" w:hAnsi="Century" w:cs="Arial TUR"/>
                <w:sz w:val="16"/>
                <w:szCs w:val="16"/>
                <w:lang w:eastAsia="tr-TR"/>
              </w:rPr>
              <w:t xml:space="preserve"> </w:t>
            </w:r>
            <w:r w:rsidRPr="00EC5821">
              <w:rPr>
                <w:rFonts w:ascii="Century" w:hAnsi="Century" w:cs="Arial TUR"/>
                <w:sz w:val="16"/>
                <w:szCs w:val="16"/>
                <w:lang w:eastAsia="tr-TR"/>
              </w:rPr>
              <w:t xml:space="preserve">BDDK, </w:t>
            </w:r>
            <w:r w:rsidR="00403CF1" w:rsidRPr="00EC5821">
              <w:rPr>
                <w:rFonts w:ascii="Century" w:hAnsi="Century" w:cs="Arial TUR"/>
                <w:sz w:val="16"/>
                <w:szCs w:val="16"/>
                <w:lang w:eastAsia="tr-TR"/>
              </w:rPr>
              <w:t>SPK ve TSPB verilerinden derlenmiştir.</w:t>
            </w:r>
            <w:r w:rsidR="0002775D" w:rsidRPr="00EC5821">
              <w:rPr>
                <w:rFonts w:ascii="Century" w:hAnsi="Century" w:cs="Arial TUR"/>
                <w:sz w:val="16"/>
                <w:szCs w:val="16"/>
                <w:lang w:eastAsia="tr-TR"/>
              </w:rPr>
              <w:t xml:space="preserve"> </w:t>
            </w:r>
          </w:p>
          <w:p w:rsidR="00BE0564" w:rsidRPr="00EC5821" w:rsidRDefault="006618C1" w:rsidP="00074A61">
            <w:pPr>
              <w:jc w:val="both"/>
              <w:rPr>
                <w:rFonts w:ascii="Century" w:hAnsi="Century" w:cs="Arial TUR"/>
                <w:i/>
                <w:iCs/>
                <w:sz w:val="16"/>
                <w:szCs w:val="16"/>
                <w:lang w:eastAsia="tr-TR"/>
              </w:rPr>
            </w:pPr>
            <w:r w:rsidRPr="00EC5821">
              <w:rPr>
                <w:rFonts w:ascii="Century" w:hAnsi="Century" w:cs="Arial TUR"/>
                <w:i/>
                <w:iCs/>
                <w:sz w:val="16"/>
                <w:szCs w:val="16"/>
                <w:lang w:eastAsia="tr-TR"/>
              </w:rPr>
              <w:t xml:space="preserve">Source: Turkey </w:t>
            </w:r>
            <w:r w:rsidR="00403CF1" w:rsidRPr="00EC5821">
              <w:rPr>
                <w:rFonts w:ascii="Century" w:hAnsi="Century" w:cs="Arial TUR"/>
                <w:i/>
                <w:iCs/>
                <w:sz w:val="16"/>
                <w:szCs w:val="16"/>
                <w:lang w:eastAsia="tr-TR"/>
              </w:rPr>
              <w:t xml:space="preserve">UT, </w:t>
            </w:r>
            <w:r w:rsidRPr="00EC5821">
              <w:rPr>
                <w:rFonts w:ascii="Century" w:hAnsi="Century" w:cs="Arial TUR"/>
                <w:i/>
                <w:iCs/>
                <w:sz w:val="16"/>
                <w:szCs w:val="16"/>
                <w:lang w:eastAsia="tr-TR"/>
              </w:rPr>
              <w:t xml:space="preserve">BRSA, </w:t>
            </w:r>
            <w:r w:rsidR="00403CF1" w:rsidRPr="00EC5821">
              <w:rPr>
                <w:rFonts w:ascii="Century" w:hAnsi="Century" w:cs="Arial TUR"/>
                <w:i/>
                <w:iCs/>
                <w:sz w:val="16"/>
                <w:szCs w:val="16"/>
                <w:lang w:eastAsia="tr-TR"/>
              </w:rPr>
              <w:t>CMB and ATCM.</w:t>
            </w:r>
          </w:p>
          <w:p w:rsidR="00BE0564" w:rsidRPr="00EC5821" w:rsidRDefault="00BE0564" w:rsidP="00074A61">
            <w:pPr>
              <w:jc w:val="both"/>
              <w:rPr>
                <w:rFonts w:ascii="Century" w:hAnsi="Century" w:cs="Arial"/>
                <w:color w:val="333333"/>
                <w:sz w:val="22"/>
                <w:szCs w:val="22"/>
              </w:rPr>
            </w:pPr>
          </w:p>
          <w:p w:rsidR="00BE0564" w:rsidRPr="00EC5821" w:rsidRDefault="00BE0564" w:rsidP="00074A61">
            <w:pPr>
              <w:jc w:val="both"/>
              <w:rPr>
                <w:rFonts w:ascii="Century" w:hAnsi="Century" w:cs="Arial"/>
                <w:color w:val="333333"/>
                <w:sz w:val="22"/>
                <w:szCs w:val="22"/>
              </w:rPr>
            </w:pPr>
          </w:p>
          <w:p w:rsidR="00FB7F42" w:rsidRPr="00EC5821" w:rsidRDefault="00FB7F42" w:rsidP="00074A61">
            <w:pPr>
              <w:jc w:val="both"/>
              <w:rPr>
                <w:rFonts w:ascii="Century" w:hAnsi="Century" w:cs="Arial"/>
                <w:color w:val="333333"/>
                <w:sz w:val="22"/>
                <w:szCs w:val="22"/>
              </w:rPr>
            </w:pPr>
          </w:p>
        </w:tc>
      </w:tr>
      <w:tr w:rsidR="00EF760F" w:rsidRPr="00B10D90" w:rsidTr="00441D50">
        <w:trPr>
          <w:gridAfter w:val="2"/>
          <w:wAfter w:w="38" w:type="dxa"/>
          <w:trHeight w:val="5750"/>
        </w:trPr>
        <w:tc>
          <w:tcPr>
            <w:tcW w:w="4817" w:type="dxa"/>
            <w:gridSpan w:val="2"/>
          </w:tcPr>
          <w:p w:rsidR="00877129" w:rsidRPr="00B976EA" w:rsidRDefault="00877129" w:rsidP="00B21EB5">
            <w:pPr>
              <w:pStyle w:val="Heading2"/>
              <w:numPr>
                <w:ilvl w:val="1"/>
                <w:numId w:val="1"/>
              </w:numPr>
              <w:tabs>
                <w:tab w:val="num" w:pos="492"/>
              </w:tabs>
              <w:spacing w:before="0" w:after="0"/>
              <w:ind w:left="-18" w:firstLine="20"/>
              <w:jc w:val="both"/>
              <w:rPr>
                <w:rFonts w:ascii="Century" w:hAnsi="Century"/>
                <w:i w:val="0"/>
                <w:color w:val="000080"/>
                <w:sz w:val="22"/>
                <w:szCs w:val="22"/>
              </w:rPr>
            </w:pPr>
            <w:bookmarkStart w:id="150" w:name="_Toc358380184"/>
            <w:bookmarkStart w:id="151" w:name="_Toc12957654"/>
            <w:r w:rsidRPr="00B976EA">
              <w:rPr>
                <w:rFonts w:ascii="Century" w:hAnsi="Century"/>
                <w:i w:val="0"/>
                <w:color w:val="000080"/>
                <w:sz w:val="22"/>
                <w:szCs w:val="22"/>
              </w:rPr>
              <w:lastRenderedPageBreak/>
              <w:t>201</w:t>
            </w:r>
            <w:r w:rsidR="00B976EA" w:rsidRPr="00B976EA">
              <w:rPr>
                <w:rFonts w:ascii="Century" w:hAnsi="Century"/>
                <w:i w:val="0"/>
                <w:color w:val="000080"/>
                <w:sz w:val="22"/>
                <w:szCs w:val="22"/>
              </w:rPr>
              <w:t>8</w:t>
            </w:r>
            <w:r w:rsidRPr="00B976EA">
              <w:rPr>
                <w:rFonts w:ascii="Century" w:hAnsi="Century"/>
                <w:i w:val="0"/>
                <w:color w:val="000080"/>
                <w:sz w:val="22"/>
                <w:szCs w:val="22"/>
              </w:rPr>
              <w:t xml:space="preserve"> Yılında Türk Sigortacılık ve Bireysel Emeklilik Sektörleri</w:t>
            </w:r>
            <w:bookmarkEnd w:id="150"/>
            <w:bookmarkEnd w:id="151"/>
          </w:p>
          <w:p w:rsidR="007D2541" w:rsidRPr="00B976EA" w:rsidRDefault="007D2541" w:rsidP="007D2541">
            <w:pPr>
              <w:pStyle w:val="Heading3"/>
              <w:tabs>
                <w:tab w:val="num" w:pos="492"/>
              </w:tabs>
              <w:spacing w:before="0" w:after="0"/>
              <w:ind w:left="110" w:hanging="110"/>
              <w:jc w:val="both"/>
              <w:rPr>
                <w:rFonts w:ascii="Century" w:hAnsi="Century"/>
                <w:color w:val="000080"/>
                <w:sz w:val="22"/>
                <w:szCs w:val="22"/>
              </w:rPr>
            </w:pPr>
            <w:bookmarkStart w:id="152" w:name="_Toc358380185"/>
            <w:bookmarkStart w:id="153" w:name="_Toc12957655"/>
            <w:r w:rsidRPr="00B976EA">
              <w:rPr>
                <w:rFonts w:ascii="Century" w:hAnsi="Century"/>
                <w:color w:val="000080"/>
                <w:sz w:val="22"/>
                <w:szCs w:val="22"/>
              </w:rPr>
              <w:t>Prim Üretimi ve Verilen Teminatlar</w:t>
            </w:r>
            <w:bookmarkEnd w:id="152"/>
            <w:bookmarkEnd w:id="153"/>
          </w:p>
          <w:p w:rsidR="00555DF2" w:rsidRPr="00B10D90" w:rsidRDefault="00555DF2" w:rsidP="00555DF2">
            <w:pPr>
              <w:jc w:val="both"/>
              <w:rPr>
                <w:rFonts w:ascii="Century" w:hAnsi="Century"/>
                <w:sz w:val="22"/>
                <w:szCs w:val="22"/>
                <w:highlight w:val="yellow"/>
              </w:rPr>
            </w:pPr>
          </w:p>
          <w:p w:rsidR="00555DF2" w:rsidRPr="00F03A3D" w:rsidRDefault="00555DF2" w:rsidP="00555DF2">
            <w:pPr>
              <w:jc w:val="both"/>
              <w:rPr>
                <w:rFonts w:ascii="Century" w:hAnsi="Century"/>
                <w:sz w:val="22"/>
                <w:szCs w:val="22"/>
              </w:rPr>
            </w:pPr>
            <w:r w:rsidRPr="00F03A3D">
              <w:rPr>
                <w:rFonts w:ascii="Century" w:hAnsi="Century"/>
                <w:sz w:val="22"/>
                <w:szCs w:val="22"/>
              </w:rPr>
              <w:t>Türk sigortacılık sektöründe 201</w:t>
            </w:r>
            <w:r w:rsidR="00B976EA" w:rsidRPr="00F03A3D">
              <w:rPr>
                <w:rFonts w:ascii="Century" w:hAnsi="Century"/>
                <w:sz w:val="22"/>
                <w:szCs w:val="22"/>
              </w:rPr>
              <w:t>8</w:t>
            </w:r>
            <w:r w:rsidRPr="00F03A3D">
              <w:rPr>
                <w:rFonts w:ascii="Century" w:hAnsi="Century"/>
                <w:sz w:val="22"/>
                <w:szCs w:val="22"/>
              </w:rPr>
              <w:t xml:space="preserve"> yılında hayat dışı sigorta branşlarınd</w:t>
            </w:r>
            <w:r w:rsidR="008C2BF5" w:rsidRPr="00F03A3D">
              <w:rPr>
                <w:rFonts w:ascii="Century" w:hAnsi="Century"/>
                <w:sz w:val="22"/>
                <w:szCs w:val="22"/>
              </w:rPr>
              <w:t xml:space="preserve">a </w:t>
            </w:r>
            <w:r w:rsidR="00314CCE">
              <w:rPr>
                <w:rFonts w:ascii="Century" w:hAnsi="Century"/>
                <w:sz w:val="22"/>
                <w:szCs w:val="22"/>
              </w:rPr>
              <w:t xml:space="preserve">                 </w:t>
            </w:r>
            <w:r w:rsidR="00F03A3D" w:rsidRPr="00F03A3D">
              <w:rPr>
                <w:rFonts w:ascii="Century" w:hAnsi="Century"/>
                <w:sz w:val="22"/>
                <w:szCs w:val="22"/>
              </w:rPr>
              <w:t>47</w:t>
            </w:r>
            <w:proofErr w:type="gramStart"/>
            <w:r w:rsidRPr="00F03A3D">
              <w:rPr>
                <w:rFonts w:ascii="Century" w:hAnsi="Century"/>
                <w:sz w:val="22"/>
                <w:szCs w:val="22"/>
              </w:rPr>
              <w:t>,</w:t>
            </w:r>
            <w:r w:rsidR="002151F5" w:rsidRPr="00F03A3D">
              <w:rPr>
                <w:rFonts w:ascii="Century" w:hAnsi="Century"/>
                <w:sz w:val="22"/>
                <w:szCs w:val="22"/>
              </w:rPr>
              <w:t>7</w:t>
            </w:r>
            <w:proofErr w:type="gramEnd"/>
            <w:r w:rsidRPr="00F03A3D">
              <w:rPr>
                <w:rFonts w:ascii="Century" w:hAnsi="Century"/>
                <w:sz w:val="22"/>
                <w:szCs w:val="22"/>
              </w:rPr>
              <w:t xml:space="preserve"> milyar TL, hayat grubu sigorta dallarında ise </w:t>
            </w:r>
            <w:r w:rsidR="002151F5" w:rsidRPr="00F03A3D">
              <w:rPr>
                <w:rFonts w:ascii="Century" w:hAnsi="Century"/>
                <w:sz w:val="22"/>
                <w:szCs w:val="22"/>
              </w:rPr>
              <w:t>6</w:t>
            </w:r>
            <w:r w:rsidRPr="00F03A3D">
              <w:rPr>
                <w:rFonts w:ascii="Century" w:hAnsi="Century"/>
                <w:sz w:val="22"/>
                <w:szCs w:val="22"/>
              </w:rPr>
              <w:t>,</w:t>
            </w:r>
            <w:r w:rsidR="00F03A3D" w:rsidRPr="00F03A3D">
              <w:rPr>
                <w:rFonts w:ascii="Century" w:hAnsi="Century"/>
                <w:sz w:val="22"/>
                <w:szCs w:val="22"/>
              </w:rPr>
              <w:t>9 milyar TL olmak üzere toplam 54</w:t>
            </w:r>
            <w:r w:rsidRPr="00F03A3D">
              <w:rPr>
                <w:rFonts w:ascii="Century" w:hAnsi="Century"/>
                <w:sz w:val="22"/>
                <w:szCs w:val="22"/>
              </w:rPr>
              <w:t>,</w:t>
            </w:r>
            <w:r w:rsidR="002151F5" w:rsidRPr="00F03A3D">
              <w:rPr>
                <w:rFonts w:ascii="Century" w:hAnsi="Century"/>
                <w:sz w:val="22"/>
                <w:szCs w:val="22"/>
              </w:rPr>
              <w:t xml:space="preserve">6 </w:t>
            </w:r>
            <w:r w:rsidRPr="00F03A3D">
              <w:rPr>
                <w:rFonts w:ascii="Century" w:hAnsi="Century"/>
                <w:sz w:val="22"/>
                <w:szCs w:val="22"/>
              </w:rPr>
              <w:t xml:space="preserve">milyar TL prim üretimi gerçekleştirilmiştir. </w:t>
            </w:r>
            <w:r w:rsidR="008C2BF5" w:rsidRPr="00F03A3D">
              <w:rPr>
                <w:rFonts w:ascii="Century" w:hAnsi="Century"/>
                <w:sz w:val="22"/>
                <w:szCs w:val="22"/>
              </w:rPr>
              <w:t>Prim üretimi 201</w:t>
            </w:r>
            <w:r w:rsidR="00F03A3D" w:rsidRPr="00F03A3D">
              <w:rPr>
                <w:rFonts w:ascii="Century" w:hAnsi="Century"/>
                <w:sz w:val="22"/>
                <w:szCs w:val="22"/>
              </w:rPr>
              <w:t>7</w:t>
            </w:r>
            <w:r w:rsidR="002151F5" w:rsidRPr="00F03A3D">
              <w:rPr>
                <w:rFonts w:ascii="Century" w:hAnsi="Century"/>
                <w:sz w:val="22"/>
                <w:szCs w:val="22"/>
              </w:rPr>
              <w:t xml:space="preserve"> yılına göre %1</w:t>
            </w:r>
            <w:r w:rsidR="00F03A3D" w:rsidRPr="00F03A3D">
              <w:rPr>
                <w:rFonts w:ascii="Century" w:hAnsi="Century"/>
                <w:sz w:val="22"/>
                <w:szCs w:val="22"/>
              </w:rPr>
              <w:t>7</w:t>
            </w:r>
            <w:proofErr w:type="gramStart"/>
            <w:r w:rsidR="002151F5" w:rsidRPr="00F03A3D">
              <w:rPr>
                <w:rFonts w:ascii="Century" w:hAnsi="Century"/>
                <w:sz w:val="22"/>
                <w:szCs w:val="22"/>
              </w:rPr>
              <w:t>,</w:t>
            </w:r>
            <w:r w:rsidR="00F03A3D" w:rsidRPr="00F03A3D">
              <w:rPr>
                <w:rFonts w:ascii="Century" w:hAnsi="Century"/>
                <w:sz w:val="22"/>
                <w:szCs w:val="22"/>
              </w:rPr>
              <w:t>3</w:t>
            </w:r>
            <w:proofErr w:type="gramEnd"/>
            <w:r w:rsidRPr="00F03A3D">
              <w:rPr>
                <w:rFonts w:ascii="Century" w:hAnsi="Century"/>
                <w:sz w:val="22"/>
                <w:szCs w:val="22"/>
              </w:rPr>
              <w:t xml:space="preserve"> oranında artmıştır. </w:t>
            </w:r>
            <w:r w:rsidR="00F03A3D" w:rsidRPr="00F03A3D">
              <w:rPr>
                <w:rFonts w:ascii="Century" w:hAnsi="Century"/>
                <w:sz w:val="22"/>
                <w:szCs w:val="22"/>
              </w:rPr>
              <w:t>Toplam üretimin 50</w:t>
            </w:r>
            <w:proofErr w:type="gramStart"/>
            <w:r w:rsidR="00F03A3D" w:rsidRPr="00F03A3D">
              <w:rPr>
                <w:rFonts w:ascii="Century" w:hAnsi="Century"/>
                <w:sz w:val="22"/>
                <w:szCs w:val="22"/>
              </w:rPr>
              <w:t>,4</w:t>
            </w:r>
            <w:proofErr w:type="gramEnd"/>
            <w:r w:rsidRPr="00F03A3D">
              <w:rPr>
                <w:rFonts w:ascii="Century" w:hAnsi="Century"/>
                <w:sz w:val="22"/>
                <w:szCs w:val="22"/>
              </w:rPr>
              <w:t xml:space="preserve"> milyar TL’lik kısmı direk</w:t>
            </w:r>
            <w:r w:rsidR="006B4B78" w:rsidRPr="00F03A3D">
              <w:rPr>
                <w:rFonts w:ascii="Century" w:hAnsi="Century"/>
                <w:sz w:val="22"/>
                <w:szCs w:val="22"/>
              </w:rPr>
              <w:t>t</w:t>
            </w:r>
            <w:r w:rsidRPr="00F03A3D">
              <w:rPr>
                <w:rFonts w:ascii="Century" w:hAnsi="Century"/>
                <w:sz w:val="22"/>
                <w:szCs w:val="22"/>
              </w:rPr>
              <w:t xml:space="preserve"> prim üretimi iken, kalan </w:t>
            </w:r>
            <w:r w:rsidR="00F03A3D" w:rsidRPr="00F03A3D">
              <w:rPr>
                <w:rFonts w:ascii="Century" w:hAnsi="Century"/>
                <w:sz w:val="22"/>
                <w:szCs w:val="22"/>
              </w:rPr>
              <w:t>4</w:t>
            </w:r>
            <w:r w:rsidR="002151F5" w:rsidRPr="00F03A3D">
              <w:rPr>
                <w:rFonts w:ascii="Century" w:hAnsi="Century"/>
                <w:sz w:val="22"/>
                <w:szCs w:val="22"/>
              </w:rPr>
              <w:t>,</w:t>
            </w:r>
            <w:r w:rsidR="00F03A3D" w:rsidRPr="00F03A3D">
              <w:rPr>
                <w:rFonts w:ascii="Century" w:hAnsi="Century"/>
                <w:sz w:val="22"/>
                <w:szCs w:val="22"/>
              </w:rPr>
              <w:t>2</w:t>
            </w:r>
            <w:r w:rsidR="00EE5CB5" w:rsidRPr="00F03A3D">
              <w:rPr>
                <w:rFonts w:ascii="Century" w:hAnsi="Century"/>
                <w:sz w:val="22"/>
                <w:szCs w:val="22"/>
              </w:rPr>
              <w:t xml:space="preserve"> </w:t>
            </w:r>
            <w:r w:rsidRPr="00F03A3D">
              <w:rPr>
                <w:rFonts w:ascii="Century" w:hAnsi="Century"/>
                <w:sz w:val="22"/>
                <w:szCs w:val="22"/>
              </w:rPr>
              <w:t>mily</w:t>
            </w:r>
            <w:r w:rsidR="00EE5CB5" w:rsidRPr="00F03A3D">
              <w:rPr>
                <w:rFonts w:ascii="Century" w:hAnsi="Century"/>
                <w:sz w:val="22"/>
                <w:szCs w:val="22"/>
              </w:rPr>
              <w:t>ar</w:t>
            </w:r>
            <w:r w:rsidRPr="00F03A3D">
              <w:rPr>
                <w:rFonts w:ascii="Century" w:hAnsi="Century"/>
                <w:sz w:val="22"/>
                <w:szCs w:val="22"/>
              </w:rPr>
              <w:t xml:space="preserve"> TL’lik kısmı reasürans yoluyla sağlanmıştır.</w:t>
            </w:r>
          </w:p>
          <w:p w:rsidR="007D2541" w:rsidRPr="00B10D90" w:rsidRDefault="007D2541" w:rsidP="007D2541">
            <w:pPr>
              <w:jc w:val="both"/>
              <w:rPr>
                <w:rFonts w:ascii="Century" w:hAnsi="Century"/>
                <w:sz w:val="16"/>
                <w:szCs w:val="16"/>
                <w:highlight w:val="yellow"/>
              </w:rPr>
            </w:pPr>
          </w:p>
          <w:p w:rsidR="007D2541" w:rsidRPr="00652881" w:rsidRDefault="00290B22" w:rsidP="007D2541">
            <w:pPr>
              <w:jc w:val="both"/>
              <w:rPr>
                <w:rFonts w:ascii="Century" w:hAnsi="Century"/>
                <w:sz w:val="22"/>
                <w:szCs w:val="22"/>
              </w:rPr>
            </w:pPr>
            <w:r w:rsidRPr="00652881">
              <w:rPr>
                <w:rFonts w:ascii="Century" w:hAnsi="Century"/>
                <w:sz w:val="22"/>
                <w:szCs w:val="22"/>
              </w:rPr>
              <w:t xml:space="preserve">Alınan primler karşılığında </w:t>
            </w:r>
            <w:r w:rsidR="0075077C" w:rsidRPr="00652881">
              <w:rPr>
                <w:rFonts w:ascii="Century" w:hAnsi="Century"/>
                <w:sz w:val="22"/>
                <w:szCs w:val="22"/>
              </w:rPr>
              <w:t xml:space="preserve">yıl içinde </w:t>
            </w:r>
            <w:r w:rsidRPr="00652881">
              <w:rPr>
                <w:rFonts w:ascii="Century" w:hAnsi="Century"/>
                <w:sz w:val="22"/>
                <w:szCs w:val="22"/>
              </w:rPr>
              <w:t xml:space="preserve">sigortalılara verilen toplam teminat tutarı, </w:t>
            </w:r>
            <w:r w:rsidR="00C53426" w:rsidRPr="00652881">
              <w:rPr>
                <w:rFonts w:ascii="Century" w:hAnsi="Century"/>
                <w:sz w:val="22"/>
                <w:szCs w:val="22"/>
              </w:rPr>
              <w:t>61</w:t>
            </w:r>
            <w:r w:rsidR="001573E8" w:rsidRPr="00652881">
              <w:rPr>
                <w:rFonts w:ascii="Century" w:hAnsi="Century"/>
                <w:sz w:val="22"/>
                <w:szCs w:val="22"/>
              </w:rPr>
              <w:t>1</w:t>
            </w:r>
            <w:r w:rsidR="00C53426" w:rsidRPr="00652881">
              <w:rPr>
                <w:rFonts w:ascii="Century" w:hAnsi="Century"/>
                <w:sz w:val="22"/>
                <w:szCs w:val="22"/>
              </w:rPr>
              <w:t xml:space="preserve">1 sayılı Kanunla </w:t>
            </w:r>
            <w:r w:rsidR="007D2541" w:rsidRPr="00652881">
              <w:rPr>
                <w:rFonts w:ascii="Century" w:hAnsi="Century"/>
                <w:sz w:val="22"/>
                <w:szCs w:val="22"/>
              </w:rPr>
              <w:t>Sosyal Güvenlik Kurumu</w:t>
            </w:r>
            <w:r w:rsidR="00D46D6D" w:rsidRPr="00652881">
              <w:rPr>
                <w:rFonts w:ascii="Century" w:hAnsi="Century"/>
                <w:sz w:val="22"/>
                <w:szCs w:val="22"/>
              </w:rPr>
              <w:t xml:space="preserve">’na devredilen </w:t>
            </w:r>
            <w:r w:rsidR="007D2541" w:rsidRPr="00652881">
              <w:rPr>
                <w:rFonts w:ascii="Century" w:hAnsi="Century"/>
                <w:sz w:val="22"/>
                <w:szCs w:val="22"/>
              </w:rPr>
              <w:t>tedavi giderleri</w:t>
            </w:r>
            <w:r w:rsidR="002151F5" w:rsidRPr="00652881">
              <w:rPr>
                <w:rFonts w:ascii="Century" w:hAnsi="Century"/>
                <w:sz w:val="22"/>
                <w:szCs w:val="22"/>
              </w:rPr>
              <w:t xml:space="preserve"> teminatı ve Riskli Sigortalılar Havuzuna devredilen teminatlar</w:t>
            </w:r>
            <w:r w:rsidR="007D2541" w:rsidRPr="00652881">
              <w:rPr>
                <w:rFonts w:ascii="Century" w:hAnsi="Century"/>
                <w:sz w:val="22"/>
                <w:szCs w:val="22"/>
              </w:rPr>
              <w:t xml:space="preserve"> dahil</w:t>
            </w:r>
            <w:r w:rsidRPr="00652881">
              <w:rPr>
                <w:rFonts w:ascii="Century" w:hAnsi="Century"/>
                <w:sz w:val="22"/>
                <w:szCs w:val="22"/>
              </w:rPr>
              <w:t>,</w:t>
            </w:r>
            <w:r w:rsidR="007D2541" w:rsidRPr="00652881">
              <w:rPr>
                <w:rFonts w:ascii="Century" w:hAnsi="Century"/>
                <w:sz w:val="22"/>
                <w:szCs w:val="22"/>
              </w:rPr>
              <w:t xml:space="preserve"> hastalık / sağlık branşı hariç </w:t>
            </w:r>
            <w:r w:rsidRPr="00652881">
              <w:rPr>
                <w:rFonts w:ascii="Century" w:hAnsi="Century"/>
                <w:sz w:val="22"/>
                <w:szCs w:val="22"/>
              </w:rPr>
              <w:t xml:space="preserve">olmak üzere </w:t>
            </w:r>
            <w:r w:rsidR="00652881" w:rsidRPr="00652881">
              <w:rPr>
                <w:rFonts w:ascii="Century" w:hAnsi="Century"/>
                <w:sz w:val="22"/>
                <w:szCs w:val="22"/>
              </w:rPr>
              <w:t>126</w:t>
            </w:r>
            <w:r w:rsidR="00BE6D32" w:rsidRPr="00652881">
              <w:rPr>
                <w:rFonts w:ascii="Century" w:hAnsi="Century"/>
                <w:sz w:val="22"/>
                <w:szCs w:val="22"/>
              </w:rPr>
              <w:t>,</w:t>
            </w:r>
            <w:r w:rsidR="00652881" w:rsidRPr="00652881">
              <w:rPr>
                <w:rFonts w:ascii="Century" w:hAnsi="Century"/>
                <w:sz w:val="22"/>
                <w:szCs w:val="22"/>
              </w:rPr>
              <w:t>9</w:t>
            </w:r>
            <w:r w:rsidR="007D2541" w:rsidRPr="00652881">
              <w:rPr>
                <w:rFonts w:ascii="Century" w:hAnsi="Century"/>
                <w:sz w:val="22"/>
                <w:szCs w:val="22"/>
              </w:rPr>
              <w:t xml:space="preserve"> trilyon TL’ye ulaşmıştır. </w:t>
            </w:r>
          </w:p>
          <w:p w:rsidR="007D2541" w:rsidRPr="00B10D90" w:rsidRDefault="007D2541" w:rsidP="007D2541">
            <w:pPr>
              <w:jc w:val="both"/>
              <w:rPr>
                <w:rFonts w:ascii="Century" w:hAnsi="Century"/>
                <w:sz w:val="10"/>
                <w:szCs w:val="10"/>
                <w:highlight w:val="yellow"/>
              </w:rPr>
            </w:pPr>
          </w:p>
          <w:p w:rsidR="00EF760F" w:rsidRPr="00652881" w:rsidRDefault="005428E4" w:rsidP="00B926A1">
            <w:pPr>
              <w:jc w:val="both"/>
              <w:rPr>
                <w:rFonts w:ascii="Century" w:hAnsi="Century"/>
                <w:sz w:val="22"/>
                <w:szCs w:val="22"/>
              </w:rPr>
            </w:pPr>
            <w:r w:rsidRPr="00652881">
              <w:rPr>
                <w:rFonts w:ascii="Century" w:hAnsi="Century"/>
                <w:sz w:val="22"/>
                <w:szCs w:val="22"/>
              </w:rPr>
              <w:t>Aşağıdaki tabloda, son beş yıllık döneme ilişkin toplam prim üretimi ile teminat verileri sunulmuştur.</w:t>
            </w:r>
          </w:p>
          <w:p w:rsidR="001670E7" w:rsidRPr="00B10D90" w:rsidRDefault="001670E7" w:rsidP="00B926A1">
            <w:pPr>
              <w:jc w:val="both"/>
              <w:rPr>
                <w:rFonts w:ascii="Century" w:hAnsi="Century"/>
                <w:sz w:val="10"/>
                <w:szCs w:val="10"/>
                <w:highlight w:val="yellow"/>
              </w:rPr>
            </w:pPr>
          </w:p>
          <w:p w:rsidR="00166556" w:rsidRPr="00B10D90" w:rsidRDefault="00166556" w:rsidP="00B926A1">
            <w:pPr>
              <w:jc w:val="both"/>
              <w:rPr>
                <w:color w:val="000080"/>
                <w:sz w:val="2"/>
                <w:szCs w:val="2"/>
                <w:highlight w:val="yellow"/>
              </w:rPr>
            </w:pPr>
          </w:p>
        </w:tc>
        <w:tc>
          <w:tcPr>
            <w:tcW w:w="236" w:type="dxa"/>
            <w:gridSpan w:val="6"/>
          </w:tcPr>
          <w:p w:rsidR="00EF760F" w:rsidRPr="00B10D90" w:rsidRDefault="00EF760F" w:rsidP="00CD35C2">
            <w:pPr>
              <w:jc w:val="both"/>
              <w:rPr>
                <w:rFonts w:ascii="Century" w:hAnsi="Century"/>
                <w:sz w:val="22"/>
                <w:szCs w:val="22"/>
                <w:highlight w:val="yellow"/>
              </w:rPr>
            </w:pPr>
          </w:p>
        </w:tc>
        <w:tc>
          <w:tcPr>
            <w:tcW w:w="4767" w:type="dxa"/>
            <w:gridSpan w:val="6"/>
          </w:tcPr>
          <w:p w:rsidR="00877129" w:rsidRPr="00B976EA" w:rsidRDefault="00877129" w:rsidP="00877129">
            <w:pPr>
              <w:jc w:val="both"/>
              <w:rPr>
                <w:rFonts w:ascii="Century" w:hAnsi="Century"/>
                <w:b/>
                <w:color w:val="003366"/>
                <w:sz w:val="22"/>
                <w:szCs w:val="22"/>
              </w:rPr>
            </w:pPr>
            <w:r w:rsidRPr="00B976EA">
              <w:rPr>
                <w:rFonts w:ascii="Century" w:hAnsi="Century"/>
                <w:b/>
                <w:color w:val="003366"/>
                <w:sz w:val="22"/>
                <w:szCs w:val="22"/>
              </w:rPr>
              <w:t>1.2.</w:t>
            </w:r>
            <w:r w:rsidR="00446775">
              <w:rPr>
                <w:rFonts w:ascii="Century" w:hAnsi="Century"/>
                <w:b/>
                <w:color w:val="003366"/>
                <w:sz w:val="22"/>
                <w:szCs w:val="22"/>
              </w:rPr>
              <w:t xml:space="preserve"> </w:t>
            </w:r>
            <w:r w:rsidRPr="00B976EA">
              <w:rPr>
                <w:rFonts w:ascii="Century" w:hAnsi="Century"/>
                <w:b/>
                <w:color w:val="003366"/>
                <w:sz w:val="22"/>
                <w:szCs w:val="22"/>
              </w:rPr>
              <w:t xml:space="preserve">Turkish Insurance and </w:t>
            </w:r>
            <w:r w:rsidR="0023565B" w:rsidRPr="00B976EA">
              <w:rPr>
                <w:rFonts w:ascii="Century" w:hAnsi="Century"/>
                <w:b/>
                <w:color w:val="003366"/>
                <w:sz w:val="22"/>
                <w:szCs w:val="22"/>
              </w:rPr>
              <w:t>Private</w:t>
            </w:r>
            <w:r w:rsidRPr="00B976EA">
              <w:rPr>
                <w:rFonts w:ascii="Century" w:hAnsi="Century"/>
                <w:b/>
                <w:color w:val="003366"/>
                <w:sz w:val="22"/>
                <w:szCs w:val="22"/>
              </w:rPr>
              <w:t xml:space="preserve"> </w:t>
            </w:r>
            <w:r w:rsidR="00B61233" w:rsidRPr="00B976EA">
              <w:rPr>
                <w:rFonts w:ascii="Century" w:hAnsi="Century"/>
                <w:b/>
                <w:color w:val="003366"/>
                <w:sz w:val="22"/>
                <w:szCs w:val="22"/>
              </w:rPr>
              <w:t>P</w:t>
            </w:r>
            <w:r w:rsidRPr="00B976EA">
              <w:rPr>
                <w:rFonts w:ascii="Century" w:hAnsi="Century"/>
                <w:b/>
                <w:color w:val="003366"/>
                <w:sz w:val="22"/>
                <w:szCs w:val="22"/>
              </w:rPr>
              <w:t>ension Industries in 201</w:t>
            </w:r>
            <w:r w:rsidR="00B976EA" w:rsidRPr="00B976EA">
              <w:rPr>
                <w:rFonts w:ascii="Century" w:hAnsi="Century"/>
                <w:b/>
                <w:color w:val="003366"/>
                <w:sz w:val="22"/>
                <w:szCs w:val="22"/>
              </w:rPr>
              <w:t>8</w:t>
            </w:r>
          </w:p>
          <w:p w:rsidR="007D2541" w:rsidRPr="00B976EA" w:rsidRDefault="007D2541" w:rsidP="007D2541">
            <w:pPr>
              <w:jc w:val="both"/>
              <w:rPr>
                <w:rFonts w:ascii="Century" w:hAnsi="Century"/>
                <w:b/>
                <w:color w:val="003366"/>
                <w:sz w:val="22"/>
                <w:szCs w:val="22"/>
              </w:rPr>
            </w:pPr>
            <w:r w:rsidRPr="00B976EA">
              <w:rPr>
                <w:rFonts w:ascii="Century" w:hAnsi="Century"/>
                <w:b/>
                <w:color w:val="003366"/>
                <w:sz w:val="22"/>
                <w:szCs w:val="22"/>
              </w:rPr>
              <w:t>1.2.1.</w:t>
            </w:r>
            <w:r w:rsidR="00446775">
              <w:rPr>
                <w:rFonts w:ascii="Century" w:hAnsi="Century"/>
                <w:b/>
                <w:color w:val="003366"/>
                <w:sz w:val="22"/>
                <w:szCs w:val="22"/>
              </w:rPr>
              <w:t xml:space="preserve"> </w:t>
            </w:r>
            <w:r w:rsidRPr="00B976EA">
              <w:rPr>
                <w:rFonts w:ascii="Century" w:hAnsi="Century"/>
                <w:b/>
                <w:color w:val="003366"/>
                <w:sz w:val="22"/>
                <w:szCs w:val="22"/>
              </w:rPr>
              <w:t>Premium</w:t>
            </w:r>
            <w:r w:rsidR="00555DF2" w:rsidRPr="00B976EA">
              <w:rPr>
                <w:rFonts w:ascii="Century" w:hAnsi="Century"/>
                <w:b/>
                <w:color w:val="003366"/>
                <w:sz w:val="22"/>
                <w:szCs w:val="22"/>
              </w:rPr>
              <w:t xml:space="preserve"> Volume</w:t>
            </w:r>
            <w:r w:rsidRPr="00B976EA">
              <w:rPr>
                <w:rFonts w:ascii="Century" w:hAnsi="Century"/>
                <w:b/>
                <w:color w:val="003366"/>
                <w:sz w:val="22"/>
                <w:szCs w:val="22"/>
              </w:rPr>
              <w:t xml:space="preserve"> and Coverage </w:t>
            </w:r>
          </w:p>
          <w:p w:rsidR="007D2541" w:rsidRPr="00F03A3D" w:rsidRDefault="007D2541" w:rsidP="007D2541">
            <w:pPr>
              <w:jc w:val="both"/>
              <w:rPr>
                <w:rFonts w:ascii="Century" w:hAnsi="Century"/>
                <w:b/>
                <w:color w:val="003366"/>
                <w:sz w:val="22"/>
                <w:szCs w:val="22"/>
              </w:rPr>
            </w:pPr>
          </w:p>
          <w:p w:rsidR="00BE3202" w:rsidRPr="00B10D90" w:rsidRDefault="00A20DCA" w:rsidP="007D2541">
            <w:pPr>
              <w:jc w:val="both"/>
              <w:rPr>
                <w:rFonts w:ascii="Century" w:hAnsi="Century"/>
                <w:color w:val="333333"/>
                <w:sz w:val="16"/>
                <w:szCs w:val="16"/>
                <w:highlight w:val="yellow"/>
              </w:rPr>
            </w:pPr>
            <w:r w:rsidRPr="00F03A3D">
              <w:rPr>
                <w:rFonts w:ascii="Century" w:hAnsi="Century"/>
                <w:bCs/>
                <w:color w:val="333333"/>
                <w:sz w:val="22"/>
                <w:szCs w:val="22"/>
              </w:rPr>
              <w:t xml:space="preserve">The Turkish insurance market has produced </w:t>
            </w:r>
            <w:r w:rsidRPr="00F03A3D">
              <w:rPr>
                <w:rFonts w:ascii="AbakuTLSymSans" w:hAnsi="AbakuTLSymSans" w:cs="Arial"/>
                <w:bCs/>
                <w:sz w:val="20"/>
                <w:szCs w:val="20"/>
              </w:rPr>
              <w:t>¨</w:t>
            </w:r>
            <w:r w:rsidR="00F03A3D" w:rsidRPr="00F03A3D">
              <w:rPr>
                <w:rFonts w:ascii="Century" w:hAnsi="Century"/>
                <w:bCs/>
                <w:color w:val="333333"/>
                <w:sz w:val="22"/>
                <w:szCs w:val="22"/>
              </w:rPr>
              <w:t>54</w:t>
            </w:r>
            <w:r w:rsidR="005428E4" w:rsidRPr="00F03A3D">
              <w:rPr>
                <w:rFonts w:ascii="Century" w:hAnsi="Century"/>
                <w:bCs/>
                <w:color w:val="333333"/>
                <w:sz w:val="22"/>
                <w:szCs w:val="22"/>
              </w:rPr>
              <w:t>.</w:t>
            </w:r>
            <w:r w:rsidR="002151F5" w:rsidRPr="00F03A3D">
              <w:rPr>
                <w:rFonts w:ascii="Century" w:hAnsi="Century"/>
                <w:bCs/>
                <w:color w:val="333333"/>
                <w:sz w:val="22"/>
                <w:szCs w:val="22"/>
              </w:rPr>
              <w:t>6</w:t>
            </w:r>
            <w:r w:rsidRPr="00F03A3D">
              <w:rPr>
                <w:rFonts w:ascii="Century" w:hAnsi="Century"/>
                <w:bCs/>
                <w:color w:val="333333"/>
                <w:sz w:val="22"/>
                <w:szCs w:val="22"/>
              </w:rPr>
              <w:t xml:space="preserve"> billion gross premium in 201</w:t>
            </w:r>
            <w:r w:rsidR="00F03A3D" w:rsidRPr="00F03A3D">
              <w:rPr>
                <w:rFonts w:ascii="Century" w:hAnsi="Century"/>
                <w:bCs/>
                <w:color w:val="333333"/>
                <w:sz w:val="22"/>
                <w:szCs w:val="22"/>
              </w:rPr>
              <w:t>8</w:t>
            </w:r>
            <w:r w:rsidRPr="00F03A3D">
              <w:rPr>
                <w:rFonts w:ascii="Century" w:hAnsi="Century"/>
                <w:bCs/>
                <w:color w:val="333333"/>
                <w:sz w:val="22"/>
                <w:szCs w:val="22"/>
              </w:rPr>
              <w:t xml:space="preserve">. The volume has increased by </w:t>
            </w:r>
            <w:r w:rsidR="002151F5" w:rsidRPr="00F03A3D">
              <w:rPr>
                <w:rFonts w:ascii="Century" w:hAnsi="Century"/>
                <w:bCs/>
                <w:color w:val="333333"/>
                <w:sz w:val="22"/>
                <w:szCs w:val="22"/>
              </w:rPr>
              <w:t>1</w:t>
            </w:r>
            <w:r w:rsidR="00F03A3D" w:rsidRPr="00F03A3D">
              <w:rPr>
                <w:rFonts w:ascii="Century" w:hAnsi="Century"/>
                <w:bCs/>
                <w:color w:val="333333"/>
                <w:sz w:val="22"/>
                <w:szCs w:val="22"/>
              </w:rPr>
              <w:t>7</w:t>
            </w:r>
            <w:r w:rsidR="005428E4" w:rsidRPr="00F03A3D">
              <w:rPr>
                <w:rFonts w:ascii="Century" w:hAnsi="Century"/>
                <w:bCs/>
                <w:color w:val="333333"/>
                <w:sz w:val="22"/>
                <w:szCs w:val="22"/>
              </w:rPr>
              <w:t>.</w:t>
            </w:r>
            <w:r w:rsidR="00F03A3D" w:rsidRPr="00F03A3D">
              <w:rPr>
                <w:rFonts w:ascii="Century" w:hAnsi="Century"/>
                <w:bCs/>
                <w:color w:val="333333"/>
                <w:sz w:val="22"/>
                <w:szCs w:val="22"/>
              </w:rPr>
              <w:t>3</w:t>
            </w:r>
            <w:r w:rsidR="00B57179" w:rsidRPr="00F03A3D">
              <w:rPr>
                <w:rFonts w:ascii="Century" w:hAnsi="Century"/>
                <w:bCs/>
                <w:color w:val="333333"/>
                <w:sz w:val="22"/>
                <w:szCs w:val="22"/>
              </w:rPr>
              <w:t>%</w:t>
            </w:r>
            <w:r w:rsidR="005428E4" w:rsidRPr="00F03A3D">
              <w:rPr>
                <w:rFonts w:ascii="Century" w:hAnsi="Century"/>
                <w:bCs/>
                <w:color w:val="333333"/>
                <w:sz w:val="22"/>
                <w:szCs w:val="22"/>
              </w:rPr>
              <w:t xml:space="preserve">, </w:t>
            </w:r>
            <w:r w:rsidRPr="00F03A3D">
              <w:rPr>
                <w:rFonts w:ascii="AbakuTLSymSans" w:hAnsi="AbakuTLSymSans" w:cs="Arial"/>
                <w:bCs/>
                <w:sz w:val="20"/>
                <w:szCs w:val="20"/>
              </w:rPr>
              <w:t>¨</w:t>
            </w:r>
            <w:r w:rsidR="00F03A3D" w:rsidRPr="00F03A3D">
              <w:rPr>
                <w:rFonts w:ascii="Century" w:hAnsi="Century"/>
                <w:bCs/>
                <w:color w:val="333333"/>
                <w:sz w:val="22"/>
                <w:szCs w:val="22"/>
              </w:rPr>
              <w:t>47</w:t>
            </w:r>
            <w:r w:rsidR="00931253" w:rsidRPr="00F03A3D">
              <w:rPr>
                <w:rFonts w:ascii="Century" w:hAnsi="Century"/>
                <w:bCs/>
                <w:color w:val="333333"/>
                <w:sz w:val="22"/>
                <w:szCs w:val="22"/>
              </w:rPr>
              <w:t>.</w:t>
            </w:r>
            <w:r w:rsidR="002151F5" w:rsidRPr="00F03A3D">
              <w:rPr>
                <w:rFonts w:ascii="Century" w:hAnsi="Century"/>
                <w:bCs/>
                <w:color w:val="333333"/>
                <w:sz w:val="22"/>
                <w:szCs w:val="22"/>
              </w:rPr>
              <w:t>7</w:t>
            </w:r>
            <w:r w:rsidRPr="00F03A3D">
              <w:rPr>
                <w:rFonts w:ascii="Century" w:hAnsi="Century"/>
                <w:bCs/>
                <w:color w:val="333333"/>
                <w:sz w:val="22"/>
                <w:szCs w:val="22"/>
              </w:rPr>
              <w:t xml:space="preserve"> billion of which has been produced in non-life and </w:t>
            </w:r>
            <w:r w:rsidRPr="00F03A3D">
              <w:rPr>
                <w:rFonts w:ascii="AbakuTLSymSans" w:hAnsi="AbakuTLSymSans" w:cs="Arial"/>
                <w:bCs/>
                <w:sz w:val="20"/>
                <w:szCs w:val="20"/>
              </w:rPr>
              <w:t>¨</w:t>
            </w:r>
            <w:r w:rsidR="002151F5" w:rsidRPr="00F03A3D">
              <w:rPr>
                <w:rFonts w:ascii="Century" w:hAnsi="Century"/>
                <w:bCs/>
                <w:color w:val="333333"/>
                <w:sz w:val="22"/>
                <w:szCs w:val="22"/>
              </w:rPr>
              <w:t>6</w:t>
            </w:r>
            <w:r w:rsidRPr="00F03A3D">
              <w:rPr>
                <w:rFonts w:ascii="Century" w:hAnsi="Century"/>
                <w:bCs/>
                <w:color w:val="333333"/>
                <w:sz w:val="22"/>
                <w:szCs w:val="22"/>
              </w:rPr>
              <w:t>.</w:t>
            </w:r>
            <w:r w:rsidR="002151F5" w:rsidRPr="00F03A3D">
              <w:rPr>
                <w:rFonts w:ascii="Century" w:hAnsi="Century"/>
                <w:bCs/>
                <w:color w:val="333333"/>
                <w:sz w:val="22"/>
                <w:szCs w:val="22"/>
              </w:rPr>
              <w:t>9</w:t>
            </w:r>
            <w:r w:rsidRPr="00F03A3D">
              <w:rPr>
                <w:rFonts w:ascii="Century" w:hAnsi="Century"/>
                <w:bCs/>
                <w:color w:val="333333"/>
                <w:sz w:val="22"/>
                <w:szCs w:val="22"/>
              </w:rPr>
              <w:t xml:space="preserve"> billion in life insurance. Insurance companies have generated </w:t>
            </w:r>
            <w:r w:rsidRPr="00F03A3D">
              <w:rPr>
                <w:rFonts w:ascii="AbakuTLSymSans" w:hAnsi="AbakuTLSymSans" w:cs="Arial"/>
                <w:bCs/>
                <w:sz w:val="20"/>
                <w:szCs w:val="20"/>
              </w:rPr>
              <w:t>¨</w:t>
            </w:r>
            <w:r w:rsidR="00F03A3D" w:rsidRPr="00F03A3D">
              <w:rPr>
                <w:rFonts w:ascii="Century" w:hAnsi="Century"/>
                <w:bCs/>
                <w:color w:val="333333"/>
                <w:sz w:val="22"/>
                <w:szCs w:val="22"/>
              </w:rPr>
              <w:t>50</w:t>
            </w:r>
            <w:r w:rsidRPr="00F03A3D">
              <w:rPr>
                <w:rFonts w:ascii="Century" w:hAnsi="Century"/>
                <w:bCs/>
                <w:color w:val="333333"/>
                <w:sz w:val="22"/>
                <w:szCs w:val="22"/>
              </w:rPr>
              <w:t>.</w:t>
            </w:r>
            <w:r w:rsidR="00F03A3D" w:rsidRPr="00F03A3D">
              <w:rPr>
                <w:rFonts w:ascii="Century" w:hAnsi="Century"/>
                <w:bCs/>
                <w:color w:val="333333"/>
                <w:sz w:val="22"/>
                <w:szCs w:val="22"/>
              </w:rPr>
              <w:t>4</w:t>
            </w:r>
            <w:r w:rsidRPr="00F03A3D">
              <w:rPr>
                <w:rFonts w:ascii="Century" w:hAnsi="Century"/>
                <w:bCs/>
                <w:color w:val="333333"/>
                <w:sz w:val="22"/>
                <w:szCs w:val="22"/>
              </w:rPr>
              <w:t xml:space="preserve"> billion of gross premium as a result of direct insurance activity, while </w:t>
            </w:r>
            <w:r w:rsidRPr="00F03A3D">
              <w:rPr>
                <w:rFonts w:ascii="AbakuTLSymSans" w:hAnsi="AbakuTLSymSans"/>
                <w:bCs/>
                <w:color w:val="333333"/>
                <w:sz w:val="22"/>
                <w:szCs w:val="22"/>
              </w:rPr>
              <w:t>¨</w:t>
            </w:r>
            <w:r w:rsidR="00F03A3D" w:rsidRPr="00F03A3D">
              <w:rPr>
                <w:rFonts w:ascii="Century" w:hAnsi="Century"/>
                <w:bCs/>
                <w:color w:val="333333"/>
                <w:sz w:val="22"/>
                <w:szCs w:val="22"/>
              </w:rPr>
              <w:t>4</w:t>
            </w:r>
            <w:r w:rsidR="002151F5" w:rsidRPr="00F03A3D">
              <w:rPr>
                <w:rFonts w:ascii="Century" w:hAnsi="Century"/>
                <w:bCs/>
                <w:color w:val="333333"/>
                <w:sz w:val="22"/>
                <w:szCs w:val="22"/>
              </w:rPr>
              <w:t>.</w:t>
            </w:r>
            <w:r w:rsidR="00F03A3D" w:rsidRPr="00F03A3D">
              <w:rPr>
                <w:rFonts w:ascii="Century" w:hAnsi="Century"/>
                <w:bCs/>
                <w:color w:val="333333"/>
                <w:sz w:val="22"/>
                <w:szCs w:val="22"/>
              </w:rPr>
              <w:t>2</w:t>
            </w:r>
            <w:r w:rsidRPr="00F03A3D">
              <w:rPr>
                <w:rFonts w:ascii="Century" w:hAnsi="Century"/>
                <w:bCs/>
                <w:color w:val="333333"/>
                <w:sz w:val="22"/>
                <w:szCs w:val="22"/>
              </w:rPr>
              <w:t xml:space="preserve"> </w:t>
            </w:r>
            <w:r w:rsidR="00962F5B" w:rsidRPr="00F03A3D">
              <w:rPr>
                <w:rFonts w:ascii="Century" w:hAnsi="Century"/>
                <w:bCs/>
                <w:color w:val="333333"/>
                <w:sz w:val="22"/>
                <w:szCs w:val="22"/>
              </w:rPr>
              <w:t>b</w:t>
            </w:r>
            <w:r w:rsidRPr="00F03A3D">
              <w:rPr>
                <w:rFonts w:ascii="Century" w:hAnsi="Century"/>
                <w:bCs/>
                <w:color w:val="333333"/>
                <w:sz w:val="22"/>
                <w:szCs w:val="22"/>
              </w:rPr>
              <w:t xml:space="preserve">illion </w:t>
            </w:r>
            <w:r w:rsidR="00962F5B" w:rsidRPr="00F03A3D">
              <w:rPr>
                <w:rFonts w:ascii="Century" w:hAnsi="Century"/>
                <w:bCs/>
                <w:color w:val="333333"/>
                <w:sz w:val="22"/>
                <w:szCs w:val="22"/>
              </w:rPr>
              <w:t>has been</w:t>
            </w:r>
            <w:r w:rsidRPr="00F03A3D">
              <w:rPr>
                <w:rFonts w:ascii="Century" w:hAnsi="Century"/>
                <w:bCs/>
                <w:color w:val="333333"/>
                <w:sz w:val="22"/>
                <w:szCs w:val="22"/>
              </w:rPr>
              <w:t xml:space="preserve"> produced through reinsurance activities</w:t>
            </w:r>
            <w:r w:rsidR="007D2541" w:rsidRPr="00F03A3D">
              <w:rPr>
                <w:rFonts w:ascii="Century" w:hAnsi="Century"/>
                <w:bCs/>
                <w:color w:val="333333"/>
                <w:sz w:val="22"/>
                <w:szCs w:val="22"/>
              </w:rPr>
              <w:t>.</w:t>
            </w:r>
          </w:p>
          <w:p w:rsidR="00E77C3B" w:rsidRPr="00B10D90" w:rsidRDefault="00E77C3B" w:rsidP="007D2541">
            <w:pPr>
              <w:jc w:val="both"/>
              <w:rPr>
                <w:rFonts w:ascii="Century" w:hAnsi="Century"/>
                <w:color w:val="333333"/>
                <w:sz w:val="16"/>
                <w:szCs w:val="16"/>
                <w:highlight w:val="yellow"/>
              </w:rPr>
            </w:pPr>
          </w:p>
          <w:p w:rsidR="007D2541" w:rsidRPr="00652881" w:rsidRDefault="007D2541" w:rsidP="007D2541">
            <w:pPr>
              <w:jc w:val="both"/>
              <w:rPr>
                <w:rFonts w:ascii="Century" w:hAnsi="Century"/>
                <w:color w:val="333333"/>
                <w:sz w:val="22"/>
                <w:szCs w:val="22"/>
              </w:rPr>
            </w:pPr>
            <w:r w:rsidRPr="00652881">
              <w:rPr>
                <w:rFonts w:ascii="Century" w:hAnsi="Century"/>
                <w:color w:val="333333"/>
                <w:sz w:val="22"/>
                <w:szCs w:val="22"/>
              </w:rPr>
              <w:t xml:space="preserve">Total </w:t>
            </w:r>
            <w:r w:rsidR="005428E4" w:rsidRPr="00652881">
              <w:rPr>
                <w:rFonts w:ascii="Century" w:hAnsi="Century"/>
                <w:color w:val="333333"/>
                <w:sz w:val="22"/>
                <w:szCs w:val="22"/>
              </w:rPr>
              <w:t xml:space="preserve">insurance </w:t>
            </w:r>
            <w:r w:rsidRPr="00652881">
              <w:rPr>
                <w:rFonts w:ascii="Century" w:hAnsi="Century"/>
                <w:color w:val="333333"/>
                <w:sz w:val="22"/>
                <w:szCs w:val="22"/>
              </w:rPr>
              <w:t>coverage</w:t>
            </w:r>
            <w:r w:rsidR="00722FCB" w:rsidRPr="00652881">
              <w:rPr>
                <w:rFonts w:ascii="Century" w:hAnsi="Century"/>
                <w:color w:val="333333"/>
                <w:sz w:val="22"/>
                <w:szCs w:val="22"/>
              </w:rPr>
              <w:t xml:space="preserve"> </w:t>
            </w:r>
            <w:r w:rsidR="002F6B38" w:rsidRPr="00652881">
              <w:rPr>
                <w:rFonts w:ascii="Century" w:hAnsi="Century"/>
                <w:color w:val="333333"/>
                <w:sz w:val="22"/>
                <w:szCs w:val="22"/>
              </w:rPr>
              <w:t xml:space="preserve">given by insurers </w:t>
            </w:r>
            <w:r w:rsidR="00A20DCA" w:rsidRPr="00652881">
              <w:rPr>
                <w:rFonts w:ascii="Century" w:hAnsi="Century"/>
                <w:color w:val="333333"/>
                <w:sz w:val="22"/>
                <w:szCs w:val="22"/>
              </w:rPr>
              <w:t xml:space="preserve">has </w:t>
            </w:r>
            <w:r w:rsidR="00722FCB" w:rsidRPr="00652881">
              <w:rPr>
                <w:rFonts w:ascii="Century" w:hAnsi="Century"/>
                <w:color w:val="333333"/>
                <w:sz w:val="22"/>
                <w:szCs w:val="22"/>
              </w:rPr>
              <w:t xml:space="preserve">reached to </w:t>
            </w:r>
            <w:r w:rsidR="00722FCB" w:rsidRPr="00652881">
              <w:rPr>
                <w:rFonts w:ascii="AbakuTLSymSans" w:hAnsi="AbakuTLSymSans"/>
                <w:color w:val="333333"/>
                <w:sz w:val="22"/>
                <w:szCs w:val="22"/>
              </w:rPr>
              <w:t>¨</w:t>
            </w:r>
            <w:r w:rsidR="00652881" w:rsidRPr="00652881">
              <w:rPr>
                <w:rFonts w:ascii="Century" w:hAnsi="Century"/>
                <w:color w:val="333333"/>
                <w:sz w:val="22"/>
                <w:szCs w:val="22"/>
              </w:rPr>
              <w:t>126</w:t>
            </w:r>
            <w:r w:rsidR="00722FCB" w:rsidRPr="00652881">
              <w:rPr>
                <w:rFonts w:ascii="Century" w:hAnsi="Century"/>
                <w:color w:val="333333"/>
                <w:sz w:val="22"/>
                <w:szCs w:val="22"/>
              </w:rPr>
              <w:t>.</w:t>
            </w:r>
            <w:r w:rsidR="00652881" w:rsidRPr="00652881">
              <w:rPr>
                <w:rFonts w:ascii="Century" w:hAnsi="Century"/>
                <w:color w:val="333333"/>
                <w:sz w:val="22"/>
                <w:szCs w:val="22"/>
              </w:rPr>
              <w:t>9</w:t>
            </w:r>
            <w:r w:rsidR="00722FCB" w:rsidRPr="00652881">
              <w:rPr>
                <w:rFonts w:ascii="Century" w:hAnsi="Century"/>
                <w:color w:val="333333"/>
                <w:sz w:val="22"/>
                <w:szCs w:val="22"/>
              </w:rPr>
              <w:t xml:space="preserve"> trillion in 201</w:t>
            </w:r>
            <w:r w:rsidR="00652881" w:rsidRPr="00652881">
              <w:rPr>
                <w:rFonts w:ascii="Century" w:hAnsi="Century"/>
                <w:color w:val="333333"/>
                <w:sz w:val="22"/>
                <w:szCs w:val="22"/>
              </w:rPr>
              <w:t>8</w:t>
            </w:r>
            <w:r w:rsidR="002A6C4B" w:rsidRPr="00652881">
              <w:rPr>
                <w:rFonts w:ascii="Century" w:hAnsi="Century"/>
                <w:color w:val="333333"/>
                <w:sz w:val="22"/>
                <w:szCs w:val="22"/>
              </w:rPr>
              <w:t>,</w:t>
            </w:r>
            <w:r w:rsidRPr="00652881">
              <w:rPr>
                <w:rFonts w:ascii="Century" w:hAnsi="Century"/>
                <w:color w:val="333333"/>
                <w:sz w:val="22"/>
                <w:szCs w:val="22"/>
              </w:rPr>
              <w:t xml:space="preserve"> </w:t>
            </w:r>
            <w:r w:rsidR="00962F5B" w:rsidRPr="00652881">
              <w:rPr>
                <w:rFonts w:ascii="Century" w:hAnsi="Century"/>
                <w:color w:val="333333"/>
                <w:sz w:val="22"/>
                <w:szCs w:val="22"/>
              </w:rPr>
              <w:t>excluding the sickness / health branch, including the treatment expenses incurred by Social Security Adminisration (SGK) with Law No. 6111.</w:t>
            </w:r>
          </w:p>
          <w:p w:rsidR="005E543B" w:rsidRDefault="005E543B" w:rsidP="007D2541">
            <w:pPr>
              <w:jc w:val="both"/>
              <w:rPr>
                <w:rFonts w:ascii="Century" w:hAnsi="Century"/>
                <w:color w:val="333333"/>
                <w:sz w:val="16"/>
                <w:szCs w:val="16"/>
              </w:rPr>
            </w:pPr>
          </w:p>
          <w:p w:rsidR="005B31A7" w:rsidRDefault="005B31A7" w:rsidP="007D2541">
            <w:pPr>
              <w:jc w:val="both"/>
              <w:rPr>
                <w:rFonts w:ascii="Century" w:hAnsi="Century"/>
                <w:color w:val="333333"/>
                <w:sz w:val="16"/>
                <w:szCs w:val="16"/>
              </w:rPr>
            </w:pPr>
          </w:p>
          <w:p w:rsidR="005B31A7" w:rsidRPr="00652881" w:rsidRDefault="005B31A7" w:rsidP="007D2541">
            <w:pPr>
              <w:jc w:val="both"/>
              <w:rPr>
                <w:rFonts w:ascii="Century" w:hAnsi="Century"/>
                <w:color w:val="333333"/>
                <w:sz w:val="16"/>
                <w:szCs w:val="16"/>
              </w:rPr>
            </w:pPr>
          </w:p>
          <w:p w:rsidR="000E47E0" w:rsidRPr="00B10D90" w:rsidRDefault="007D2541" w:rsidP="00B926A1">
            <w:pPr>
              <w:jc w:val="both"/>
              <w:rPr>
                <w:rFonts w:ascii="Century" w:hAnsi="Century"/>
                <w:b/>
                <w:color w:val="003366"/>
                <w:sz w:val="22"/>
                <w:szCs w:val="22"/>
                <w:highlight w:val="yellow"/>
              </w:rPr>
            </w:pPr>
            <w:r w:rsidRPr="00652881">
              <w:rPr>
                <w:rFonts w:ascii="Century" w:hAnsi="Century"/>
                <w:color w:val="333333"/>
                <w:sz w:val="22"/>
                <w:szCs w:val="22"/>
              </w:rPr>
              <w:t xml:space="preserve">The table </w:t>
            </w:r>
            <w:r w:rsidR="00C53426" w:rsidRPr="00652881">
              <w:rPr>
                <w:rFonts w:ascii="Century" w:hAnsi="Century"/>
                <w:color w:val="333333"/>
                <w:sz w:val="22"/>
                <w:szCs w:val="22"/>
              </w:rPr>
              <w:t xml:space="preserve">below </w:t>
            </w:r>
            <w:r w:rsidR="008548B1" w:rsidRPr="00652881">
              <w:rPr>
                <w:rFonts w:ascii="Century" w:hAnsi="Century"/>
                <w:color w:val="333333"/>
                <w:sz w:val="22"/>
                <w:szCs w:val="22"/>
              </w:rPr>
              <w:t>re</w:t>
            </w:r>
            <w:r w:rsidR="005428E4" w:rsidRPr="00652881">
              <w:rPr>
                <w:rFonts w:ascii="Century" w:hAnsi="Century"/>
                <w:color w:val="333333"/>
                <w:sz w:val="22"/>
                <w:szCs w:val="22"/>
              </w:rPr>
              <w:t>presents the figures of</w:t>
            </w:r>
            <w:r w:rsidRPr="00652881">
              <w:rPr>
                <w:rFonts w:ascii="Century" w:hAnsi="Century"/>
                <w:color w:val="333333"/>
                <w:sz w:val="22"/>
                <w:szCs w:val="22"/>
              </w:rPr>
              <w:t xml:space="preserve"> premium and coverage </w:t>
            </w:r>
            <w:r w:rsidR="00722FCB" w:rsidRPr="00652881">
              <w:rPr>
                <w:rFonts w:ascii="Century" w:hAnsi="Century"/>
                <w:color w:val="333333"/>
                <w:sz w:val="22"/>
                <w:szCs w:val="22"/>
              </w:rPr>
              <w:t xml:space="preserve">volume </w:t>
            </w:r>
            <w:r w:rsidRPr="00652881">
              <w:rPr>
                <w:rFonts w:ascii="Century" w:hAnsi="Century"/>
                <w:color w:val="333333"/>
                <w:sz w:val="22"/>
                <w:szCs w:val="22"/>
              </w:rPr>
              <w:t xml:space="preserve">in life and non-life </w:t>
            </w:r>
            <w:r w:rsidR="00B02A20" w:rsidRPr="00652881">
              <w:rPr>
                <w:rFonts w:ascii="Century" w:hAnsi="Century"/>
                <w:color w:val="333333"/>
                <w:sz w:val="22"/>
                <w:szCs w:val="22"/>
              </w:rPr>
              <w:t xml:space="preserve">insurance </w:t>
            </w:r>
            <w:r w:rsidRPr="00652881">
              <w:rPr>
                <w:rFonts w:ascii="Century" w:hAnsi="Century"/>
                <w:color w:val="333333"/>
                <w:sz w:val="22"/>
                <w:szCs w:val="22"/>
              </w:rPr>
              <w:t>for the last five years.</w:t>
            </w:r>
          </w:p>
        </w:tc>
      </w:tr>
      <w:tr w:rsidR="002615BF" w:rsidRPr="00652881" w:rsidTr="00441D50">
        <w:trPr>
          <w:gridAfter w:val="2"/>
          <w:wAfter w:w="38" w:type="dxa"/>
          <w:trHeight w:val="3174"/>
        </w:trPr>
        <w:tc>
          <w:tcPr>
            <w:tcW w:w="9820" w:type="dxa"/>
            <w:gridSpan w:val="14"/>
          </w:tcPr>
          <w:p w:rsidR="0029146D" w:rsidRPr="00652881" w:rsidRDefault="005428E4" w:rsidP="0029146D">
            <w:pPr>
              <w:jc w:val="center"/>
              <w:rPr>
                <w:rFonts w:ascii="Century" w:hAnsi="Century"/>
                <w:i/>
                <w:color w:val="000080"/>
                <w:sz w:val="20"/>
                <w:szCs w:val="20"/>
              </w:rPr>
            </w:pPr>
            <w:r w:rsidRPr="00652881">
              <w:rPr>
                <w:rFonts w:ascii="Century" w:hAnsi="Century"/>
                <w:b/>
                <w:color w:val="000080"/>
                <w:sz w:val="20"/>
                <w:szCs w:val="20"/>
              </w:rPr>
              <w:t xml:space="preserve">Tablo 1.2.1: </w:t>
            </w:r>
            <w:r w:rsidR="0029146D" w:rsidRPr="00652881">
              <w:rPr>
                <w:rFonts w:ascii="Century" w:hAnsi="Century"/>
                <w:b/>
                <w:color w:val="000080"/>
                <w:sz w:val="20"/>
                <w:szCs w:val="20"/>
              </w:rPr>
              <w:t>Prim Üretim</w:t>
            </w:r>
            <w:r w:rsidRPr="00652881">
              <w:rPr>
                <w:rFonts w:ascii="Century" w:hAnsi="Century"/>
                <w:b/>
                <w:color w:val="000080"/>
                <w:sz w:val="20"/>
                <w:szCs w:val="20"/>
              </w:rPr>
              <w:t>i ve Teminat Tutarlarının Seyri</w:t>
            </w:r>
            <w:r w:rsidR="0029146D" w:rsidRPr="00652881">
              <w:rPr>
                <w:rFonts w:ascii="Century" w:hAnsi="Century"/>
                <w:b/>
                <w:color w:val="000080"/>
                <w:sz w:val="20"/>
                <w:szCs w:val="20"/>
              </w:rPr>
              <w:t>–</w:t>
            </w:r>
            <w:r w:rsidR="0029146D" w:rsidRPr="00652881">
              <w:rPr>
                <w:rFonts w:ascii="Century" w:hAnsi="Century"/>
                <w:i/>
                <w:color w:val="000080"/>
                <w:sz w:val="20"/>
                <w:szCs w:val="20"/>
              </w:rPr>
              <w:t>Gross</w:t>
            </w:r>
            <w:r w:rsidR="0029146D" w:rsidRPr="00652881">
              <w:rPr>
                <w:rFonts w:ascii="Century" w:hAnsi="Century"/>
                <w:b/>
                <w:color w:val="000080"/>
                <w:sz w:val="20"/>
                <w:szCs w:val="20"/>
              </w:rPr>
              <w:t xml:space="preserve"> </w:t>
            </w:r>
            <w:r w:rsidR="0029146D" w:rsidRPr="00652881">
              <w:rPr>
                <w:rFonts w:ascii="Century" w:hAnsi="Century"/>
                <w:i/>
                <w:color w:val="000080"/>
                <w:sz w:val="20"/>
                <w:szCs w:val="20"/>
              </w:rPr>
              <w:t xml:space="preserve">Premium </w:t>
            </w:r>
            <w:r w:rsidR="0051026D" w:rsidRPr="00652881">
              <w:rPr>
                <w:rFonts w:ascii="Century" w:hAnsi="Century"/>
                <w:i/>
                <w:color w:val="000080"/>
                <w:sz w:val="20"/>
                <w:szCs w:val="20"/>
              </w:rPr>
              <w:t xml:space="preserve">Volume </w:t>
            </w:r>
            <w:r w:rsidR="0029146D" w:rsidRPr="00652881">
              <w:rPr>
                <w:rFonts w:ascii="Century" w:hAnsi="Century"/>
                <w:i/>
                <w:color w:val="000080"/>
                <w:sz w:val="20"/>
                <w:szCs w:val="20"/>
              </w:rPr>
              <w:t xml:space="preserve">and </w:t>
            </w:r>
            <w:r w:rsidR="0051026D" w:rsidRPr="00652881">
              <w:rPr>
                <w:rFonts w:ascii="Century" w:hAnsi="Century"/>
                <w:i/>
                <w:color w:val="000080"/>
                <w:sz w:val="20"/>
                <w:szCs w:val="20"/>
              </w:rPr>
              <w:t>Coverage</w:t>
            </w:r>
          </w:p>
          <w:p w:rsidR="00B303C4" w:rsidRPr="00652881" w:rsidRDefault="00652881" w:rsidP="0029146D">
            <w:pPr>
              <w:jc w:val="center"/>
              <w:rPr>
                <w:rFonts w:ascii="Century" w:hAnsi="Century"/>
                <w:i/>
                <w:color w:val="000080"/>
                <w:sz w:val="20"/>
                <w:szCs w:val="20"/>
              </w:rPr>
            </w:pPr>
            <w:r w:rsidRPr="00652881">
              <w:rPr>
                <w:rFonts w:ascii="Century" w:hAnsi="Century"/>
                <w:i/>
                <w:noProof/>
                <w:color w:val="000080"/>
                <w:sz w:val="20"/>
                <w:szCs w:val="20"/>
              </w:rPr>
              <w:drawing>
                <wp:inline distT="0" distB="0" distL="0" distR="0" wp14:anchorId="6BF1C05A" wp14:editId="346D322F">
                  <wp:extent cx="6098540" cy="16541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8540" cy="1654175"/>
                          </a:xfrm>
                          <a:prstGeom prst="rect">
                            <a:avLst/>
                          </a:prstGeom>
                          <a:noFill/>
                          <a:ln>
                            <a:noFill/>
                          </a:ln>
                        </pic:spPr>
                      </pic:pic>
                    </a:graphicData>
                  </a:graphic>
                </wp:inline>
              </w:drawing>
            </w:r>
          </w:p>
          <w:p w:rsidR="00763E48" w:rsidRPr="00652881" w:rsidRDefault="0029146D" w:rsidP="001C4174">
            <w:pPr>
              <w:jc w:val="both"/>
              <w:rPr>
                <w:rFonts w:ascii="Century" w:hAnsi="Century" w:cs="Arial TUR"/>
                <w:i/>
                <w:sz w:val="16"/>
                <w:szCs w:val="16"/>
                <w:lang w:eastAsia="tr-TR"/>
              </w:rPr>
            </w:pPr>
            <w:r w:rsidRPr="00652881">
              <w:rPr>
                <w:rFonts w:ascii="Century" w:hAnsi="Century" w:cs="Arial TUR"/>
                <w:sz w:val="16"/>
                <w:szCs w:val="16"/>
                <w:lang w:eastAsia="tr-TR"/>
              </w:rPr>
              <w:t xml:space="preserve">(*) Hastalık/Sağlık Branşı Hariç - </w:t>
            </w:r>
            <w:r w:rsidRPr="00652881">
              <w:rPr>
                <w:rFonts w:ascii="Century" w:hAnsi="Century" w:cs="Arial TUR"/>
                <w:i/>
                <w:sz w:val="16"/>
                <w:szCs w:val="16"/>
                <w:lang w:eastAsia="tr-TR"/>
              </w:rPr>
              <w:t>Ex</w:t>
            </w:r>
            <w:r w:rsidR="00166556" w:rsidRPr="00652881">
              <w:rPr>
                <w:rFonts w:ascii="Century" w:hAnsi="Century" w:cs="Arial TUR"/>
                <w:i/>
                <w:sz w:val="16"/>
                <w:szCs w:val="16"/>
                <w:lang w:eastAsia="tr-TR"/>
              </w:rPr>
              <w:t>c</w:t>
            </w:r>
            <w:r w:rsidRPr="00652881">
              <w:rPr>
                <w:rFonts w:ascii="Century" w:hAnsi="Century" w:cs="Arial TUR"/>
                <w:i/>
                <w:sz w:val="16"/>
                <w:szCs w:val="16"/>
                <w:lang w:eastAsia="tr-TR"/>
              </w:rPr>
              <w:t>luded Health and Sickness</w:t>
            </w:r>
          </w:p>
        </w:tc>
      </w:tr>
      <w:tr w:rsidR="0072255D" w:rsidRPr="00B10D90" w:rsidTr="00441D50">
        <w:trPr>
          <w:gridAfter w:val="2"/>
          <w:wAfter w:w="38" w:type="dxa"/>
          <w:trHeight w:val="426"/>
        </w:trPr>
        <w:tc>
          <w:tcPr>
            <w:tcW w:w="4817" w:type="dxa"/>
            <w:gridSpan w:val="2"/>
          </w:tcPr>
          <w:p w:rsidR="00DB62F2" w:rsidRPr="0090495F" w:rsidRDefault="002725FC" w:rsidP="00462822">
            <w:pPr>
              <w:jc w:val="both"/>
              <w:rPr>
                <w:rFonts w:ascii="Century" w:hAnsi="Century"/>
                <w:sz w:val="22"/>
                <w:szCs w:val="22"/>
              </w:rPr>
            </w:pPr>
            <w:r w:rsidRPr="0090495F">
              <w:rPr>
                <w:rFonts w:ascii="Century" w:hAnsi="Century"/>
                <w:sz w:val="22"/>
                <w:szCs w:val="22"/>
              </w:rPr>
              <w:t xml:space="preserve">Ülkemizde hayat dışı sigorta dallarının toplam prim üretimindeki payı hayat grubundan daha yüksektir. </w:t>
            </w:r>
            <w:r w:rsidR="00962F5B" w:rsidRPr="0090495F">
              <w:rPr>
                <w:rFonts w:ascii="Century" w:hAnsi="Century"/>
                <w:sz w:val="22"/>
                <w:szCs w:val="22"/>
              </w:rPr>
              <w:t xml:space="preserve">Toplam prim üretiminin </w:t>
            </w:r>
            <w:r w:rsidRPr="0090495F">
              <w:rPr>
                <w:rFonts w:ascii="Century" w:hAnsi="Century"/>
                <w:sz w:val="22"/>
                <w:szCs w:val="22"/>
              </w:rPr>
              <w:t>201</w:t>
            </w:r>
            <w:r w:rsidR="001C4174" w:rsidRPr="0090495F">
              <w:rPr>
                <w:rFonts w:ascii="Century" w:hAnsi="Century"/>
                <w:sz w:val="22"/>
                <w:szCs w:val="22"/>
              </w:rPr>
              <w:t>8</w:t>
            </w:r>
            <w:r w:rsidRPr="0090495F">
              <w:rPr>
                <w:rFonts w:ascii="Century" w:hAnsi="Century"/>
                <w:sz w:val="22"/>
                <w:szCs w:val="22"/>
              </w:rPr>
              <w:t xml:space="preserve"> yılında</w:t>
            </w:r>
            <w:r w:rsidR="00525B65" w:rsidRPr="0090495F">
              <w:rPr>
                <w:rFonts w:ascii="Century" w:hAnsi="Century"/>
                <w:sz w:val="22"/>
                <w:szCs w:val="22"/>
              </w:rPr>
              <w:t xml:space="preserve"> %8</w:t>
            </w:r>
            <w:r w:rsidR="001C4174" w:rsidRPr="0090495F">
              <w:rPr>
                <w:rFonts w:ascii="Century" w:hAnsi="Century"/>
                <w:sz w:val="22"/>
                <w:szCs w:val="22"/>
              </w:rPr>
              <w:t>7</w:t>
            </w:r>
            <w:proofErr w:type="gramStart"/>
            <w:r w:rsidR="00525B65" w:rsidRPr="0090495F">
              <w:rPr>
                <w:rFonts w:ascii="Century" w:hAnsi="Century"/>
                <w:sz w:val="22"/>
                <w:szCs w:val="22"/>
              </w:rPr>
              <w:t>,</w:t>
            </w:r>
            <w:r w:rsidR="00001CD2" w:rsidRPr="0090495F">
              <w:rPr>
                <w:rFonts w:ascii="Century" w:hAnsi="Century"/>
                <w:sz w:val="22"/>
                <w:szCs w:val="22"/>
              </w:rPr>
              <w:t>3</w:t>
            </w:r>
            <w:r w:rsidRPr="0090495F">
              <w:rPr>
                <w:rFonts w:ascii="Century" w:hAnsi="Century"/>
                <w:sz w:val="22"/>
                <w:szCs w:val="22"/>
              </w:rPr>
              <w:t>’</w:t>
            </w:r>
            <w:r w:rsidR="00001CD2" w:rsidRPr="0090495F">
              <w:rPr>
                <w:rFonts w:ascii="Century" w:hAnsi="Century"/>
                <w:sz w:val="22"/>
                <w:szCs w:val="22"/>
              </w:rPr>
              <w:t>ü</w:t>
            </w:r>
            <w:proofErr w:type="gramEnd"/>
            <w:r w:rsidRPr="0090495F">
              <w:rPr>
                <w:rFonts w:ascii="Century" w:hAnsi="Century"/>
                <w:sz w:val="22"/>
                <w:szCs w:val="22"/>
              </w:rPr>
              <w:t xml:space="preserve"> hayat dışı, %</w:t>
            </w:r>
            <w:r w:rsidR="009A0085" w:rsidRPr="0090495F">
              <w:rPr>
                <w:rFonts w:ascii="Century" w:hAnsi="Century"/>
                <w:sz w:val="22"/>
                <w:szCs w:val="22"/>
              </w:rPr>
              <w:t>1</w:t>
            </w:r>
            <w:r w:rsidR="001C4174" w:rsidRPr="0090495F">
              <w:rPr>
                <w:rFonts w:ascii="Century" w:hAnsi="Century"/>
                <w:sz w:val="22"/>
                <w:szCs w:val="22"/>
              </w:rPr>
              <w:t>2</w:t>
            </w:r>
            <w:r w:rsidRPr="0090495F">
              <w:rPr>
                <w:rFonts w:ascii="Century" w:hAnsi="Century"/>
                <w:sz w:val="22"/>
                <w:szCs w:val="22"/>
              </w:rPr>
              <w:t>,</w:t>
            </w:r>
            <w:r w:rsidR="00001CD2" w:rsidRPr="0090495F">
              <w:rPr>
                <w:rFonts w:ascii="Century" w:hAnsi="Century"/>
                <w:sz w:val="22"/>
                <w:szCs w:val="22"/>
              </w:rPr>
              <w:t>7</w:t>
            </w:r>
            <w:r w:rsidRPr="0090495F">
              <w:rPr>
                <w:rFonts w:ascii="Century" w:hAnsi="Century"/>
                <w:sz w:val="22"/>
                <w:szCs w:val="22"/>
              </w:rPr>
              <w:t>’</w:t>
            </w:r>
            <w:r w:rsidR="00001CD2" w:rsidRPr="0090495F">
              <w:rPr>
                <w:rFonts w:ascii="Century" w:hAnsi="Century"/>
                <w:sz w:val="22"/>
                <w:szCs w:val="22"/>
              </w:rPr>
              <w:t>si</w:t>
            </w:r>
            <w:r w:rsidR="00962F5B" w:rsidRPr="0090495F">
              <w:rPr>
                <w:rFonts w:ascii="Century" w:hAnsi="Century"/>
                <w:sz w:val="22"/>
                <w:szCs w:val="22"/>
              </w:rPr>
              <w:t xml:space="preserve"> ise hayat grubu </w:t>
            </w:r>
            <w:r w:rsidRPr="0090495F">
              <w:rPr>
                <w:rFonts w:ascii="Century" w:hAnsi="Century"/>
                <w:sz w:val="22"/>
                <w:szCs w:val="22"/>
              </w:rPr>
              <w:t>branşlarında</w:t>
            </w:r>
            <w:r w:rsidR="00962F5B" w:rsidRPr="0090495F">
              <w:rPr>
                <w:rFonts w:ascii="Century" w:hAnsi="Century"/>
                <w:sz w:val="22"/>
                <w:szCs w:val="22"/>
              </w:rPr>
              <w:t>n elde edilmiştir.</w:t>
            </w:r>
            <w:r w:rsidRPr="0090495F">
              <w:rPr>
                <w:rFonts w:ascii="Century" w:hAnsi="Century"/>
                <w:sz w:val="22"/>
                <w:szCs w:val="22"/>
              </w:rPr>
              <w:t xml:space="preserve"> Hayat sigorta grubunun payı 2003 yılında %20 seviyesinde iken, bireysel emeklilik sistemi ile birlikte </w:t>
            </w:r>
            <w:r w:rsidR="00962F5B" w:rsidRPr="0090495F">
              <w:rPr>
                <w:rFonts w:ascii="Century" w:hAnsi="Century"/>
                <w:sz w:val="22"/>
                <w:szCs w:val="22"/>
              </w:rPr>
              <w:t xml:space="preserve">yıllar itibariyle </w:t>
            </w:r>
            <w:r w:rsidRPr="0090495F">
              <w:rPr>
                <w:rFonts w:ascii="Century" w:hAnsi="Century"/>
                <w:sz w:val="22"/>
                <w:szCs w:val="22"/>
              </w:rPr>
              <w:t xml:space="preserve">düşmeye </w:t>
            </w:r>
            <w:r w:rsidR="00962F5B" w:rsidRPr="0090495F">
              <w:rPr>
                <w:rFonts w:ascii="Century" w:hAnsi="Century"/>
                <w:sz w:val="22"/>
                <w:szCs w:val="22"/>
              </w:rPr>
              <w:t xml:space="preserve">başlamış ve </w:t>
            </w:r>
            <w:r w:rsidR="00B926A1" w:rsidRPr="0090495F">
              <w:rPr>
                <w:rFonts w:ascii="Century" w:hAnsi="Century"/>
                <w:sz w:val="22"/>
                <w:szCs w:val="22"/>
              </w:rPr>
              <w:t>2014</w:t>
            </w:r>
            <w:r w:rsidR="00962F5B" w:rsidRPr="0090495F">
              <w:rPr>
                <w:rFonts w:ascii="Century" w:hAnsi="Century"/>
                <w:sz w:val="22"/>
                <w:szCs w:val="22"/>
              </w:rPr>
              <w:t xml:space="preserve"> yılında</w:t>
            </w:r>
            <w:r w:rsidR="00B926A1" w:rsidRPr="0090495F">
              <w:rPr>
                <w:rFonts w:ascii="Century" w:hAnsi="Century"/>
                <w:sz w:val="22"/>
                <w:szCs w:val="22"/>
              </w:rPr>
              <w:t>n 2016 yılına kadar %12 seviyelerinde iken b</w:t>
            </w:r>
            <w:r w:rsidRPr="0090495F">
              <w:rPr>
                <w:rFonts w:ascii="Century" w:hAnsi="Century"/>
                <w:sz w:val="22"/>
                <w:szCs w:val="22"/>
              </w:rPr>
              <w:t>ireysel kredilere bağlı hayat sigortaların</w:t>
            </w:r>
            <w:r w:rsidR="00962F5B" w:rsidRPr="0090495F">
              <w:rPr>
                <w:rFonts w:ascii="Century" w:hAnsi="Century"/>
                <w:sz w:val="22"/>
                <w:szCs w:val="22"/>
              </w:rPr>
              <w:t xml:space="preserve">ın etkisiyle </w:t>
            </w:r>
            <w:r w:rsidR="00B926A1" w:rsidRPr="0090495F">
              <w:rPr>
                <w:rFonts w:ascii="Century" w:hAnsi="Century"/>
                <w:sz w:val="22"/>
                <w:szCs w:val="22"/>
              </w:rPr>
              <w:t>2017 yılında</w:t>
            </w:r>
            <w:r w:rsidRPr="0090495F">
              <w:rPr>
                <w:rFonts w:ascii="Century" w:hAnsi="Century"/>
                <w:sz w:val="22"/>
                <w:szCs w:val="22"/>
              </w:rPr>
              <w:t xml:space="preserve"> </w:t>
            </w:r>
            <w:r w:rsidR="00B926A1" w:rsidRPr="0090495F">
              <w:rPr>
                <w:rFonts w:ascii="Century" w:hAnsi="Century"/>
                <w:sz w:val="22"/>
                <w:szCs w:val="22"/>
              </w:rPr>
              <w:t>%14,7</w:t>
            </w:r>
            <w:r w:rsidRPr="0090495F">
              <w:rPr>
                <w:rFonts w:ascii="Century" w:hAnsi="Century"/>
                <w:sz w:val="22"/>
                <w:szCs w:val="22"/>
              </w:rPr>
              <w:t xml:space="preserve"> seviyesine </w:t>
            </w:r>
            <w:r w:rsidR="00B926A1" w:rsidRPr="0090495F">
              <w:rPr>
                <w:rFonts w:ascii="Century" w:hAnsi="Century"/>
                <w:sz w:val="22"/>
                <w:szCs w:val="22"/>
              </w:rPr>
              <w:t>yükselmiş</w:t>
            </w:r>
            <w:r w:rsidR="001C4174" w:rsidRPr="0090495F">
              <w:rPr>
                <w:rFonts w:ascii="Century" w:hAnsi="Century"/>
                <w:sz w:val="22"/>
                <w:szCs w:val="22"/>
              </w:rPr>
              <w:t>, 2018 yılında kredi hac</w:t>
            </w:r>
            <w:r w:rsidR="00462822" w:rsidRPr="0090495F">
              <w:rPr>
                <w:rFonts w:ascii="Century" w:hAnsi="Century"/>
                <w:sz w:val="22"/>
                <w:szCs w:val="22"/>
              </w:rPr>
              <w:t>mindeki daralma sonucunda %12,7 seviyesine</w:t>
            </w:r>
            <w:r w:rsidR="001C4174" w:rsidRPr="0090495F">
              <w:rPr>
                <w:rFonts w:ascii="Century" w:hAnsi="Century"/>
                <w:sz w:val="22"/>
                <w:szCs w:val="22"/>
              </w:rPr>
              <w:t xml:space="preserve"> düşmüştür.</w:t>
            </w:r>
          </w:p>
        </w:tc>
        <w:tc>
          <w:tcPr>
            <w:tcW w:w="236" w:type="dxa"/>
            <w:gridSpan w:val="6"/>
          </w:tcPr>
          <w:p w:rsidR="0072255D" w:rsidRPr="0090495F" w:rsidRDefault="0072255D" w:rsidP="00CD35C2">
            <w:pPr>
              <w:jc w:val="both"/>
              <w:rPr>
                <w:rFonts w:ascii="Century" w:hAnsi="Century"/>
                <w:sz w:val="22"/>
                <w:szCs w:val="22"/>
              </w:rPr>
            </w:pPr>
          </w:p>
        </w:tc>
        <w:tc>
          <w:tcPr>
            <w:tcW w:w="4767" w:type="dxa"/>
            <w:gridSpan w:val="6"/>
          </w:tcPr>
          <w:p w:rsidR="00A01737" w:rsidRPr="0090495F" w:rsidRDefault="000E544C" w:rsidP="0090495F">
            <w:pPr>
              <w:jc w:val="both"/>
              <w:rPr>
                <w:rFonts w:ascii="Century" w:hAnsi="Century"/>
                <w:color w:val="333333"/>
                <w:sz w:val="22"/>
                <w:szCs w:val="22"/>
              </w:rPr>
            </w:pPr>
            <w:r w:rsidRPr="0090495F">
              <w:rPr>
                <w:rFonts w:ascii="Century" w:hAnsi="Century"/>
                <w:color w:val="333333"/>
                <w:sz w:val="22"/>
                <w:szCs w:val="22"/>
              </w:rPr>
              <w:t>In Turkey, non-life insurance has dominated the market for years and produced substantially higher premium than life insurance. Non-life ins</w:t>
            </w:r>
            <w:r w:rsidR="003E7DA2" w:rsidRPr="0090495F">
              <w:rPr>
                <w:rFonts w:ascii="Century" w:hAnsi="Century"/>
                <w:color w:val="333333"/>
                <w:sz w:val="22"/>
                <w:szCs w:val="22"/>
              </w:rPr>
              <w:t>urance business has generated 8</w:t>
            </w:r>
            <w:r w:rsidR="001C4174" w:rsidRPr="0090495F">
              <w:rPr>
                <w:rFonts w:ascii="Century" w:hAnsi="Century"/>
                <w:color w:val="333333"/>
                <w:sz w:val="22"/>
                <w:szCs w:val="22"/>
              </w:rPr>
              <w:t>7</w:t>
            </w:r>
            <w:r w:rsidRPr="0090495F">
              <w:rPr>
                <w:rFonts w:ascii="Century" w:hAnsi="Century"/>
                <w:color w:val="333333"/>
                <w:sz w:val="22"/>
                <w:szCs w:val="22"/>
              </w:rPr>
              <w:t>.</w:t>
            </w:r>
            <w:r w:rsidR="003E7DA2" w:rsidRPr="0090495F">
              <w:rPr>
                <w:rFonts w:ascii="Century" w:hAnsi="Century"/>
                <w:color w:val="333333"/>
                <w:sz w:val="22"/>
                <w:szCs w:val="22"/>
              </w:rPr>
              <w:t>3</w:t>
            </w:r>
            <w:r w:rsidR="00B57179" w:rsidRPr="0090495F">
              <w:rPr>
                <w:rFonts w:ascii="Century" w:hAnsi="Century"/>
                <w:bCs/>
                <w:color w:val="333333"/>
                <w:sz w:val="22"/>
                <w:szCs w:val="22"/>
              </w:rPr>
              <w:t>%</w:t>
            </w:r>
            <w:r w:rsidRPr="0090495F">
              <w:rPr>
                <w:rFonts w:ascii="Century" w:hAnsi="Century"/>
                <w:color w:val="333333"/>
                <w:sz w:val="22"/>
                <w:szCs w:val="22"/>
              </w:rPr>
              <w:t xml:space="preserve"> of gross premium in 201</w:t>
            </w:r>
            <w:r w:rsidR="001C4174" w:rsidRPr="0090495F">
              <w:rPr>
                <w:rFonts w:ascii="Century" w:hAnsi="Century"/>
                <w:color w:val="333333"/>
                <w:sz w:val="22"/>
                <w:szCs w:val="22"/>
              </w:rPr>
              <w:t>8</w:t>
            </w:r>
            <w:r w:rsidRPr="0090495F">
              <w:rPr>
                <w:rFonts w:ascii="Century" w:hAnsi="Century"/>
                <w:color w:val="333333"/>
                <w:sz w:val="22"/>
                <w:szCs w:val="22"/>
              </w:rPr>
              <w:t xml:space="preserve"> and life insurance has just produced 1</w:t>
            </w:r>
            <w:r w:rsidR="001C4174" w:rsidRPr="0090495F">
              <w:rPr>
                <w:rFonts w:ascii="Century" w:hAnsi="Century"/>
                <w:color w:val="333333"/>
                <w:sz w:val="22"/>
                <w:szCs w:val="22"/>
              </w:rPr>
              <w:t>2</w:t>
            </w:r>
            <w:r w:rsidRPr="0090495F">
              <w:rPr>
                <w:rFonts w:ascii="Century" w:hAnsi="Century"/>
                <w:color w:val="333333"/>
                <w:sz w:val="22"/>
                <w:szCs w:val="22"/>
              </w:rPr>
              <w:t>.</w:t>
            </w:r>
            <w:r w:rsidR="003E7DA2" w:rsidRPr="0090495F">
              <w:rPr>
                <w:rFonts w:ascii="Century" w:hAnsi="Century"/>
                <w:color w:val="333333"/>
                <w:sz w:val="22"/>
                <w:szCs w:val="22"/>
              </w:rPr>
              <w:t>7</w:t>
            </w:r>
            <w:r w:rsidR="00B57179" w:rsidRPr="0090495F">
              <w:rPr>
                <w:rFonts w:ascii="Century" w:hAnsi="Century"/>
                <w:bCs/>
                <w:color w:val="333333"/>
                <w:sz w:val="22"/>
                <w:szCs w:val="22"/>
              </w:rPr>
              <w:t>%</w:t>
            </w:r>
            <w:r w:rsidRPr="0090495F">
              <w:rPr>
                <w:rFonts w:ascii="Century" w:hAnsi="Century"/>
                <w:color w:val="333333"/>
                <w:sz w:val="22"/>
                <w:szCs w:val="22"/>
              </w:rPr>
              <w:t xml:space="preserve">. </w:t>
            </w:r>
            <w:r w:rsidR="00166556" w:rsidRPr="0090495F">
              <w:rPr>
                <w:rFonts w:ascii="Century" w:hAnsi="Century"/>
                <w:color w:val="333333"/>
                <w:sz w:val="22"/>
                <w:szCs w:val="22"/>
              </w:rPr>
              <w:t>While life premiums share in total premiums was about 20</w:t>
            </w:r>
            <w:r w:rsidR="00B57179" w:rsidRPr="0090495F">
              <w:rPr>
                <w:rFonts w:ascii="Century" w:hAnsi="Century"/>
                <w:bCs/>
                <w:color w:val="333333"/>
                <w:sz w:val="22"/>
                <w:szCs w:val="22"/>
              </w:rPr>
              <w:t>%</w:t>
            </w:r>
            <w:r w:rsidR="00166556" w:rsidRPr="0090495F">
              <w:rPr>
                <w:rFonts w:ascii="Century" w:hAnsi="Century"/>
                <w:color w:val="333333"/>
                <w:sz w:val="22"/>
                <w:szCs w:val="22"/>
              </w:rPr>
              <w:t xml:space="preserve"> in 2003, with the start of private pension system, it went down for years </w:t>
            </w:r>
            <w:r w:rsidR="008548B1" w:rsidRPr="0090495F">
              <w:rPr>
                <w:rFonts w:ascii="Century" w:hAnsi="Century"/>
                <w:color w:val="333333"/>
                <w:sz w:val="22"/>
                <w:szCs w:val="22"/>
              </w:rPr>
              <w:t>until</w:t>
            </w:r>
            <w:r w:rsidR="00B57179" w:rsidRPr="0090495F">
              <w:rPr>
                <w:rFonts w:ascii="Century" w:hAnsi="Century"/>
                <w:color w:val="333333"/>
                <w:sz w:val="22"/>
                <w:szCs w:val="22"/>
              </w:rPr>
              <w:t xml:space="preserve"> </w:t>
            </w:r>
            <w:r w:rsidR="00166556" w:rsidRPr="0090495F">
              <w:rPr>
                <w:rFonts w:ascii="Century" w:hAnsi="Century"/>
                <w:color w:val="333333"/>
                <w:sz w:val="22"/>
                <w:szCs w:val="22"/>
              </w:rPr>
              <w:t>12</w:t>
            </w:r>
            <w:r w:rsidR="00B57179" w:rsidRPr="0090495F">
              <w:rPr>
                <w:rFonts w:ascii="Century" w:hAnsi="Century"/>
                <w:bCs/>
                <w:color w:val="333333"/>
                <w:sz w:val="22"/>
                <w:szCs w:val="22"/>
              </w:rPr>
              <w:t>%</w:t>
            </w:r>
            <w:r w:rsidR="00166556" w:rsidRPr="0090495F">
              <w:rPr>
                <w:rFonts w:ascii="Century" w:hAnsi="Century"/>
                <w:color w:val="333333"/>
                <w:sz w:val="22"/>
                <w:szCs w:val="22"/>
              </w:rPr>
              <w:t xml:space="preserve"> </w:t>
            </w:r>
            <w:r w:rsidR="008548B1" w:rsidRPr="0090495F">
              <w:rPr>
                <w:rFonts w:ascii="Century" w:hAnsi="Century"/>
                <w:color w:val="333333"/>
                <w:sz w:val="22"/>
                <w:szCs w:val="22"/>
              </w:rPr>
              <w:t>between years</w:t>
            </w:r>
            <w:r w:rsidR="00166556" w:rsidRPr="0090495F">
              <w:rPr>
                <w:rFonts w:ascii="Century" w:hAnsi="Century"/>
                <w:color w:val="333333"/>
                <w:sz w:val="22"/>
                <w:szCs w:val="22"/>
              </w:rPr>
              <w:t xml:space="preserve"> 2014 </w:t>
            </w:r>
            <w:r w:rsidR="008548B1" w:rsidRPr="0090495F">
              <w:rPr>
                <w:rFonts w:ascii="Century" w:hAnsi="Century"/>
                <w:color w:val="333333"/>
                <w:sz w:val="22"/>
                <w:szCs w:val="22"/>
              </w:rPr>
              <w:t>and</w:t>
            </w:r>
            <w:r w:rsidR="00166556" w:rsidRPr="0090495F">
              <w:rPr>
                <w:rFonts w:ascii="Century" w:hAnsi="Century"/>
                <w:color w:val="333333"/>
                <w:sz w:val="22"/>
                <w:szCs w:val="22"/>
              </w:rPr>
              <w:t xml:space="preserve"> 2016</w:t>
            </w:r>
            <w:r w:rsidR="0090495F" w:rsidRPr="0090495F">
              <w:rPr>
                <w:rFonts w:ascii="Century" w:hAnsi="Century"/>
                <w:color w:val="333333"/>
                <w:sz w:val="22"/>
                <w:szCs w:val="22"/>
              </w:rPr>
              <w:t xml:space="preserve"> Due to the volume of life insurance related individual loans, it has risen to the level of 14.7</w:t>
            </w:r>
            <w:r w:rsidR="0090495F" w:rsidRPr="0090495F">
              <w:rPr>
                <w:rFonts w:ascii="Century" w:hAnsi="Century"/>
                <w:bCs/>
                <w:color w:val="333333"/>
                <w:sz w:val="22"/>
                <w:szCs w:val="22"/>
              </w:rPr>
              <w:t>%</w:t>
            </w:r>
            <w:r w:rsidR="0090495F" w:rsidRPr="0090495F">
              <w:rPr>
                <w:rFonts w:ascii="Century" w:hAnsi="Century"/>
                <w:color w:val="333333"/>
                <w:sz w:val="22"/>
                <w:szCs w:val="22"/>
              </w:rPr>
              <w:t xml:space="preserve"> in 2017,but has fallen to 12.7% in 2018.</w:t>
            </w:r>
          </w:p>
        </w:tc>
      </w:tr>
      <w:tr w:rsidR="002F57F0" w:rsidRPr="00B10D90" w:rsidTr="00441D50">
        <w:trPr>
          <w:gridAfter w:val="2"/>
          <w:wAfter w:w="38" w:type="dxa"/>
          <w:trHeight w:val="426"/>
        </w:trPr>
        <w:tc>
          <w:tcPr>
            <w:tcW w:w="4817" w:type="dxa"/>
            <w:gridSpan w:val="2"/>
          </w:tcPr>
          <w:p w:rsidR="002F57F0" w:rsidRPr="009017D4" w:rsidRDefault="00472EFE" w:rsidP="00642411">
            <w:pPr>
              <w:pStyle w:val="Heading3"/>
              <w:tabs>
                <w:tab w:val="num" w:pos="492"/>
              </w:tabs>
              <w:spacing w:before="0" w:after="0"/>
              <w:ind w:left="0"/>
              <w:jc w:val="both"/>
              <w:rPr>
                <w:rFonts w:ascii="Century" w:hAnsi="Century"/>
                <w:color w:val="000080"/>
                <w:sz w:val="22"/>
                <w:szCs w:val="22"/>
              </w:rPr>
            </w:pPr>
            <w:bookmarkStart w:id="154" w:name="_Toc327793326"/>
            <w:bookmarkStart w:id="155" w:name="_Toc358380186"/>
            <w:bookmarkStart w:id="156" w:name="_Toc12957656"/>
            <w:r w:rsidRPr="009017D4">
              <w:rPr>
                <w:rFonts w:ascii="Century" w:hAnsi="Century"/>
                <w:color w:val="000080"/>
                <w:sz w:val="22"/>
                <w:szCs w:val="22"/>
              </w:rPr>
              <w:lastRenderedPageBreak/>
              <w:t>Bireysel</w:t>
            </w:r>
            <w:r w:rsidR="002F57F0" w:rsidRPr="009017D4">
              <w:rPr>
                <w:rFonts w:ascii="Century" w:hAnsi="Century"/>
                <w:color w:val="000080"/>
                <w:sz w:val="22"/>
                <w:szCs w:val="22"/>
              </w:rPr>
              <w:t xml:space="preserve"> Emeklilik Sisteminde Katkı Payı ve Birikim Tutarı</w:t>
            </w:r>
            <w:bookmarkEnd w:id="154"/>
            <w:bookmarkEnd w:id="155"/>
            <w:bookmarkEnd w:id="156"/>
          </w:p>
          <w:p w:rsidR="002F57F0" w:rsidRPr="00B10D90" w:rsidRDefault="002F57F0" w:rsidP="002F57F0">
            <w:pPr>
              <w:jc w:val="both"/>
              <w:rPr>
                <w:rFonts w:ascii="Century" w:hAnsi="Century"/>
                <w:sz w:val="22"/>
                <w:szCs w:val="22"/>
                <w:highlight w:val="yellow"/>
              </w:rPr>
            </w:pPr>
          </w:p>
          <w:p w:rsidR="009F05CB" w:rsidRDefault="00256814" w:rsidP="0022312B">
            <w:pPr>
              <w:jc w:val="both"/>
              <w:rPr>
                <w:rFonts w:ascii="Century" w:hAnsi="Century"/>
                <w:sz w:val="22"/>
                <w:szCs w:val="22"/>
                <w:highlight w:val="yellow"/>
                <w:lang w:eastAsia="tr-TR"/>
              </w:rPr>
            </w:pPr>
            <w:r w:rsidRPr="009017D4">
              <w:rPr>
                <w:rFonts w:ascii="Century" w:hAnsi="Century"/>
                <w:sz w:val="22"/>
                <w:szCs w:val="22"/>
                <w:lang w:eastAsia="tr-TR"/>
              </w:rPr>
              <w:t>Bireysel emeklilik sisteminde mevcut katılımcılar adına yapılan katkı payı ödemesi 201</w:t>
            </w:r>
            <w:r w:rsidR="009017D4" w:rsidRPr="009017D4">
              <w:rPr>
                <w:rFonts w:ascii="Century" w:hAnsi="Century"/>
                <w:sz w:val="22"/>
                <w:szCs w:val="22"/>
                <w:lang w:eastAsia="tr-TR"/>
              </w:rPr>
              <w:t>7</w:t>
            </w:r>
            <w:r w:rsidR="00962F5B" w:rsidRPr="009017D4">
              <w:rPr>
                <w:rFonts w:ascii="Century" w:hAnsi="Century"/>
                <w:sz w:val="22"/>
                <w:szCs w:val="22"/>
                <w:lang w:eastAsia="tr-TR"/>
              </w:rPr>
              <w:t xml:space="preserve"> yılı sonunda</w:t>
            </w:r>
            <w:r w:rsidR="00FE53D3" w:rsidRPr="009017D4">
              <w:rPr>
                <w:rFonts w:ascii="Century" w:hAnsi="Century"/>
                <w:sz w:val="22"/>
                <w:szCs w:val="22"/>
                <w:lang w:eastAsia="tr-TR"/>
              </w:rPr>
              <w:t xml:space="preserve"> </w:t>
            </w:r>
            <w:r w:rsidR="009017D4" w:rsidRPr="009017D4">
              <w:rPr>
                <w:rFonts w:ascii="Century" w:hAnsi="Century"/>
                <w:sz w:val="22"/>
                <w:szCs w:val="22"/>
                <w:lang w:eastAsia="tr-TR"/>
              </w:rPr>
              <w:t xml:space="preserve">62,0 </w:t>
            </w:r>
            <w:r w:rsidRPr="009017D4">
              <w:rPr>
                <w:rFonts w:ascii="Century" w:hAnsi="Century"/>
                <w:sz w:val="22"/>
                <w:szCs w:val="22"/>
                <w:lang w:eastAsia="tr-TR"/>
              </w:rPr>
              <w:t xml:space="preserve">milyar TL </w:t>
            </w:r>
            <w:r w:rsidR="00584BF1" w:rsidRPr="009017D4">
              <w:rPr>
                <w:rFonts w:ascii="Century" w:hAnsi="Century"/>
                <w:sz w:val="22"/>
                <w:szCs w:val="22"/>
                <w:lang w:eastAsia="tr-TR"/>
              </w:rPr>
              <w:t xml:space="preserve">(devlet katkısı dahil) iken, </w:t>
            </w:r>
            <w:r w:rsidR="00B0092A" w:rsidRPr="009017D4">
              <w:rPr>
                <w:rFonts w:ascii="Century" w:hAnsi="Century"/>
                <w:sz w:val="22"/>
                <w:szCs w:val="22"/>
                <w:lang w:eastAsia="tr-TR"/>
              </w:rPr>
              <w:t>201</w:t>
            </w:r>
            <w:r w:rsidR="009017D4" w:rsidRPr="009017D4">
              <w:rPr>
                <w:rFonts w:ascii="Century" w:hAnsi="Century"/>
                <w:sz w:val="22"/>
                <w:szCs w:val="22"/>
                <w:lang w:eastAsia="tr-TR"/>
              </w:rPr>
              <w:t>8</w:t>
            </w:r>
            <w:r w:rsidR="00B0092A" w:rsidRPr="009017D4">
              <w:rPr>
                <w:rFonts w:ascii="Century" w:hAnsi="Century"/>
                <w:sz w:val="22"/>
                <w:szCs w:val="22"/>
                <w:lang w:eastAsia="tr-TR"/>
              </w:rPr>
              <w:t xml:space="preserve"> yılı sonunda </w:t>
            </w:r>
            <w:r w:rsidR="009017D4" w:rsidRPr="009017D4">
              <w:rPr>
                <w:rFonts w:ascii="Century" w:hAnsi="Century"/>
                <w:sz w:val="22"/>
                <w:szCs w:val="22"/>
                <w:lang w:eastAsia="tr-TR"/>
              </w:rPr>
              <w:t>%12</w:t>
            </w:r>
            <w:r w:rsidR="00962F5B" w:rsidRPr="009017D4">
              <w:rPr>
                <w:rFonts w:ascii="Century" w:hAnsi="Century"/>
                <w:sz w:val="22"/>
                <w:szCs w:val="22"/>
                <w:lang w:eastAsia="tr-TR"/>
              </w:rPr>
              <w:t>,</w:t>
            </w:r>
            <w:r w:rsidR="009017D4" w:rsidRPr="009017D4">
              <w:rPr>
                <w:rFonts w:ascii="Century" w:hAnsi="Century"/>
                <w:sz w:val="22"/>
                <w:szCs w:val="22"/>
                <w:lang w:eastAsia="tr-TR"/>
              </w:rPr>
              <w:t>1</w:t>
            </w:r>
            <w:r w:rsidR="00962F5B" w:rsidRPr="009017D4">
              <w:rPr>
                <w:rFonts w:ascii="Century" w:hAnsi="Century"/>
                <w:sz w:val="22"/>
                <w:szCs w:val="22"/>
                <w:lang w:eastAsia="tr-TR"/>
              </w:rPr>
              <w:t xml:space="preserve">’lik artışla </w:t>
            </w:r>
            <w:r w:rsidR="009017D4" w:rsidRPr="009017D4">
              <w:rPr>
                <w:rFonts w:ascii="Century" w:hAnsi="Century"/>
                <w:sz w:val="22"/>
                <w:szCs w:val="22"/>
                <w:lang w:eastAsia="tr-TR"/>
              </w:rPr>
              <w:t>69</w:t>
            </w:r>
            <w:r w:rsidRPr="009017D4">
              <w:rPr>
                <w:rFonts w:ascii="Century" w:hAnsi="Century"/>
                <w:sz w:val="22"/>
                <w:szCs w:val="22"/>
                <w:lang w:eastAsia="tr-TR"/>
              </w:rPr>
              <w:t>,</w:t>
            </w:r>
            <w:r w:rsidR="009017D4" w:rsidRPr="009017D4">
              <w:rPr>
                <w:rFonts w:ascii="Century" w:hAnsi="Century"/>
                <w:sz w:val="22"/>
                <w:szCs w:val="22"/>
                <w:lang w:eastAsia="tr-TR"/>
              </w:rPr>
              <w:t>5</w:t>
            </w:r>
            <w:r w:rsidRPr="009017D4">
              <w:rPr>
                <w:rFonts w:ascii="Century" w:hAnsi="Century"/>
                <w:sz w:val="22"/>
                <w:szCs w:val="22"/>
                <w:lang w:eastAsia="tr-TR"/>
              </w:rPr>
              <w:t xml:space="preserve"> milyar TL’ye ulaşmıştır</w:t>
            </w:r>
            <w:r w:rsidRPr="004A35F1">
              <w:rPr>
                <w:rFonts w:ascii="Century" w:hAnsi="Century"/>
                <w:sz w:val="22"/>
                <w:szCs w:val="22"/>
                <w:lang w:eastAsia="tr-TR"/>
              </w:rPr>
              <w:t xml:space="preserve">. </w:t>
            </w:r>
            <w:r w:rsidR="0041408B" w:rsidRPr="004A35F1">
              <w:rPr>
                <w:rFonts w:ascii="Century" w:hAnsi="Century"/>
                <w:sz w:val="22"/>
                <w:szCs w:val="22"/>
                <w:lang w:eastAsia="tr-TR"/>
              </w:rPr>
              <w:t>Yıl içinde</w:t>
            </w:r>
            <w:r w:rsidRPr="004A35F1">
              <w:rPr>
                <w:rFonts w:ascii="Century" w:hAnsi="Century"/>
                <w:sz w:val="22"/>
                <w:szCs w:val="22"/>
                <w:lang w:eastAsia="tr-TR"/>
              </w:rPr>
              <w:t xml:space="preserve"> toplam</w:t>
            </w:r>
            <w:r w:rsidR="004A35F1" w:rsidRPr="004A35F1">
              <w:rPr>
                <w:rFonts w:ascii="Century" w:hAnsi="Century"/>
                <w:sz w:val="22"/>
                <w:szCs w:val="22"/>
                <w:lang w:eastAsia="tr-TR"/>
              </w:rPr>
              <w:t xml:space="preserve"> 20</w:t>
            </w:r>
            <w:proofErr w:type="gramStart"/>
            <w:r w:rsidR="000828A1">
              <w:rPr>
                <w:rFonts w:ascii="Century" w:hAnsi="Century"/>
                <w:sz w:val="22"/>
                <w:szCs w:val="22"/>
                <w:lang w:eastAsia="tr-TR"/>
              </w:rPr>
              <w:t>,</w:t>
            </w:r>
            <w:r w:rsidR="000828A1" w:rsidRPr="004A35F1">
              <w:rPr>
                <w:rFonts w:ascii="Century" w:hAnsi="Century"/>
                <w:sz w:val="22"/>
                <w:szCs w:val="22"/>
                <w:lang w:eastAsia="tr-TR"/>
              </w:rPr>
              <w:t>5</w:t>
            </w:r>
            <w:proofErr w:type="gramEnd"/>
            <w:r w:rsidRPr="004A35F1">
              <w:rPr>
                <w:rFonts w:ascii="Century" w:hAnsi="Century"/>
                <w:sz w:val="22"/>
                <w:szCs w:val="22"/>
                <w:lang w:eastAsia="tr-TR"/>
              </w:rPr>
              <w:t xml:space="preserve"> milyar TL katkı payı ödenmiş olmasına rağmen, emeklilik ve diğer nedenlerle sistemden çıkışlar yaşandığından, mevcut katılımcılara ilişkin katkı payı artışı daha düşük gerçekleşmiştir. </w:t>
            </w:r>
          </w:p>
          <w:p w:rsidR="004A35F1" w:rsidRPr="00B10D90" w:rsidRDefault="004A35F1" w:rsidP="0022312B">
            <w:pPr>
              <w:jc w:val="both"/>
              <w:rPr>
                <w:rFonts w:ascii="Century" w:hAnsi="Century"/>
                <w:sz w:val="22"/>
                <w:szCs w:val="22"/>
                <w:highlight w:val="yellow"/>
                <w:lang w:eastAsia="tr-TR"/>
              </w:rPr>
            </w:pPr>
          </w:p>
          <w:p w:rsidR="009C6DD2" w:rsidRPr="004A35F1" w:rsidRDefault="0022312B" w:rsidP="0022312B">
            <w:pPr>
              <w:jc w:val="both"/>
              <w:rPr>
                <w:rFonts w:ascii="Century" w:hAnsi="Century"/>
                <w:sz w:val="22"/>
                <w:szCs w:val="22"/>
                <w:lang w:eastAsia="tr-TR"/>
              </w:rPr>
            </w:pPr>
            <w:r w:rsidRPr="004A35F1">
              <w:rPr>
                <w:rFonts w:ascii="Century" w:hAnsi="Century"/>
                <w:sz w:val="22"/>
                <w:szCs w:val="22"/>
                <w:lang w:eastAsia="tr-TR"/>
              </w:rPr>
              <w:t>201</w:t>
            </w:r>
            <w:r w:rsidR="004A35F1" w:rsidRPr="004A35F1">
              <w:rPr>
                <w:rFonts w:ascii="Century" w:hAnsi="Century"/>
                <w:sz w:val="22"/>
                <w:szCs w:val="22"/>
                <w:lang w:eastAsia="tr-TR"/>
              </w:rPr>
              <w:t>8</w:t>
            </w:r>
            <w:r w:rsidRPr="004A35F1">
              <w:rPr>
                <w:rFonts w:ascii="Century" w:hAnsi="Century"/>
                <w:sz w:val="22"/>
                <w:szCs w:val="22"/>
                <w:lang w:eastAsia="tr-TR"/>
              </w:rPr>
              <w:t xml:space="preserve"> yılında gerçekleştirilen katkı payı tahsilatının </w:t>
            </w:r>
            <w:r w:rsidR="00813B2F" w:rsidRPr="004A35F1">
              <w:rPr>
                <w:rFonts w:ascii="Century" w:hAnsi="Century"/>
                <w:sz w:val="22"/>
                <w:szCs w:val="22"/>
                <w:lang w:eastAsia="tr-TR"/>
              </w:rPr>
              <w:t>%</w:t>
            </w:r>
            <w:r w:rsidR="00814FDD" w:rsidRPr="004A35F1">
              <w:rPr>
                <w:rFonts w:ascii="Century" w:hAnsi="Century"/>
                <w:sz w:val="22"/>
                <w:szCs w:val="22"/>
                <w:lang w:eastAsia="tr-TR"/>
              </w:rPr>
              <w:t>2</w:t>
            </w:r>
            <w:r w:rsidR="004A35F1" w:rsidRPr="004A35F1">
              <w:rPr>
                <w:rFonts w:ascii="Century" w:hAnsi="Century"/>
                <w:sz w:val="22"/>
                <w:szCs w:val="22"/>
                <w:lang w:eastAsia="tr-TR"/>
              </w:rPr>
              <w:t>2</w:t>
            </w:r>
            <w:proofErr w:type="gramStart"/>
            <w:r w:rsidR="004A35F1" w:rsidRPr="004A35F1">
              <w:rPr>
                <w:rFonts w:ascii="Century" w:hAnsi="Century"/>
                <w:sz w:val="22"/>
                <w:szCs w:val="22"/>
                <w:lang w:eastAsia="tr-TR"/>
              </w:rPr>
              <w:t>,5</w:t>
            </w:r>
            <w:r w:rsidR="0090427F" w:rsidRPr="004A35F1">
              <w:rPr>
                <w:rFonts w:ascii="Century" w:hAnsi="Century"/>
                <w:sz w:val="22"/>
                <w:szCs w:val="22"/>
                <w:lang w:eastAsia="tr-TR"/>
              </w:rPr>
              <w:t>’</w:t>
            </w:r>
            <w:r w:rsidR="004A35F1" w:rsidRPr="004A35F1">
              <w:rPr>
                <w:rFonts w:ascii="Century" w:hAnsi="Century"/>
                <w:sz w:val="22"/>
                <w:szCs w:val="22"/>
                <w:lang w:eastAsia="tr-TR"/>
              </w:rPr>
              <w:t>i</w:t>
            </w:r>
            <w:proofErr w:type="gramEnd"/>
            <w:r w:rsidRPr="004A35F1">
              <w:rPr>
                <w:rFonts w:ascii="Century" w:hAnsi="Century"/>
                <w:sz w:val="22"/>
                <w:szCs w:val="22"/>
                <w:lang w:eastAsia="tr-TR"/>
              </w:rPr>
              <w:t xml:space="preserve"> </w:t>
            </w:r>
            <w:r w:rsidR="00DB62F2" w:rsidRPr="004A35F1">
              <w:rPr>
                <w:rFonts w:ascii="Century" w:hAnsi="Century"/>
                <w:sz w:val="22"/>
                <w:szCs w:val="22"/>
                <w:lang w:eastAsia="tr-TR"/>
              </w:rPr>
              <w:t xml:space="preserve">cari </w:t>
            </w:r>
            <w:r w:rsidRPr="004A35F1">
              <w:rPr>
                <w:rFonts w:ascii="Century" w:hAnsi="Century"/>
                <w:sz w:val="22"/>
                <w:szCs w:val="22"/>
                <w:lang w:eastAsia="tr-TR"/>
              </w:rPr>
              <w:t>yılda</w:t>
            </w:r>
            <w:r w:rsidR="00591DA2" w:rsidRPr="004A35F1">
              <w:rPr>
                <w:rFonts w:ascii="Century" w:hAnsi="Century"/>
                <w:sz w:val="22"/>
                <w:szCs w:val="22"/>
                <w:lang w:eastAsia="tr-TR"/>
              </w:rPr>
              <w:t xml:space="preserve"> düzenlenen</w:t>
            </w:r>
            <w:r w:rsidR="009C6DD2" w:rsidRPr="004A35F1">
              <w:rPr>
                <w:rFonts w:ascii="Century" w:hAnsi="Century"/>
                <w:sz w:val="22"/>
                <w:szCs w:val="22"/>
                <w:lang w:eastAsia="tr-TR"/>
              </w:rPr>
              <w:t xml:space="preserve"> sözleşmelere</w:t>
            </w:r>
            <w:r w:rsidRPr="004A35F1">
              <w:rPr>
                <w:rFonts w:ascii="Century" w:hAnsi="Century"/>
                <w:sz w:val="22"/>
                <w:szCs w:val="22"/>
                <w:lang w:eastAsia="tr-TR"/>
              </w:rPr>
              <w:t xml:space="preserve">, kalan kısmı ise önceki yıllarda </w:t>
            </w:r>
            <w:r w:rsidR="00591DA2" w:rsidRPr="004A35F1">
              <w:rPr>
                <w:rFonts w:ascii="Century" w:hAnsi="Century"/>
                <w:sz w:val="22"/>
                <w:szCs w:val="22"/>
                <w:lang w:eastAsia="tr-TR"/>
              </w:rPr>
              <w:t>yürürlüğe giren</w:t>
            </w:r>
            <w:r w:rsidRPr="004A35F1">
              <w:rPr>
                <w:rFonts w:ascii="Century" w:hAnsi="Century"/>
                <w:sz w:val="22"/>
                <w:szCs w:val="22"/>
                <w:lang w:eastAsia="tr-TR"/>
              </w:rPr>
              <w:t xml:space="preserve"> sözleşmelere aittir. </w:t>
            </w:r>
          </w:p>
          <w:p w:rsidR="009C6DD2" w:rsidRPr="00B10D90" w:rsidRDefault="009C6DD2" w:rsidP="0022312B">
            <w:pPr>
              <w:jc w:val="both"/>
              <w:rPr>
                <w:rFonts w:ascii="Century" w:hAnsi="Century"/>
                <w:sz w:val="22"/>
                <w:szCs w:val="22"/>
                <w:highlight w:val="yellow"/>
                <w:lang w:eastAsia="tr-TR"/>
              </w:rPr>
            </w:pPr>
          </w:p>
          <w:p w:rsidR="0022312B" w:rsidRPr="004A35F1" w:rsidRDefault="007F423A" w:rsidP="0022312B">
            <w:pPr>
              <w:jc w:val="both"/>
              <w:rPr>
                <w:rFonts w:ascii="Century" w:hAnsi="Century"/>
                <w:sz w:val="22"/>
                <w:szCs w:val="22"/>
                <w:lang w:eastAsia="tr-TR"/>
              </w:rPr>
            </w:pPr>
            <w:r w:rsidRPr="004A35F1">
              <w:rPr>
                <w:rFonts w:ascii="Century" w:hAnsi="Century"/>
                <w:sz w:val="22"/>
                <w:szCs w:val="22"/>
                <w:lang w:eastAsia="tr-TR"/>
              </w:rPr>
              <w:t>Diğer yandan, sistemde m</w:t>
            </w:r>
            <w:r w:rsidR="0022312B" w:rsidRPr="004A35F1">
              <w:rPr>
                <w:rFonts w:ascii="Century" w:hAnsi="Century"/>
                <w:sz w:val="22"/>
                <w:szCs w:val="22"/>
                <w:lang w:eastAsia="tr-TR"/>
              </w:rPr>
              <w:t xml:space="preserve">evcut katılımcılara ait fon tutarı bir önceki yıl sonuna göre </w:t>
            </w:r>
            <w:r w:rsidR="00813B2F" w:rsidRPr="004A35F1">
              <w:rPr>
                <w:rFonts w:ascii="Century" w:hAnsi="Century"/>
                <w:sz w:val="22"/>
                <w:szCs w:val="22"/>
                <w:lang w:eastAsia="tr-TR"/>
              </w:rPr>
              <w:t>%</w:t>
            </w:r>
            <w:r w:rsidR="004A35F1" w:rsidRPr="004A35F1">
              <w:rPr>
                <w:rFonts w:ascii="Century" w:hAnsi="Century"/>
                <w:sz w:val="22"/>
                <w:szCs w:val="22"/>
                <w:lang w:eastAsia="tr-TR"/>
              </w:rPr>
              <w:t>13</w:t>
            </w:r>
            <w:r w:rsidR="001B2936" w:rsidRPr="004A35F1">
              <w:rPr>
                <w:rFonts w:ascii="Century" w:hAnsi="Century"/>
                <w:sz w:val="22"/>
                <w:szCs w:val="22"/>
                <w:lang w:eastAsia="tr-TR"/>
              </w:rPr>
              <w:t>,8</w:t>
            </w:r>
            <w:r w:rsidR="00B3216B" w:rsidRPr="004A35F1">
              <w:rPr>
                <w:rFonts w:ascii="Century" w:hAnsi="Century"/>
                <w:sz w:val="22"/>
                <w:szCs w:val="22"/>
                <w:lang w:eastAsia="tr-TR"/>
              </w:rPr>
              <w:t xml:space="preserve"> oranında art</w:t>
            </w:r>
            <w:r w:rsidR="00DB62F2" w:rsidRPr="004A35F1">
              <w:rPr>
                <w:rFonts w:ascii="Century" w:hAnsi="Century"/>
                <w:sz w:val="22"/>
                <w:szCs w:val="22"/>
                <w:lang w:eastAsia="tr-TR"/>
              </w:rPr>
              <w:t>mış</w:t>
            </w:r>
            <w:r w:rsidR="009C6DD2" w:rsidRPr="004A35F1">
              <w:rPr>
                <w:rFonts w:ascii="Century" w:hAnsi="Century"/>
                <w:sz w:val="22"/>
                <w:szCs w:val="22"/>
                <w:lang w:eastAsia="tr-TR"/>
              </w:rPr>
              <w:t xml:space="preserve"> ve </w:t>
            </w:r>
            <w:r w:rsidR="006428CF" w:rsidRPr="004A35F1">
              <w:rPr>
                <w:rFonts w:ascii="Century" w:hAnsi="Century"/>
                <w:sz w:val="22"/>
                <w:szCs w:val="22"/>
                <w:lang w:eastAsia="tr-TR"/>
              </w:rPr>
              <w:t>201</w:t>
            </w:r>
            <w:r w:rsidR="004A35F1" w:rsidRPr="004A35F1">
              <w:rPr>
                <w:rFonts w:ascii="Century" w:hAnsi="Century"/>
                <w:sz w:val="22"/>
                <w:szCs w:val="22"/>
                <w:lang w:eastAsia="tr-TR"/>
              </w:rPr>
              <w:t>8</w:t>
            </w:r>
            <w:r w:rsidR="006428CF" w:rsidRPr="004A35F1">
              <w:rPr>
                <w:rFonts w:ascii="Century" w:hAnsi="Century"/>
                <w:sz w:val="22"/>
                <w:szCs w:val="22"/>
                <w:lang w:eastAsia="tr-TR"/>
              </w:rPr>
              <w:t xml:space="preserve"> yılı sonunda </w:t>
            </w:r>
            <w:r w:rsidR="004A35F1" w:rsidRPr="004A35F1">
              <w:rPr>
                <w:rFonts w:ascii="Century" w:hAnsi="Century"/>
                <w:sz w:val="22"/>
                <w:szCs w:val="22"/>
                <w:lang w:eastAsia="tr-TR"/>
              </w:rPr>
              <w:t>88</w:t>
            </w:r>
            <w:r w:rsidR="00200108" w:rsidRPr="004A35F1">
              <w:rPr>
                <w:rFonts w:ascii="Century" w:hAnsi="Century"/>
                <w:sz w:val="22"/>
                <w:szCs w:val="22"/>
                <w:lang w:eastAsia="tr-TR"/>
              </w:rPr>
              <w:t>,</w:t>
            </w:r>
            <w:r w:rsidR="004A35F1" w:rsidRPr="004A35F1">
              <w:rPr>
                <w:rFonts w:ascii="Century" w:hAnsi="Century"/>
                <w:sz w:val="22"/>
                <w:szCs w:val="22"/>
                <w:lang w:eastAsia="tr-TR"/>
              </w:rPr>
              <w:t>4</w:t>
            </w:r>
            <w:r w:rsidR="0022312B" w:rsidRPr="004A35F1">
              <w:rPr>
                <w:rFonts w:ascii="Century" w:hAnsi="Century"/>
                <w:sz w:val="22"/>
                <w:szCs w:val="22"/>
                <w:lang w:eastAsia="tr-TR"/>
              </w:rPr>
              <w:t xml:space="preserve"> milyar TL’ye ulaşmıştır.</w:t>
            </w:r>
          </w:p>
          <w:p w:rsidR="0090427F" w:rsidRDefault="0090427F" w:rsidP="0022312B">
            <w:pPr>
              <w:jc w:val="both"/>
              <w:rPr>
                <w:rFonts w:ascii="Century" w:hAnsi="Century"/>
                <w:sz w:val="22"/>
                <w:szCs w:val="22"/>
                <w:highlight w:val="yellow"/>
                <w:lang w:eastAsia="tr-TR"/>
              </w:rPr>
            </w:pPr>
          </w:p>
          <w:p w:rsidR="005B31A7" w:rsidRPr="00B10D90" w:rsidRDefault="005B31A7" w:rsidP="0022312B">
            <w:pPr>
              <w:jc w:val="both"/>
              <w:rPr>
                <w:rFonts w:ascii="Century" w:hAnsi="Century"/>
                <w:sz w:val="22"/>
                <w:szCs w:val="22"/>
                <w:highlight w:val="yellow"/>
                <w:lang w:eastAsia="tr-TR"/>
              </w:rPr>
            </w:pPr>
          </w:p>
          <w:p w:rsidR="00D73512" w:rsidRPr="004A35F1" w:rsidRDefault="006428CF" w:rsidP="006428CF">
            <w:pPr>
              <w:jc w:val="both"/>
              <w:rPr>
                <w:rFonts w:ascii="Century" w:hAnsi="Century"/>
                <w:sz w:val="22"/>
                <w:szCs w:val="22"/>
              </w:rPr>
            </w:pPr>
            <w:r w:rsidRPr="004A35F1">
              <w:rPr>
                <w:rFonts w:ascii="Century" w:hAnsi="Century"/>
                <w:sz w:val="22"/>
                <w:szCs w:val="22"/>
              </w:rPr>
              <w:t>Bireysel emeklilik sisteminde s</w:t>
            </w:r>
            <w:r w:rsidR="002F57F0" w:rsidRPr="004A35F1">
              <w:rPr>
                <w:rFonts w:ascii="Century" w:hAnsi="Century"/>
                <w:sz w:val="22"/>
                <w:szCs w:val="22"/>
              </w:rPr>
              <w:t>on beş yıllık döneme ilişkin</w:t>
            </w:r>
            <w:r w:rsidR="00993D18" w:rsidRPr="004A35F1">
              <w:rPr>
                <w:rFonts w:ascii="Century" w:hAnsi="Century"/>
                <w:sz w:val="22"/>
                <w:szCs w:val="22"/>
              </w:rPr>
              <w:t xml:space="preserve"> temel</w:t>
            </w:r>
            <w:r w:rsidR="002F57F0" w:rsidRPr="004A35F1">
              <w:rPr>
                <w:rFonts w:ascii="Century" w:hAnsi="Century"/>
                <w:sz w:val="22"/>
                <w:szCs w:val="22"/>
              </w:rPr>
              <w:t xml:space="preserve"> bilgiler aşağıdaki tablo ve grafikte gösterilmiştir. </w:t>
            </w:r>
          </w:p>
          <w:p w:rsidR="00D45F54" w:rsidRPr="00B10D90" w:rsidRDefault="002F57F0" w:rsidP="006428CF">
            <w:pPr>
              <w:jc w:val="both"/>
              <w:rPr>
                <w:rFonts w:ascii="Century" w:hAnsi="Century"/>
                <w:sz w:val="22"/>
                <w:szCs w:val="22"/>
                <w:highlight w:val="yellow"/>
              </w:rPr>
            </w:pPr>
            <w:r w:rsidRPr="00B10D90">
              <w:rPr>
                <w:rFonts w:ascii="Century" w:hAnsi="Century"/>
                <w:sz w:val="22"/>
                <w:szCs w:val="22"/>
                <w:highlight w:val="yellow"/>
              </w:rPr>
              <w:t xml:space="preserve"> </w:t>
            </w:r>
          </w:p>
        </w:tc>
        <w:tc>
          <w:tcPr>
            <w:tcW w:w="236" w:type="dxa"/>
            <w:gridSpan w:val="6"/>
          </w:tcPr>
          <w:p w:rsidR="002F57F0" w:rsidRPr="00B10D90" w:rsidRDefault="002F57F0" w:rsidP="00CD35C2">
            <w:pPr>
              <w:jc w:val="both"/>
              <w:rPr>
                <w:rFonts w:ascii="Century" w:hAnsi="Century"/>
                <w:sz w:val="22"/>
                <w:szCs w:val="22"/>
                <w:highlight w:val="yellow"/>
              </w:rPr>
            </w:pPr>
          </w:p>
        </w:tc>
        <w:tc>
          <w:tcPr>
            <w:tcW w:w="4767" w:type="dxa"/>
            <w:gridSpan w:val="6"/>
          </w:tcPr>
          <w:p w:rsidR="002F57F0" w:rsidRPr="004A35F1" w:rsidRDefault="00C6234F" w:rsidP="002F57F0">
            <w:pPr>
              <w:jc w:val="both"/>
              <w:rPr>
                <w:rFonts w:ascii="Century" w:hAnsi="Century"/>
                <w:b/>
                <w:color w:val="003366"/>
                <w:sz w:val="22"/>
                <w:szCs w:val="22"/>
              </w:rPr>
            </w:pPr>
            <w:r w:rsidRPr="004A35F1">
              <w:rPr>
                <w:rFonts w:ascii="Century" w:hAnsi="Century"/>
                <w:b/>
                <w:color w:val="003366"/>
                <w:sz w:val="22"/>
                <w:szCs w:val="22"/>
              </w:rPr>
              <w:t>1.2</w:t>
            </w:r>
            <w:r w:rsidR="002F57F0" w:rsidRPr="004A35F1">
              <w:rPr>
                <w:rFonts w:ascii="Century" w:hAnsi="Century"/>
                <w:b/>
                <w:color w:val="003366"/>
                <w:sz w:val="22"/>
                <w:szCs w:val="22"/>
              </w:rPr>
              <w:t>.</w:t>
            </w:r>
            <w:r w:rsidR="00316147" w:rsidRPr="004A35F1">
              <w:rPr>
                <w:rFonts w:ascii="Century" w:hAnsi="Century"/>
                <w:b/>
                <w:color w:val="003366"/>
                <w:sz w:val="22"/>
                <w:szCs w:val="22"/>
              </w:rPr>
              <w:t>2</w:t>
            </w:r>
            <w:r w:rsidR="00772D12" w:rsidRPr="004A35F1">
              <w:rPr>
                <w:rFonts w:ascii="Century" w:hAnsi="Century"/>
                <w:b/>
                <w:color w:val="003366"/>
                <w:sz w:val="22"/>
                <w:szCs w:val="22"/>
              </w:rPr>
              <w:t xml:space="preserve">. </w:t>
            </w:r>
            <w:r w:rsidR="00D60C0D" w:rsidRPr="004A35F1">
              <w:rPr>
                <w:rFonts w:ascii="Century" w:hAnsi="Century"/>
                <w:b/>
                <w:color w:val="003366"/>
                <w:sz w:val="22"/>
                <w:szCs w:val="22"/>
              </w:rPr>
              <w:t xml:space="preserve">Total </w:t>
            </w:r>
            <w:r w:rsidR="002F57F0" w:rsidRPr="004A35F1">
              <w:rPr>
                <w:rFonts w:ascii="Century" w:hAnsi="Century"/>
                <w:b/>
                <w:color w:val="003366"/>
                <w:sz w:val="22"/>
                <w:szCs w:val="22"/>
              </w:rPr>
              <w:t>Contribution and Accumulated Fund</w:t>
            </w:r>
            <w:r w:rsidR="00280B84" w:rsidRPr="004A35F1">
              <w:rPr>
                <w:rFonts w:ascii="Century" w:hAnsi="Century"/>
                <w:b/>
                <w:color w:val="003366"/>
                <w:sz w:val="22"/>
                <w:szCs w:val="22"/>
              </w:rPr>
              <w:t>s</w:t>
            </w:r>
            <w:r w:rsidR="002F57F0" w:rsidRPr="004A35F1">
              <w:rPr>
                <w:rFonts w:ascii="Century" w:hAnsi="Century"/>
                <w:b/>
                <w:color w:val="003366"/>
                <w:sz w:val="22"/>
                <w:szCs w:val="22"/>
              </w:rPr>
              <w:t xml:space="preserve"> in </w:t>
            </w:r>
            <w:r w:rsidR="0023565B" w:rsidRPr="004A35F1">
              <w:rPr>
                <w:rFonts w:ascii="Century" w:hAnsi="Century"/>
                <w:b/>
                <w:color w:val="003366"/>
                <w:sz w:val="22"/>
                <w:szCs w:val="22"/>
              </w:rPr>
              <w:t xml:space="preserve">Private </w:t>
            </w:r>
            <w:r w:rsidR="002F57F0" w:rsidRPr="004A35F1">
              <w:rPr>
                <w:rFonts w:ascii="Century" w:hAnsi="Century"/>
                <w:b/>
                <w:color w:val="003366"/>
                <w:sz w:val="22"/>
                <w:szCs w:val="22"/>
              </w:rPr>
              <w:t>Pension System</w:t>
            </w:r>
          </w:p>
          <w:p w:rsidR="002F57F0" w:rsidRPr="00B10D90" w:rsidRDefault="002F57F0" w:rsidP="002F57F0">
            <w:pPr>
              <w:jc w:val="both"/>
              <w:rPr>
                <w:rFonts w:ascii="Century" w:hAnsi="Century"/>
                <w:b/>
                <w:color w:val="333333"/>
                <w:sz w:val="22"/>
                <w:szCs w:val="22"/>
                <w:highlight w:val="yellow"/>
              </w:rPr>
            </w:pPr>
          </w:p>
          <w:p w:rsidR="00256814" w:rsidRPr="004A35F1" w:rsidRDefault="00256814" w:rsidP="00BD6C55">
            <w:pPr>
              <w:jc w:val="both"/>
              <w:rPr>
                <w:rFonts w:ascii="Century" w:hAnsi="Century"/>
                <w:color w:val="333333"/>
                <w:sz w:val="22"/>
                <w:szCs w:val="22"/>
                <w:lang w:eastAsia="tr-TR"/>
              </w:rPr>
            </w:pPr>
            <w:r w:rsidRPr="004A35F1">
              <w:rPr>
                <w:rFonts w:ascii="Century" w:hAnsi="Century"/>
                <w:color w:val="333333"/>
                <w:sz w:val="22"/>
                <w:szCs w:val="22"/>
              </w:rPr>
              <w:t>After the transition to</w:t>
            </w:r>
            <w:r w:rsidRPr="004A35F1" w:rsidDel="00D468AC">
              <w:rPr>
                <w:rFonts w:ascii="Century" w:hAnsi="Century"/>
                <w:color w:val="333333"/>
                <w:sz w:val="22"/>
                <w:szCs w:val="22"/>
                <w:lang w:eastAsia="tr-TR"/>
              </w:rPr>
              <w:t xml:space="preserve"> </w:t>
            </w:r>
            <w:r w:rsidRPr="004A35F1">
              <w:rPr>
                <w:rFonts w:ascii="Century" w:hAnsi="Century"/>
                <w:color w:val="333333"/>
                <w:sz w:val="22"/>
                <w:szCs w:val="22"/>
                <w:lang w:eastAsia="tr-TR"/>
              </w:rPr>
              <w:t xml:space="preserve">the state contribution system, the amount of contribution paid by the participants and the employers </w:t>
            </w:r>
            <w:r w:rsidR="0041408B" w:rsidRPr="004A35F1">
              <w:rPr>
                <w:rFonts w:ascii="Century" w:hAnsi="Century"/>
                <w:color w:val="333333"/>
                <w:sz w:val="22"/>
                <w:szCs w:val="22"/>
                <w:lang w:eastAsia="tr-TR"/>
              </w:rPr>
              <w:t>was</w:t>
            </w:r>
            <w:r w:rsidRPr="004A35F1">
              <w:rPr>
                <w:rFonts w:ascii="Century" w:hAnsi="Century"/>
                <w:color w:val="333333"/>
                <w:sz w:val="22"/>
                <w:szCs w:val="22"/>
                <w:lang w:eastAsia="tr-TR"/>
              </w:rPr>
              <w:t xml:space="preserve"> </w:t>
            </w:r>
            <w:r w:rsidRPr="004A35F1">
              <w:rPr>
                <w:rFonts w:ascii="AbakuTLSymSans" w:hAnsi="AbakuTLSymSans" w:cs="Arial"/>
                <w:bCs/>
                <w:color w:val="333333"/>
                <w:sz w:val="20"/>
                <w:szCs w:val="20"/>
              </w:rPr>
              <w:t>¨</w:t>
            </w:r>
            <w:r w:rsidR="004A35F1" w:rsidRPr="004A35F1">
              <w:rPr>
                <w:rFonts w:ascii="Century" w:hAnsi="Century"/>
                <w:color w:val="333333"/>
                <w:sz w:val="22"/>
                <w:szCs w:val="22"/>
                <w:lang w:eastAsia="tr-TR"/>
              </w:rPr>
              <w:t>62</w:t>
            </w:r>
            <w:r w:rsidRPr="004A35F1">
              <w:rPr>
                <w:rFonts w:ascii="Century" w:hAnsi="Century"/>
                <w:color w:val="333333"/>
                <w:sz w:val="22"/>
                <w:szCs w:val="22"/>
                <w:lang w:eastAsia="tr-TR"/>
              </w:rPr>
              <w:t>.</w:t>
            </w:r>
            <w:r w:rsidR="004A35F1" w:rsidRPr="004A35F1">
              <w:rPr>
                <w:rFonts w:ascii="Century" w:hAnsi="Century"/>
                <w:color w:val="333333"/>
                <w:sz w:val="22"/>
                <w:szCs w:val="22"/>
                <w:lang w:eastAsia="tr-TR"/>
              </w:rPr>
              <w:t>0</w:t>
            </w:r>
            <w:r w:rsidRPr="004A35F1">
              <w:rPr>
                <w:rFonts w:ascii="Century" w:hAnsi="Century"/>
                <w:color w:val="333333"/>
                <w:sz w:val="22"/>
                <w:szCs w:val="22"/>
                <w:lang w:eastAsia="tr-TR"/>
              </w:rPr>
              <w:t xml:space="preserve"> billion at the end of 201</w:t>
            </w:r>
            <w:r w:rsidR="004A35F1" w:rsidRPr="004A35F1">
              <w:rPr>
                <w:rFonts w:ascii="Century" w:hAnsi="Century"/>
                <w:color w:val="333333"/>
                <w:sz w:val="22"/>
                <w:szCs w:val="22"/>
                <w:lang w:eastAsia="tr-TR"/>
              </w:rPr>
              <w:t>7</w:t>
            </w:r>
            <w:r w:rsidRPr="004A35F1">
              <w:rPr>
                <w:rFonts w:ascii="Century" w:hAnsi="Century"/>
                <w:color w:val="333333"/>
                <w:sz w:val="22"/>
                <w:szCs w:val="22"/>
                <w:lang w:eastAsia="tr-TR"/>
              </w:rPr>
              <w:t xml:space="preserve">. The amount has reached </w:t>
            </w:r>
            <w:r w:rsidRPr="004A35F1">
              <w:rPr>
                <w:rFonts w:ascii="AbakuTLSymSans" w:hAnsi="AbakuTLSymSans" w:cs="Arial"/>
                <w:bCs/>
                <w:color w:val="333333"/>
                <w:sz w:val="20"/>
                <w:szCs w:val="20"/>
              </w:rPr>
              <w:t>¨</w:t>
            </w:r>
            <w:r w:rsidR="00854227" w:rsidRPr="004A35F1">
              <w:rPr>
                <w:rFonts w:ascii="Century" w:hAnsi="Century"/>
                <w:color w:val="333333"/>
                <w:sz w:val="22"/>
                <w:szCs w:val="22"/>
                <w:lang w:eastAsia="tr-TR"/>
              </w:rPr>
              <w:t>6</w:t>
            </w:r>
            <w:r w:rsidR="004A35F1" w:rsidRPr="004A35F1">
              <w:rPr>
                <w:rFonts w:ascii="Century" w:hAnsi="Century"/>
                <w:color w:val="333333"/>
                <w:sz w:val="22"/>
                <w:szCs w:val="22"/>
                <w:lang w:eastAsia="tr-TR"/>
              </w:rPr>
              <w:t>9</w:t>
            </w:r>
            <w:r w:rsidR="00B0092A" w:rsidRPr="004A35F1">
              <w:rPr>
                <w:rFonts w:ascii="Century" w:hAnsi="Century"/>
                <w:color w:val="333333"/>
                <w:sz w:val="22"/>
                <w:szCs w:val="22"/>
                <w:lang w:eastAsia="tr-TR"/>
              </w:rPr>
              <w:t>.</w:t>
            </w:r>
            <w:r w:rsidR="004A35F1" w:rsidRPr="004A35F1">
              <w:rPr>
                <w:rFonts w:ascii="Century" w:hAnsi="Century"/>
                <w:color w:val="333333"/>
                <w:sz w:val="22"/>
                <w:szCs w:val="22"/>
                <w:lang w:eastAsia="tr-TR"/>
              </w:rPr>
              <w:t>5</w:t>
            </w:r>
            <w:r w:rsidR="004C6E58" w:rsidRPr="004A35F1">
              <w:rPr>
                <w:rFonts w:ascii="Century" w:hAnsi="Century"/>
                <w:color w:val="333333"/>
                <w:sz w:val="22"/>
                <w:szCs w:val="22"/>
                <w:lang w:eastAsia="tr-TR"/>
              </w:rPr>
              <w:t xml:space="preserve"> billion </w:t>
            </w:r>
            <w:r w:rsidR="00735694" w:rsidRPr="004A35F1">
              <w:rPr>
                <w:rFonts w:ascii="Century" w:hAnsi="Century"/>
                <w:color w:val="333333"/>
                <w:sz w:val="22"/>
                <w:szCs w:val="22"/>
                <w:lang w:eastAsia="tr-TR"/>
              </w:rPr>
              <w:t xml:space="preserve">with </w:t>
            </w:r>
            <w:r w:rsidR="00CD60D0" w:rsidRPr="004A35F1">
              <w:rPr>
                <w:rFonts w:ascii="Century" w:hAnsi="Century"/>
                <w:color w:val="333333"/>
                <w:sz w:val="22"/>
                <w:szCs w:val="22"/>
                <w:lang w:eastAsia="tr-TR"/>
              </w:rPr>
              <w:t xml:space="preserve">increase of </w:t>
            </w:r>
            <w:r w:rsidR="004A35F1" w:rsidRPr="004A35F1">
              <w:rPr>
                <w:rFonts w:ascii="Century" w:hAnsi="Century"/>
                <w:color w:val="333333"/>
                <w:sz w:val="22"/>
                <w:szCs w:val="22"/>
                <w:lang w:eastAsia="tr-TR"/>
              </w:rPr>
              <w:t>12</w:t>
            </w:r>
            <w:r w:rsidRPr="004A35F1">
              <w:rPr>
                <w:rFonts w:ascii="Century" w:hAnsi="Century"/>
                <w:color w:val="333333"/>
                <w:sz w:val="22"/>
                <w:szCs w:val="22"/>
                <w:lang w:eastAsia="tr-TR"/>
              </w:rPr>
              <w:t>.</w:t>
            </w:r>
            <w:r w:rsidR="004A35F1" w:rsidRPr="004A35F1">
              <w:rPr>
                <w:rFonts w:ascii="Century" w:hAnsi="Century"/>
                <w:color w:val="333333"/>
                <w:sz w:val="22"/>
                <w:szCs w:val="22"/>
                <w:lang w:eastAsia="tr-TR"/>
              </w:rPr>
              <w:t>1</w:t>
            </w:r>
            <w:r w:rsidR="00B57179" w:rsidRPr="004A35F1">
              <w:rPr>
                <w:rFonts w:ascii="Century" w:hAnsi="Century"/>
                <w:bCs/>
                <w:color w:val="333333"/>
                <w:sz w:val="22"/>
                <w:szCs w:val="22"/>
              </w:rPr>
              <w:t>%</w:t>
            </w:r>
            <w:r w:rsidRPr="004A35F1">
              <w:rPr>
                <w:rFonts w:ascii="Century" w:hAnsi="Century"/>
                <w:color w:val="333333"/>
                <w:sz w:val="22"/>
                <w:szCs w:val="22"/>
                <w:lang w:eastAsia="tr-TR"/>
              </w:rPr>
              <w:t xml:space="preserve"> in 201</w:t>
            </w:r>
            <w:r w:rsidR="004A35F1" w:rsidRPr="004A35F1">
              <w:rPr>
                <w:rFonts w:ascii="Century" w:hAnsi="Century"/>
                <w:color w:val="333333"/>
                <w:sz w:val="22"/>
                <w:szCs w:val="22"/>
                <w:lang w:eastAsia="tr-TR"/>
              </w:rPr>
              <w:t>8</w:t>
            </w:r>
            <w:r w:rsidRPr="004A35F1">
              <w:rPr>
                <w:rFonts w:ascii="Century" w:hAnsi="Century"/>
                <w:color w:val="333333"/>
                <w:sz w:val="22"/>
                <w:szCs w:val="22"/>
                <w:lang w:eastAsia="tr-TR"/>
              </w:rPr>
              <w:t xml:space="preserve">. </w:t>
            </w:r>
            <w:r w:rsidR="00FC2A69" w:rsidRPr="004A35F1">
              <w:rPr>
                <w:rFonts w:ascii="Century" w:hAnsi="Century"/>
                <w:color w:val="333333"/>
                <w:sz w:val="22"/>
                <w:szCs w:val="22"/>
                <w:lang w:eastAsia="tr-TR"/>
              </w:rPr>
              <w:t xml:space="preserve">Although </w:t>
            </w:r>
            <w:r w:rsidRPr="004A35F1">
              <w:rPr>
                <w:rFonts w:ascii="AbakuTLSymSans" w:hAnsi="AbakuTLSymSans" w:cs="Arial"/>
                <w:bCs/>
                <w:color w:val="333333"/>
                <w:sz w:val="20"/>
                <w:szCs w:val="20"/>
              </w:rPr>
              <w:t>¨</w:t>
            </w:r>
            <w:r w:rsidR="004A35F1" w:rsidRPr="004A35F1">
              <w:rPr>
                <w:rFonts w:ascii="Century" w:hAnsi="Century"/>
                <w:color w:val="333333"/>
                <w:sz w:val="22"/>
                <w:szCs w:val="22"/>
                <w:lang w:eastAsia="tr-TR"/>
              </w:rPr>
              <w:t>20</w:t>
            </w:r>
            <w:r w:rsidRPr="004A35F1">
              <w:rPr>
                <w:rFonts w:ascii="Century" w:hAnsi="Century"/>
                <w:color w:val="333333"/>
                <w:sz w:val="22"/>
                <w:szCs w:val="22"/>
                <w:lang w:eastAsia="tr-TR"/>
              </w:rPr>
              <w:t>.</w:t>
            </w:r>
            <w:r w:rsidR="004A35F1" w:rsidRPr="004A35F1">
              <w:rPr>
                <w:rFonts w:ascii="Century" w:hAnsi="Century"/>
                <w:color w:val="333333"/>
                <w:sz w:val="22"/>
                <w:szCs w:val="22"/>
                <w:lang w:eastAsia="tr-TR"/>
              </w:rPr>
              <w:t>5</w:t>
            </w:r>
            <w:r w:rsidRPr="004A35F1">
              <w:rPr>
                <w:rFonts w:ascii="Century" w:hAnsi="Century"/>
                <w:color w:val="333333"/>
                <w:sz w:val="22"/>
                <w:szCs w:val="22"/>
                <w:lang w:eastAsia="tr-TR"/>
              </w:rPr>
              <w:t xml:space="preserve"> billion contribution</w:t>
            </w:r>
            <w:r w:rsidR="0041408B" w:rsidRPr="004A35F1">
              <w:rPr>
                <w:rFonts w:ascii="Century" w:hAnsi="Century"/>
                <w:color w:val="333333"/>
                <w:sz w:val="22"/>
                <w:szCs w:val="22"/>
                <w:lang w:eastAsia="tr-TR"/>
              </w:rPr>
              <w:t>s</w:t>
            </w:r>
            <w:r w:rsidRPr="004A35F1">
              <w:rPr>
                <w:rFonts w:ascii="Century" w:hAnsi="Century"/>
                <w:color w:val="333333"/>
                <w:sz w:val="22"/>
                <w:szCs w:val="22"/>
                <w:lang w:eastAsia="tr-TR"/>
              </w:rPr>
              <w:t xml:space="preserve"> </w:t>
            </w:r>
            <w:r w:rsidR="0041408B" w:rsidRPr="004A35F1">
              <w:rPr>
                <w:rFonts w:ascii="Century" w:hAnsi="Century"/>
                <w:color w:val="333333"/>
                <w:sz w:val="22"/>
                <w:szCs w:val="22"/>
                <w:lang w:eastAsia="tr-TR"/>
              </w:rPr>
              <w:t>have</w:t>
            </w:r>
            <w:r w:rsidRPr="004A35F1">
              <w:rPr>
                <w:rFonts w:ascii="Century" w:hAnsi="Century"/>
                <w:color w:val="333333"/>
                <w:sz w:val="22"/>
                <w:szCs w:val="22"/>
                <w:lang w:eastAsia="tr-TR"/>
              </w:rPr>
              <w:t xml:space="preserve"> been collected during 201</w:t>
            </w:r>
            <w:r w:rsidR="004A35F1" w:rsidRPr="004A35F1">
              <w:rPr>
                <w:rFonts w:ascii="Century" w:hAnsi="Century"/>
                <w:color w:val="333333"/>
                <w:sz w:val="22"/>
                <w:szCs w:val="22"/>
                <w:lang w:eastAsia="tr-TR"/>
              </w:rPr>
              <w:t>8</w:t>
            </w:r>
            <w:r w:rsidRPr="004A35F1">
              <w:rPr>
                <w:rFonts w:ascii="Century" w:hAnsi="Century"/>
                <w:color w:val="333333"/>
                <w:sz w:val="22"/>
                <w:szCs w:val="22"/>
                <w:lang w:eastAsia="tr-TR"/>
              </w:rPr>
              <w:t xml:space="preserve">, overall increase in total contributions has been realized less due to </w:t>
            </w:r>
            <w:r w:rsidR="00FC2A69" w:rsidRPr="004A35F1">
              <w:rPr>
                <w:rFonts w:ascii="Century" w:hAnsi="Century"/>
                <w:color w:val="333333"/>
                <w:sz w:val="22"/>
                <w:szCs w:val="22"/>
                <w:lang w:eastAsia="tr-TR"/>
              </w:rPr>
              <w:t xml:space="preserve">the </w:t>
            </w:r>
            <w:r w:rsidRPr="004A35F1">
              <w:rPr>
                <w:rFonts w:ascii="Century" w:hAnsi="Century"/>
                <w:color w:val="333333"/>
                <w:sz w:val="22"/>
                <w:szCs w:val="22"/>
                <w:lang w:eastAsia="tr-TR"/>
              </w:rPr>
              <w:t xml:space="preserve">cancellations and retirements during the year. </w:t>
            </w:r>
          </w:p>
          <w:p w:rsidR="00256814" w:rsidRPr="00B10D90" w:rsidRDefault="00256814" w:rsidP="00BD6C55">
            <w:pPr>
              <w:jc w:val="both"/>
              <w:rPr>
                <w:rFonts w:ascii="Century" w:hAnsi="Century"/>
                <w:color w:val="333333"/>
                <w:sz w:val="22"/>
                <w:szCs w:val="22"/>
                <w:highlight w:val="yellow"/>
                <w:lang w:eastAsia="tr-TR"/>
              </w:rPr>
            </w:pPr>
          </w:p>
          <w:p w:rsidR="00BD6C55" w:rsidRPr="004A35F1" w:rsidRDefault="00993D18" w:rsidP="00BD6C55">
            <w:pPr>
              <w:jc w:val="both"/>
              <w:rPr>
                <w:rFonts w:ascii="Century" w:hAnsi="Century"/>
                <w:color w:val="333333"/>
                <w:sz w:val="22"/>
                <w:szCs w:val="22"/>
                <w:lang w:eastAsia="tr-TR"/>
              </w:rPr>
            </w:pPr>
            <w:r w:rsidRPr="004A35F1">
              <w:rPr>
                <w:rFonts w:ascii="Century" w:hAnsi="Century"/>
                <w:color w:val="333333"/>
                <w:sz w:val="22"/>
                <w:szCs w:val="22"/>
                <w:lang w:eastAsia="tr-TR"/>
              </w:rPr>
              <w:t>In 201</w:t>
            </w:r>
            <w:r w:rsidR="004A35F1" w:rsidRPr="004A35F1">
              <w:rPr>
                <w:rFonts w:ascii="Century" w:hAnsi="Century"/>
                <w:color w:val="333333"/>
                <w:sz w:val="22"/>
                <w:szCs w:val="22"/>
                <w:lang w:eastAsia="tr-TR"/>
              </w:rPr>
              <w:t>8</w:t>
            </w:r>
            <w:r w:rsidRPr="004A35F1">
              <w:rPr>
                <w:rFonts w:ascii="Century" w:hAnsi="Century"/>
                <w:color w:val="333333"/>
                <w:sz w:val="22"/>
                <w:szCs w:val="22"/>
                <w:lang w:eastAsia="tr-TR"/>
              </w:rPr>
              <w:t>, 2</w:t>
            </w:r>
            <w:r w:rsidR="004A35F1" w:rsidRPr="004A35F1">
              <w:rPr>
                <w:rFonts w:ascii="Century" w:hAnsi="Century"/>
                <w:color w:val="333333"/>
                <w:sz w:val="22"/>
                <w:szCs w:val="22"/>
                <w:lang w:eastAsia="tr-TR"/>
              </w:rPr>
              <w:t>2.5</w:t>
            </w:r>
            <w:r w:rsidR="00B57179" w:rsidRPr="004A35F1">
              <w:rPr>
                <w:rFonts w:ascii="Century" w:hAnsi="Century"/>
                <w:bCs/>
                <w:color w:val="333333"/>
                <w:sz w:val="22"/>
                <w:szCs w:val="22"/>
              </w:rPr>
              <w:t>%</w:t>
            </w:r>
            <w:r w:rsidRPr="004A35F1">
              <w:rPr>
                <w:rFonts w:ascii="Century" w:hAnsi="Century"/>
                <w:color w:val="333333"/>
                <w:sz w:val="22"/>
                <w:szCs w:val="22"/>
                <w:lang w:eastAsia="tr-TR"/>
              </w:rPr>
              <w:t xml:space="preserve"> of </w:t>
            </w:r>
            <w:r w:rsidR="00FC2A69" w:rsidRPr="004A35F1">
              <w:rPr>
                <w:rFonts w:ascii="Century" w:hAnsi="Century"/>
                <w:color w:val="333333"/>
                <w:sz w:val="22"/>
                <w:szCs w:val="22"/>
                <w:lang w:eastAsia="tr-TR"/>
              </w:rPr>
              <w:t xml:space="preserve">the </w:t>
            </w:r>
            <w:r w:rsidRPr="004A35F1">
              <w:rPr>
                <w:rFonts w:ascii="Century" w:hAnsi="Century"/>
                <w:color w:val="333333"/>
                <w:sz w:val="22"/>
                <w:szCs w:val="22"/>
                <w:lang w:eastAsia="tr-TR"/>
              </w:rPr>
              <w:t xml:space="preserve">total contribution has belonged to the new contracts while the remaining part </w:t>
            </w:r>
            <w:r w:rsidR="0041408B" w:rsidRPr="004A35F1">
              <w:rPr>
                <w:rFonts w:ascii="Century" w:hAnsi="Century"/>
                <w:color w:val="333333"/>
                <w:sz w:val="22"/>
                <w:szCs w:val="22"/>
                <w:lang w:eastAsia="tr-TR"/>
              </w:rPr>
              <w:t xml:space="preserve">has </w:t>
            </w:r>
            <w:r w:rsidRPr="004A35F1">
              <w:rPr>
                <w:rFonts w:ascii="Century" w:hAnsi="Century"/>
                <w:color w:val="333333"/>
                <w:sz w:val="22"/>
                <w:szCs w:val="22"/>
                <w:lang w:eastAsia="tr-TR"/>
              </w:rPr>
              <w:t>stem</w:t>
            </w:r>
            <w:r w:rsidR="0041408B" w:rsidRPr="004A35F1">
              <w:rPr>
                <w:rFonts w:ascii="Century" w:hAnsi="Century"/>
                <w:color w:val="333333"/>
                <w:sz w:val="22"/>
                <w:szCs w:val="22"/>
                <w:lang w:eastAsia="tr-TR"/>
              </w:rPr>
              <w:t>ed</w:t>
            </w:r>
            <w:r w:rsidRPr="004A35F1">
              <w:rPr>
                <w:rFonts w:ascii="Century" w:hAnsi="Century"/>
                <w:color w:val="333333"/>
                <w:sz w:val="22"/>
                <w:szCs w:val="22"/>
                <w:lang w:eastAsia="tr-TR"/>
              </w:rPr>
              <w:t xml:space="preserve"> from </w:t>
            </w:r>
            <w:r w:rsidR="00FC2A69" w:rsidRPr="004A35F1">
              <w:rPr>
                <w:rFonts w:ascii="Century" w:hAnsi="Century"/>
                <w:color w:val="333333"/>
                <w:sz w:val="22"/>
                <w:szCs w:val="22"/>
                <w:lang w:eastAsia="tr-TR"/>
              </w:rPr>
              <w:t xml:space="preserve">the </w:t>
            </w:r>
            <w:r w:rsidRPr="004A35F1">
              <w:rPr>
                <w:rFonts w:ascii="Century" w:hAnsi="Century"/>
                <w:color w:val="333333"/>
                <w:sz w:val="22"/>
                <w:szCs w:val="22"/>
                <w:lang w:eastAsia="tr-TR"/>
              </w:rPr>
              <w:t xml:space="preserve">previous years’ contracts </w:t>
            </w:r>
            <w:r w:rsidR="0041408B" w:rsidRPr="004A35F1">
              <w:rPr>
                <w:rFonts w:ascii="Century" w:hAnsi="Century"/>
                <w:color w:val="333333"/>
                <w:sz w:val="22"/>
                <w:szCs w:val="22"/>
                <w:lang w:eastAsia="tr-TR"/>
              </w:rPr>
              <w:t>and has been</w:t>
            </w:r>
            <w:r w:rsidRPr="004A35F1">
              <w:rPr>
                <w:rFonts w:ascii="Century" w:hAnsi="Century"/>
                <w:color w:val="333333"/>
                <w:sz w:val="22"/>
                <w:szCs w:val="22"/>
                <w:lang w:eastAsia="tr-TR"/>
              </w:rPr>
              <w:t xml:space="preserve"> paid by former participants.</w:t>
            </w:r>
          </w:p>
          <w:p w:rsidR="0055591C" w:rsidRPr="00B10D90" w:rsidRDefault="0055591C" w:rsidP="002F57F0">
            <w:pPr>
              <w:jc w:val="both"/>
              <w:rPr>
                <w:rFonts w:ascii="Century" w:hAnsi="Century"/>
                <w:color w:val="333333"/>
                <w:sz w:val="22"/>
                <w:szCs w:val="22"/>
                <w:highlight w:val="yellow"/>
                <w:lang w:eastAsia="tr-TR"/>
              </w:rPr>
            </w:pPr>
          </w:p>
          <w:p w:rsidR="007B016D" w:rsidRPr="004A35F1" w:rsidRDefault="00993D18" w:rsidP="002F57F0">
            <w:pPr>
              <w:jc w:val="both"/>
              <w:rPr>
                <w:rFonts w:ascii="Century" w:hAnsi="Century"/>
                <w:color w:val="333333"/>
                <w:sz w:val="22"/>
                <w:szCs w:val="22"/>
                <w:lang w:eastAsia="tr-TR"/>
              </w:rPr>
            </w:pPr>
            <w:r w:rsidRPr="004A35F1">
              <w:rPr>
                <w:rFonts w:ascii="Century" w:hAnsi="Century"/>
                <w:color w:val="333333"/>
                <w:sz w:val="22"/>
                <w:szCs w:val="22"/>
                <w:lang w:eastAsia="tr-TR"/>
              </w:rPr>
              <w:t xml:space="preserve">On the other hand, total accumulated fund in the system has recorded a </w:t>
            </w:r>
            <w:r w:rsidR="004A35F1" w:rsidRPr="004A35F1">
              <w:rPr>
                <w:rFonts w:ascii="Century" w:hAnsi="Century"/>
                <w:color w:val="333333"/>
                <w:sz w:val="22"/>
                <w:szCs w:val="22"/>
                <w:lang w:eastAsia="tr-TR"/>
              </w:rPr>
              <w:t>13</w:t>
            </w:r>
            <w:proofErr w:type="gramStart"/>
            <w:r w:rsidR="001B2936" w:rsidRPr="004A35F1">
              <w:rPr>
                <w:rFonts w:ascii="Century" w:hAnsi="Century"/>
                <w:color w:val="333333"/>
                <w:sz w:val="22"/>
                <w:szCs w:val="22"/>
                <w:lang w:eastAsia="tr-TR"/>
              </w:rPr>
              <w:t>,8</w:t>
            </w:r>
            <w:proofErr w:type="gramEnd"/>
            <w:r w:rsidR="00B57179" w:rsidRPr="004A35F1">
              <w:rPr>
                <w:rFonts w:ascii="Century" w:hAnsi="Century"/>
                <w:bCs/>
                <w:color w:val="333333"/>
                <w:sz w:val="22"/>
                <w:szCs w:val="22"/>
              </w:rPr>
              <w:t>%</w:t>
            </w:r>
            <w:r w:rsidRPr="004A35F1">
              <w:rPr>
                <w:rFonts w:ascii="Century" w:hAnsi="Century"/>
                <w:color w:val="333333"/>
                <w:sz w:val="22"/>
                <w:szCs w:val="22"/>
                <w:lang w:eastAsia="tr-TR"/>
              </w:rPr>
              <w:t xml:space="preserve"> growth rate and reached </w:t>
            </w:r>
            <w:r w:rsidRPr="004A35F1">
              <w:rPr>
                <w:rFonts w:ascii="AbakuTLSymSans" w:hAnsi="AbakuTLSymSans"/>
                <w:color w:val="333333"/>
                <w:sz w:val="22"/>
                <w:szCs w:val="22"/>
                <w:lang w:eastAsia="tr-TR"/>
              </w:rPr>
              <w:t>¨</w:t>
            </w:r>
            <w:r w:rsidR="004A35F1" w:rsidRPr="004A35F1">
              <w:rPr>
                <w:rFonts w:ascii="Century" w:hAnsi="Century"/>
                <w:color w:val="333333"/>
                <w:sz w:val="22"/>
                <w:szCs w:val="22"/>
                <w:lang w:eastAsia="tr-TR"/>
              </w:rPr>
              <w:t>88</w:t>
            </w:r>
            <w:r w:rsidRPr="004A35F1">
              <w:rPr>
                <w:rFonts w:ascii="Century" w:hAnsi="Century"/>
                <w:color w:val="333333"/>
                <w:sz w:val="22"/>
                <w:szCs w:val="22"/>
                <w:lang w:eastAsia="tr-TR"/>
              </w:rPr>
              <w:t>.</w:t>
            </w:r>
            <w:r w:rsidR="004A35F1" w:rsidRPr="004A35F1">
              <w:rPr>
                <w:rFonts w:ascii="Century" w:hAnsi="Century"/>
                <w:color w:val="333333"/>
                <w:sz w:val="22"/>
                <w:szCs w:val="22"/>
                <w:lang w:eastAsia="tr-TR"/>
              </w:rPr>
              <w:t>4</w:t>
            </w:r>
            <w:r w:rsidRPr="004A35F1">
              <w:rPr>
                <w:rFonts w:ascii="Century" w:hAnsi="Century"/>
                <w:color w:val="333333"/>
                <w:sz w:val="22"/>
                <w:szCs w:val="22"/>
                <w:lang w:eastAsia="tr-TR"/>
              </w:rPr>
              <w:t xml:space="preserve"> billion at the end of 201</w:t>
            </w:r>
            <w:r w:rsidR="004A35F1" w:rsidRPr="004A35F1">
              <w:rPr>
                <w:rFonts w:ascii="Century" w:hAnsi="Century"/>
                <w:color w:val="333333"/>
                <w:sz w:val="22"/>
                <w:szCs w:val="22"/>
                <w:lang w:eastAsia="tr-TR"/>
              </w:rPr>
              <w:t>8</w:t>
            </w:r>
            <w:r w:rsidRPr="004A35F1">
              <w:rPr>
                <w:rFonts w:ascii="Century" w:hAnsi="Century"/>
                <w:color w:val="333333"/>
                <w:sz w:val="22"/>
                <w:szCs w:val="22"/>
                <w:lang w:eastAsia="tr-TR"/>
              </w:rPr>
              <w:t>.</w:t>
            </w:r>
          </w:p>
          <w:p w:rsidR="00D45F54" w:rsidRPr="00B10D90" w:rsidRDefault="00D45F54" w:rsidP="002F57F0">
            <w:pPr>
              <w:jc w:val="both"/>
              <w:rPr>
                <w:rFonts w:ascii="Century" w:hAnsi="Century"/>
                <w:color w:val="333333"/>
                <w:sz w:val="22"/>
                <w:szCs w:val="22"/>
                <w:highlight w:val="yellow"/>
              </w:rPr>
            </w:pPr>
          </w:p>
          <w:p w:rsidR="002F57F0" w:rsidRPr="004A35F1" w:rsidRDefault="002F57F0" w:rsidP="002F57F0">
            <w:pPr>
              <w:jc w:val="both"/>
              <w:rPr>
                <w:rFonts w:ascii="Century" w:hAnsi="Century"/>
                <w:color w:val="333333"/>
                <w:sz w:val="22"/>
                <w:szCs w:val="22"/>
              </w:rPr>
            </w:pPr>
            <w:r w:rsidRPr="004A35F1">
              <w:rPr>
                <w:rFonts w:ascii="Century" w:hAnsi="Century"/>
                <w:color w:val="333333"/>
                <w:sz w:val="22"/>
                <w:szCs w:val="22"/>
              </w:rPr>
              <w:t xml:space="preserve">The following table and graph </w:t>
            </w:r>
            <w:r w:rsidR="00735694" w:rsidRPr="004A35F1">
              <w:rPr>
                <w:rFonts w:ascii="Century" w:hAnsi="Century"/>
                <w:color w:val="333333"/>
                <w:sz w:val="22"/>
                <w:szCs w:val="22"/>
              </w:rPr>
              <w:t>re</w:t>
            </w:r>
            <w:r w:rsidRPr="004A35F1">
              <w:rPr>
                <w:rFonts w:ascii="Century" w:hAnsi="Century"/>
                <w:color w:val="333333"/>
                <w:sz w:val="22"/>
                <w:szCs w:val="22"/>
              </w:rPr>
              <w:t>present the annual contribution amount and total accumulated funds for the last five years.</w:t>
            </w:r>
          </w:p>
          <w:p w:rsidR="002F57F0" w:rsidRPr="00B10D90" w:rsidRDefault="002F57F0" w:rsidP="005D2EDF">
            <w:pPr>
              <w:jc w:val="both"/>
              <w:rPr>
                <w:rFonts w:ascii="Century" w:hAnsi="Century"/>
                <w:color w:val="333333"/>
                <w:sz w:val="22"/>
                <w:szCs w:val="22"/>
                <w:highlight w:val="yellow"/>
              </w:rPr>
            </w:pPr>
          </w:p>
        </w:tc>
      </w:tr>
      <w:tr w:rsidR="002F57F0" w:rsidRPr="00B10D90" w:rsidTr="00441D50">
        <w:trPr>
          <w:gridAfter w:val="2"/>
          <w:wAfter w:w="38" w:type="dxa"/>
          <w:trHeight w:val="2371"/>
        </w:trPr>
        <w:tc>
          <w:tcPr>
            <w:tcW w:w="9820" w:type="dxa"/>
            <w:gridSpan w:val="14"/>
          </w:tcPr>
          <w:p w:rsidR="002F57F0" w:rsidRPr="004A35F1" w:rsidRDefault="00C6234F" w:rsidP="002F57F0">
            <w:pPr>
              <w:jc w:val="center"/>
              <w:rPr>
                <w:rFonts w:ascii="Century" w:hAnsi="Century"/>
                <w:b/>
                <w:color w:val="000080"/>
                <w:sz w:val="20"/>
                <w:szCs w:val="20"/>
              </w:rPr>
            </w:pPr>
            <w:r w:rsidRPr="004A35F1">
              <w:rPr>
                <w:rFonts w:ascii="Century" w:hAnsi="Century"/>
                <w:b/>
                <w:color w:val="000080"/>
                <w:sz w:val="20"/>
                <w:szCs w:val="20"/>
              </w:rPr>
              <w:t>Tablo 1.2</w:t>
            </w:r>
            <w:r w:rsidR="002F57F0" w:rsidRPr="004A35F1">
              <w:rPr>
                <w:rFonts w:ascii="Century" w:hAnsi="Century"/>
                <w:b/>
                <w:color w:val="000080"/>
                <w:sz w:val="20"/>
                <w:szCs w:val="20"/>
              </w:rPr>
              <w:t>.</w:t>
            </w:r>
            <w:r w:rsidR="00316147" w:rsidRPr="004A35F1">
              <w:rPr>
                <w:rFonts w:ascii="Century" w:hAnsi="Century"/>
                <w:b/>
                <w:color w:val="000080"/>
                <w:sz w:val="20"/>
                <w:szCs w:val="20"/>
              </w:rPr>
              <w:t>2</w:t>
            </w:r>
            <w:r w:rsidR="002F57F0" w:rsidRPr="004A35F1">
              <w:rPr>
                <w:rFonts w:ascii="Century" w:hAnsi="Century"/>
                <w:b/>
                <w:color w:val="000080"/>
                <w:sz w:val="20"/>
                <w:szCs w:val="20"/>
              </w:rPr>
              <w:t xml:space="preserve">: Son Beş Yıla İlişkin Katkı Payı ve </w:t>
            </w:r>
            <w:r w:rsidR="00EA2E5C" w:rsidRPr="004A35F1">
              <w:rPr>
                <w:rFonts w:ascii="Century" w:hAnsi="Century"/>
                <w:b/>
                <w:color w:val="000080"/>
                <w:sz w:val="20"/>
                <w:szCs w:val="20"/>
              </w:rPr>
              <w:t xml:space="preserve">Fon </w:t>
            </w:r>
            <w:r w:rsidR="002F57F0" w:rsidRPr="004A35F1">
              <w:rPr>
                <w:rFonts w:ascii="Century" w:hAnsi="Century"/>
                <w:b/>
                <w:color w:val="000080"/>
                <w:sz w:val="20"/>
                <w:szCs w:val="20"/>
              </w:rPr>
              <w:t>Tutarları</w:t>
            </w:r>
          </w:p>
          <w:p w:rsidR="002F57F0" w:rsidRPr="004A35F1" w:rsidRDefault="002F57F0" w:rsidP="001E6A76">
            <w:pPr>
              <w:jc w:val="center"/>
              <w:rPr>
                <w:rFonts w:ascii="Century" w:hAnsi="Century"/>
                <w:i/>
                <w:color w:val="000080"/>
                <w:sz w:val="20"/>
                <w:szCs w:val="20"/>
              </w:rPr>
            </w:pPr>
            <w:r w:rsidRPr="004A35F1">
              <w:rPr>
                <w:rFonts w:ascii="Century" w:hAnsi="Century"/>
                <w:i/>
                <w:color w:val="000080"/>
                <w:sz w:val="20"/>
                <w:szCs w:val="20"/>
              </w:rPr>
              <w:t>Contribution and Funds in the Last Five Years</w:t>
            </w:r>
          </w:p>
          <w:p w:rsidR="001E6A76" w:rsidRPr="00B10D90" w:rsidRDefault="004A35F1" w:rsidP="001E6A76">
            <w:pPr>
              <w:jc w:val="center"/>
              <w:rPr>
                <w:rFonts w:ascii="Century" w:hAnsi="Century"/>
                <w:color w:val="000080"/>
                <w:sz w:val="22"/>
                <w:szCs w:val="22"/>
                <w:highlight w:val="yellow"/>
              </w:rPr>
            </w:pPr>
            <w:r>
              <w:rPr>
                <w:rFonts w:ascii="Century" w:hAnsi="Century"/>
                <w:noProof/>
                <w:color w:val="000080"/>
                <w:sz w:val="22"/>
                <w:szCs w:val="22"/>
              </w:rPr>
              <w:drawing>
                <wp:inline distT="0" distB="0" distL="0" distR="0" wp14:anchorId="5C2B07B8" wp14:editId="79D40517">
                  <wp:extent cx="6098540" cy="2146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540" cy="2146935"/>
                          </a:xfrm>
                          <a:prstGeom prst="rect">
                            <a:avLst/>
                          </a:prstGeom>
                          <a:noFill/>
                          <a:ln>
                            <a:noFill/>
                          </a:ln>
                        </pic:spPr>
                      </pic:pic>
                    </a:graphicData>
                  </a:graphic>
                </wp:inline>
              </w:drawing>
            </w:r>
          </w:p>
        </w:tc>
      </w:tr>
      <w:tr w:rsidR="00C85053" w:rsidRPr="00B10D90" w:rsidTr="00441D50">
        <w:tblPrEx>
          <w:tblCellMar>
            <w:left w:w="70" w:type="dxa"/>
            <w:right w:w="70" w:type="dxa"/>
          </w:tblCellMar>
        </w:tblPrEx>
        <w:trPr>
          <w:trHeight w:val="4302"/>
        </w:trPr>
        <w:tc>
          <w:tcPr>
            <w:tcW w:w="9858" w:type="dxa"/>
            <w:gridSpan w:val="16"/>
          </w:tcPr>
          <w:p w:rsidR="00C85053" w:rsidRPr="00EF3352" w:rsidRDefault="00C6234F" w:rsidP="002F57F0">
            <w:pPr>
              <w:jc w:val="center"/>
              <w:rPr>
                <w:rFonts w:ascii="Century" w:hAnsi="Century"/>
                <w:b/>
                <w:color w:val="000080"/>
                <w:sz w:val="20"/>
                <w:szCs w:val="20"/>
              </w:rPr>
            </w:pPr>
            <w:r w:rsidRPr="00EF3352">
              <w:rPr>
                <w:rFonts w:ascii="Century" w:hAnsi="Century"/>
                <w:b/>
                <w:color w:val="000080"/>
                <w:sz w:val="20"/>
                <w:szCs w:val="20"/>
              </w:rPr>
              <w:lastRenderedPageBreak/>
              <w:t>Grafik 1.2</w:t>
            </w:r>
            <w:r w:rsidR="00C85053" w:rsidRPr="00EF3352">
              <w:rPr>
                <w:rFonts w:ascii="Century" w:hAnsi="Century"/>
                <w:b/>
                <w:color w:val="000080"/>
                <w:sz w:val="20"/>
                <w:szCs w:val="20"/>
              </w:rPr>
              <w:t>.1: Bireysel Emeklilik Sisteminde Katkı Payı ve Birikim Tutarı Seyri</w:t>
            </w:r>
          </w:p>
          <w:p w:rsidR="00C85053" w:rsidRPr="00EF3352" w:rsidRDefault="00EE6D18" w:rsidP="002F57F0">
            <w:pPr>
              <w:jc w:val="center"/>
              <w:rPr>
                <w:rFonts w:ascii="Century" w:hAnsi="Century"/>
                <w:i/>
                <w:color w:val="000080"/>
                <w:sz w:val="20"/>
                <w:szCs w:val="20"/>
              </w:rPr>
            </w:pPr>
            <w:r w:rsidRPr="00EF3352">
              <w:rPr>
                <w:rFonts w:ascii="Century" w:hAnsi="Century"/>
                <w:i/>
                <w:color w:val="000080"/>
                <w:sz w:val="20"/>
                <w:szCs w:val="20"/>
              </w:rPr>
              <w:t>Development</w:t>
            </w:r>
            <w:r w:rsidR="00C85053" w:rsidRPr="00EF3352">
              <w:rPr>
                <w:rFonts w:ascii="Century" w:hAnsi="Century"/>
                <w:i/>
                <w:color w:val="000080"/>
                <w:sz w:val="20"/>
                <w:szCs w:val="20"/>
              </w:rPr>
              <w:t xml:space="preserve"> of Contribution Amount and Accumulated Funds in </w:t>
            </w:r>
            <w:r w:rsidR="0023565B" w:rsidRPr="00EF3352">
              <w:rPr>
                <w:rFonts w:ascii="Century" w:hAnsi="Century"/>
                <w:i/>
                <w:color w:val="000080"/>
                <w:sz w:val="20"/>
                <w:szCs w:val="20"/>
              </w:rPr>
              <w:t>Private</w:t>
            </w:r>
            <w:r w:rsidR="00C85053" w:rsidRPr="00EF3352">
              <w:rPr>
                <w:rFonts w:ascii="Century" w:hAnsi="Century"/>
                <w:i/>
                <w:color w:val="000080"/>
                <w:sz w:val="20"/>
                <w:szCs w:val="20"/>
              </w:rPr>
              <w:t xml:space="preserve"> Pension System</w:t>
            </w:r>
          </w:p>
          <w:p w:rsidR="00C85053" w:rsidRPr="00EF3352" w:rsidRDefault="00FC3208" w:rsidP="002F57F0">
            <w:pPr>
              <w:jc w:val="center"/>
              <w:rPr>
                <w:rFonts w:ascii="Century" w:hAnsi="Century"/>
                <w:color w:val="000080"/>
                <w:sz w:val="20"/>
                <w:szCs w:val="20"/>
              </w:rPr>
            </w:pPr>
            <w:r w:rsidRPr="00EF3352">
              <w:rPr>
                <w:rFonts w:ascii="Century" w:hAnsi="Century"/>
                <w:color w:val="000080"/>
                <w:sz w:val="20"/>
                <w:szCs w:val="20"/>
              </w:rPr>
              <w:t xml:space="preserve">(Milyon / </w:t>
            </w:r>
            <w:r w:rsidRPr="00EF3352">
              <w:rPr>
                <w:rFonts w:ascii="Century" w:hAnsi="Century"/>
                <w:i/>
                <w:color w:val="000080"/>
                <w:sz w:val="20"/>
                <w:szCs w:val="20"/>
              </w:rPr>
              <w:t>Million</w:t>
            </w:r>
            <w:r w:rsidRPr="00EF3352">
              <w:rPr>
                <w:rFonts w:ascii="Century" w:hAnsi="Century"/>
                <w:color w:val="000080"/>
                <w:sz w:val="20"/>
                <w:szCs w:val="20"/>
              </w:rPr>
              <w:t xml:space="preserve"> </w:t>
            </w:r>
            <w:r w:rsidRPr="00EF3352">
              <w:rPr>
                <w:rFonts w:ascii="AbakuTLSymSans" w:hAnsi="AbakuTLSymSans" w:cs="Arial"/>
                <w:bCs/>
                <w:color w:val="090294"/>
                <w:sz w:val="20"/>
                <w:szCs w:val="20"/>
              </w:rPr>
              <w:t>¨</w:t>
            </w:r>
            <w:r w:rsidR="00C85053" w:rsidRPr="00EF3352">
              <w:rPr>
                <w:rFonts w:ascii="Century" w:hAnsi="Century"/>
                <w:color w:val="000080"/>
                <w:sz w:val="20"/>
                <w:szCs w:val="20"/>
              </w:rPr>
              <w:t>)</w:t>
            </w:r>
          </w:p>
          <w:p w:rsidR="00814FDD" w:rsidRPr="00B10D90" w:rsidRDefault="00EF3352" w:rsidP="002F57F0">
            <w:pPr>
              <w:jc w:val="center"/>
              <w:rPr>
                <w:rFonts w:ascii="Century" w:hAnsi="Century"/>
                <w:color w:val="000080"/>
                <w:sz w:val="20"/>
                <w:szCs w:val="20"/>
                <w:highlight w:val="yellow"/>
              </w:rPr>
            </w:pPr>
            <w:r>
              <w:rPr>
                <w:rFonts w:ascii="Century" w:hAnsi="Century"/>
                <w:noProof/>
                <w:color w:val="000080"/>
                <w:sz w:val="20"/>
                <w:szCs w:val="20"/>
              </w:rPr>
              <w:drawing>
                <wp:inline distT="0" distB="0" distL="0" distR="0" wp14:anchorId="55D44F19" wp14:editId="4CEB42C8">
                  <wp:extent cx="6162675" cy="238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0295" cy="2384195"/>
                          </a:xfrm>
                          <a:prstGeom prst="rect">
                            <a:avLst/>
                          </a:prstGeom>
                          <a:noFill/>
                          <a:ln>
                            <a:noFill/>
                          </a:ln>
                        </pic:spPr>
                      </pic:pic>
                    </a:graphicData>
                  </a:graphic>
                </wp:inline>
              </w:drawing>
            </w:r>
          </w:p>
          <w:p w:rsidR="00532BD6" w:rsidRPr="00B10D90" w:rsidRDefault="00532BD6" w:rsidP="009C6DD2">
            <w:pPr>
              <w:jc w:val="center"/>
              <w:rPr>
                <w:rFonts w:ascii="Century" w:hAnsi="Century"/>
                <w:color w:val="333333"/>
                <w:sz w:val="22"/>
                <w:szCs w:val="22"/>
                <w:highlight w:val="yellow"/>
              </w:rPr>
            </w:pPr>
          </w:p>
        </w:tc>
      </w:tr>
      <w:tr w:rsidR="00C85053" w:rsidRPr="00B10D90" w:rsidTr="00441D50">
        <w:trPr>
          <w:gridAfter w:val="2"/>
          <w:wAfter w:w="38" w:type="dxa"/>
          <w:trHeight w:val="426"/>
        </w:trPr>
        <w:tc>
          <w:tcPr>
            <w:tcW w:w="4817" w:type="dxa"/>
            <w:gridSpan w:val="2"/>
          </w:tcPr>
          <w:p w:rsidR="00B644E5" w:rsidRPr="0090495F" w:rsidRDefault="009D7222" w:rsidP="006E0753">
            <w:pPr>
              <w:jc w:val="both"/>
              <w:rPr>
                <w:rFonts w:ascii="Century" w:hAnsi="Century"/>
                <w:sz w:val="22"/>
                <w:szCs w:val="22"/>
              </w:rPr>
            </w:pPr>
            <w:r w:rsidRPr="0090495F">
              <w:rPr>
                <w:rFonts w:ascii="Century" w:hAnsi="Century"/>
                <w:sz w:val="22"/>
                <w:szCs w:val="22"/>
              </w:rPr>
              <w:t xml:space="preserve">Son beş yıllık dönemde </w:t>
            </w:r>
            <w:r w:rsidR="00C85053" w:rsidRPr="0090495F">
              <w:rPr>
                <w:rFonts w:ascii="Century" w:hAnsi="Century"/>
                <w:sz w:val="22"/>
                <w:szCs w:val="22"/>
              </w:rPr>
              <w:t xml:space="preserve">bireysel emeklilik sisteminde </w:t>
            </w:r>
            <w:r w:rsidR="00653B54" w:rsidRPr="0090495F">
              <w:rPr>
                <w:rFonts w:ascii="Century" w:hAnsi="Century"/>
                <w:sz w:val="22"/>
                <w:szCs w:val="22"/>
              </w:rPr>
              <w:t>biriken</w:t>
            </w:r>
            <w:r w:rsidR="009C6DD2" w:rsidRPr="0090495F">
              <w:rPr>
                <w:rFonts w:ascii="Century" w:hAnsi="Century"/>
                <w:sz w:val="22"/>
                <w:szCs w:val="22"/>
              </w:rPr>
              <w:t xml:space="preserve"> fonlar</w:t>
            </w:r>
            <w:r w:rsidR="00C85053" w:rsidRPr="0090495F">
              <w:rPr>
                <w:rFonts w:ascii="Century" w:hAnsi="Century"/>
                <w:sz w:val="22"/>
                <w:szCs w:val="22"/>
              </w:rPr>
              <w:t xml:space="preserve"> h</w:t>
            </w:r>
            <w:r w:rsidR="00B727E5" w:rsidRPr="0090495F">
              <w:rPr>
                <w:rFonts w:ascii="Century" w:hAnsi="Century"/>
                <w:sz w:val="22"/>
                <w:szCs w:val="22"/>
              </w:rPr>
              <w:t>ızla artmakta</w:t>
            </w:r>
            <w:r w:rsidR="009C6DD2" w:rsidRPr="0090495F">
              <w:rPr>
                <w:rFonts w:ascii="Century" w:hAnsi="Century"/>
                <w:sz w:val="22"/>
                <w:szCs w:val="22"/>
              </w:rPr>
              <w:t>dır. B</w:t>
            </w:r>
            <w:r w:rsidR="00DD6FFC" w:rsidRPr="0090495F">
              <w:rPr>
                <w:rFonts w:ascii="Century" w:hAnsi="Century"/>
                <w:sz w:val="22"/>
                <w:szCs w:val="22"/>
              </w:rPr>
              <w:t xml:space="preserve">una karşılık </w:t>
            </w:r>
            <w:r w:rsidR="009C6DD2" w:rsidRPr="0090495F">
              <w:rPr>
                <w:rFonts w:ascii="Century" w:hAnsi="Century"/>
                <w:sz w:val="22"/>
                <w:szCs w:val="22"/>
              </w:rPr>
              <w:t>bireysel emekliliğin yürürlüğe gir</w:t>
            </w:r>
            <w:r w:rsidR="009F5ED4" w:rsidRPr="0090495F">
              <w:rPr>
                <w:rFonts w:ascii="Century" w:hAnsi="Century"/>
                <w:sz w:val="22"/>
                <w:szCs w:val="22"/>
              </w:rPr>
              <w:t>mesini takiben</w:t>
            </w:r>
            <w:r w:rsidR="00993D18" w:rsidRPr="0090495F">
              <w:rPr>
                <w:rFonts w:ascii="Century" w:hAnsi="Century"/>
                <w:sz w:val="22"/>
                <w:szCs w:val="22"/>
              </w:rPr>
              <w:t xml:space="preserve"> uzun süreli</w:t>
            </w:r>
            <w:r w:rsidR="009F5ED4" w:rsidRPr="0090495F">
              <w:rPr>
                <w:rFonts w:ascii="Century" w:hAnsi="Century"/>
                <w:sz w:val="22"/>
                <w:szCs w:val="22"/>
              </w:rPr>
              <w:t xml:space="preserve"> </w:t>
            </w:r>
            <w:r w:rsidR="00F8502A" w:rsidRPr="0090495F">
              <w:rPr>
                <w:rFonts w:ascii="Century" w:hAnsi="Century"/>
                <w:sz w:val="22"/>
                <w:szCs w:val="22"/>
              </w:rPr>
              <w:t>hayat sigorta</w:t>
            </w:r>
            <w:r w:rsidR="00993D18" w:rsidRPr="0090495F">
              <w:rPr>
                <w:rFonts w:ascii="Century" w:hAnsi="Century"/>
                <w:sz w:val="22"/>
                <w:szCs w:val="22"/>
              </w:rPr>
              <w:t>ları</w:t>
            </w:r>
            <w:r w:rsidR="0041408B" w:rsidRPr="0090495F">
              <w:rPr>
                <w:rFonts w:ascii="Century" w:hAnsi="Century"/>
                <w:sz w:val="22"/>
                <w:szCs w:val="22"/>
              </w:rPr>
              <w:t>na ait</w:t>
            </w:r>
            <w:r w:rsidR="0065384D" w:rsidRPr="0090495F">
              <w:rPr>
                <w:rFonts w:ascii="Century" w:hAnsi="Century"/>
                <w:sz w:val="22"/>
                <w:szCs w:val="22"/>
              </w:rPr>
              <w:t xml:space="preserve"> birikim tutarı</w:t>
            </w:r>
            <w:r w:rsidR="00917A63" w:rsidRPr="0090495F">
              <w:rPr>
                <w:rFonts w:ascii="Century" w:hAnsi="Century"/>
                <w:sz w:val="22"/>
                <w:szCs w:val="22"/>
              </w:rPr>
              <w:t xml:space="preserve">nda başlayan düşüş trendi </w:t>
            </w:r>
            <w:r w:rsidR="009F5ED4" w:rsidRPr="0090495F">
              <w:rPr>
                <w:rFonts w:ascii="Century" w:hAnsi="Century"/>
                <w:sz w:val="22"/>
                <w:szCs w:val="22"/>
              </w:rPr>
              <w:t>201</w:t>
            </w:r>
            <w:r w:rsidR="00D84467" w:rsidRPr="0090495F">
              <w:rPr>
                <w:rFonts w:ascii="Century" w:hAnsi="Century"/>
                <w:sz w:val="22"/>
                <w:szCs w:val="22"/>
              </w:rPr>
              <w:t>6</w:t>
            </w:r>
            <w:r w:rsidR="009F5ED4" w:rsidRPr="0090495F">
              <w:rPr>
                <w:rFonts w:ascii="Century" w:hAnsi="Century"/>
                <w:sz w:val="22"/>
                <w:szCs w:val="22"/>
              </w:rPr>
              <w:t xml:space="preserve"> yılın</w:t>
            </w:r>
            <w:r w:rsidR="00A74392" w:rsidRPr="0090495F">
              <w:rPr>
                <w:rFonts w:ascii="Century" w:hAnsi="Century"/>
                <w:sz w:val="22"/>
                <w:szCs w:val="22"/>
              </w:rPr>
              <w:t>a kadar devam etmiş, 2016</w:t>
            </w:r>
            <w:r w:rsidR="00EF3352" w:rsidRPr="0090495F">
              <w:rPr>
                <w:rFonts w:ascii="Century" w:hAnsi="Century"/>
                <w:sz w:val="22"/>
                <w:szCs w:val="22"/>
              </w:rPr>
              <w:t xml:space="preserve"> yılından sonra çok düşük oranlarda artmaya başlamıştır. </w:t>
            </w:r>
          </w:p>
          <w:p w:rsidR="00EF3352" w:rsidRPr="0090495F" w:rsidRDefault="00EF3352" w:rsidP="006E0753">
            <w:pPr>
              <w:jc w:val="both"/>
              <w:rPr>
                <w:rFonts w:ascii="Century" w:hAnsi="Century"/>
                <w:sz w:val="22"/>
                <w:szCs w:val="22"/>
              </w:rPr>
            </w:pPr>
          </w:p>
          <w:p w:rsidR="00C85053" w:rsidRPr="0090495F" w:rsidRDefault="00C85053" w:rsidP="00C1403A">
            <w:pPr>
              <w:jc w:val="both"/>
              <w:rPr>
                <w:rFonts w:ascii="Century" w:hAnsi="Century"/>
                <w:sz w:val="22"/>
                <w:szCs w:val="22"/>
              </w:rPr>
            </w:pPr>
            <w:r w:rsidRPr="0090495F">
              <w:rPr>
                <w:rFonts w:ascii="Century" w:hAnsi="Century"/>
                <w:sz w:val="22"/>
                <w:szCs w:val="22"/>
              </w:rPr>
              <w:t>Aşağıdaki grafikte, hayat sigortası ile bireysel emeklilik sistemin</w:t>
            </w:r>
            <w:r w:rsidR="00606C14" w:rsidRPr="0090495F">
              <w:rPr>
                <w:rFonts w:ascii="Century" w:hAnsi="Century"/>
                <w:sz w:val="22"/>
                <w:szCs w:val="22"/>
              </w:rPr>
              <w:t xml:space="preserve">in toplam birikim ve </w:t>
            </w:r>
            <w:r w:rsidRPr="0090495F">
              <w:rPr>
                <w:rFonts w:ascii="Century" w:hAnsi="Century"/>
                <w:sz w:val="22"/>
                <w:szCs w:val="22"/>
              </w:rPr>
              <w:t xml:space="preserve">fon tutarlarının son </w:t>
            </w:r>
            <w:r w:rsidR="00B644E5" w:rsidRPr="0090495F">
              <w:rPr>
                <w:rFonts w:ascii="Century" w:hAnsi="Century"/>
                <w:sz w:val="22"/>
                <w:szCs w:val="22"/>
              </w:rPr>
              <w:t xml:space="preserve">beş </w:t>
            </w:r>
            <w:r w:rsidRPr="0090495F">
              <w:rPr>
                <w:rFonts w:ascii="Century" w:hAnsi="Century"/>
                <w:sz w:val="22"/>
                <w:szCs w:val="22"/>
              </w:rPr>
              <w:t>yıllık döneme ilişkin seyri verilmiştir.</w:t>
            </w:r>
          </w:p>
          <w:p w:rsidR="00C85053" w:rsidRPr="0090495F" w:rsidRDefault="00C85053" w:rsidP="00C1403A">
            <w:pPr>
              <w:jc w:val="both"/>
              <w:rPr>
                <w:rFonts w:ascii="Century" w:hAnsi="Century"/>
                <w:sz w:val="22"/>
                <w:szCs w:val="22"/>
              </w:rPr>
            </w:pPr>
          </w:p>
        </w:tc>
        <w:tc>
          <w:tcPr>
            <w:tcW w:w="236" w:type="dxa"/>
            <w:gridSpan w:val="6"/>
          </w:tcPr>
          <w:p w:rsidR="00C85053" w:rsidRPr="0090495F" w:rsidRDefault="00C85053" w:rsidP="006E0753">
            <w:pPr>
              <w:rPr>
                <w:rFonts w:ascii="Century" w:hAnsi="Century"/>
                <w:sz w:val="22"/>
                <w:szCs w:val="22"/>
              </w:rPr>
            </w:pPr>
          </w:p>
        </w:tc>
        <w:tc>
          <w:tcPr>
            <w:tcW w:w="4767" w:type="dxa"/>
            <w:gridSpan w:val="6"/>
          </w:tcPr>
          <w:p w:rsidR="0090495F" w:rsidRPr="0090495F" w:rsidRDefault="0023565B" w:rsidP="0090495F">
            <w:pPr>
              <w:jc w:val="both"/>
              <w:rPr>
                <w:rFonts w:ascii="Century" w:hAnsi="Century"/>
                <w:color w:val="333333"/>
                <w:sz w:val="22"/>
                <w:szCs w:val="22"/>
              </w:rPr>
            </w:pPr>
            <w:r w:rsidRPr="0090495F">
              <w:rPr>
                <w:rFonts w:ascii="Century" w:hAnsi="Century"/>
                <w:color w:val="333333"/>
                <w:sz w:val="22"/>
                <w:szCs w:val="22"/>
              </w:rPr>
              <w:t xml:space="preserve">Private </w:t>
            </w:r>
            <w:r w:rsidR="00C85053" w:rsidRPr="0090495F">
              <w:rPr>
                <w:rFonts w:ascii="Century" w:hAnsi="Century"/>
                <w:color w:val="333333"/>
                <w:sz w:val="22"/>
                <w:szCs w:val="22"/>
              </w:rPr>
              <w:t xml:space="preserve">pension system has been </w:t>
            </w:r>
            <w:r w:rsidR="007B2FF7" w:rsidRPr="0090495F">
              <w:rPr>
                <w:rFonts w:ascii="Century" w:hAnsi="Century"/>
                <w:color w:val="333333"/>
                <w:sz w:val="22"/>
                <w:szCs w:val="22"/>
              </w:rPr>
              <w:t xml:space="preserve">significantly </w:t>
            </w:r>
            <w:r w:rsidR="00C85053" w:rsidRPr="0090495F">
              <w:rPr>
                <w:rFonts w:ascii="Century" w:hAnsi="Century"/>
                <w:color w:val="333333"/>
                <w:sz w:val="22"/>
                <w:szCs w:val="22"/>
              </w:rPr>
              <w:t xml:space="preserve">growing </w:t>
            </w:r>
            <w:r w:rsidR="0003593A" w:rsidRPr="0090495F">
              <w:rPr>
                <w:rFonts w:ascii="Century" w:hAnsi="Century"/>
                <w:color w:val="333333"/>
                <w:sz w:val="22"/>
                <w:szCs w:val="22"/>
              </w:rPr>
              <w:t>for the last five years.</w:t>
            </w:r>
            <w:r w:rsidR="0041408B" w:rsidRPr="0090495F">
              <w:rPr>
                <w:rFonts w:ascii="Century" w:hAnsi="Century"/>
                <w:color w:val="333333"/>
                <w:sz w:val="22"/>
                <w:szCs w:val="22"/>
              </w:rPr>
              <w:t xml:space="preserve"> </w:t>
            </w:r>
            <w:r w:rsidR="0003593A" w:rsidRPr="0090495F">
              <w:rPr>
                <w:rFonts w:ascii="Century" w:hAnsi="Century"/>
                <w:color w:val="333333"/>
                <w:sz w:val="22"/>
                <w:szCs w:val="22"/>
                <w:lang w:val="en"/>
              </w:rPr>
              <w:t xml:space="preserve">On the other hand, following the introduction of the </w:t>
            </w:r>
            <w:r w:rsidR="0003593A" w:rsidRPr="0090495F">
              <w:rPr>
                <w:rFonts w:ascii="Century" w:hAnsi="Century"/>
                <w:color w:val="333333"/>
                <w:sz w:val="22"/>
                <w:szCs w:val="22"/>
              </w:rPr>
              <w:t>private pension system</w:t>
            </w:r>
            <w:r w:rsidR="0003593A" w:rsidRPr="0090495F">
              <w:rPr>
                <w:rFonts w:ascii="Century" w:hAnsi="Century"/>
                <w:color w:val="333333"/>
                <w:sz w:val="22"/>
                <w:szCs w:val="22"/>
                <w:lang w:val="en"/>
              </w:rPr>
              <w:t xml:space="preserve">, the decline in the </w:t>
            </w:r>
            <w:r w:rsidR="0003593A" w:rsidRPr="0090495F">
              <w:rPr>
                <w:rFonts w:ascii="Century" w:hAnsi="Century"/>
                <w:color w:val="333333"/>
                <w:sz w:val="22"/>
                <w:szCs w:val="22"/>
              </w:rPr>
              <w:t>total accumulated fund in the term life insurance</w:t>
            </w:r>
            <w:r w:rsidR="00E66FE6" w:rsidRPr="0090495F">
              <w:rPr>
                <w:rFonts w:ascii="Century" w:hAnsi="Century"/>
                <w:color w:val="333333"/>
                <w:sz w:val="22"/>
                <w:szCs w:val="22"/>
                <w:lang w:val="en"/>
              </w:rPr>
              <w:t xml:space="preserve"> has continued until 2016,</w:t>
            </w:r>
            <w:r w:rsidR="0003593A" w:rsidRPr="0090495F">
              <w:rPr>
                <w:rFonts w:ascii="Century" w:hAnsi="Century"/>
                <w:color w:val="333333"/>
                <w:sz w:val="22"/>
                <w:szCs w:val="22"/>
                <w:lang w:val="en"/>
              </w:rPr>
              <w:t xml:space="preserve"> </w:t>
            </w:r>
            <w:r w:rsidR="0090495F" w:rsidRPr="0090495F">
              <w:rPr>
                <w:rFonts w:ascii="Century" w:hAnsi="Century"/>
                <w:color w:val="333333"/>
                <w:sz w:val="22"/>
                <w:szCs w:val="22"/>
                <w:lang w:val="en"/>
              </w:rPr>
              <w:t>however, there has been a slight increase after 2016.</w:t>
            </w:r>
          </w:p>
          <w:p w:rsidR="0003593A" w:rsidRPr="0090495F" w:rsidRDefault="0003593A" w:rsidP="006E0753">
            <w:pPr>
              <w:jc w:val="both"/>
              <w:rPr>
                <w:rFonts w:ascii="Century" w:hAnsi="Century"/>
                <w:color w:val="333333"/>
                <w:sz w:val="22"/>
                <w:szCs w:val="22"/>
              </w:rPr>
            </w:pPr>
          </w:p>
          <w:p w:rsidR="00C85053" w:rsidRPr="0090495F" w:rsidRDefault="00C85053" w:rsidP="006E0753">
            <w:pPr>
              <w:jc w:val="both"/>
              <w:rPr>
                <w:rFonts w:ascii="Century" w:hAnsi="Century"/>
                <w:color w:val="333333"/>
                <w:sz w:val="22"/>
                <w:szCs w:val="22"/>
              </w:rPr>
            </w:pPr>
            <w:r w:rsidRPr="0090495F">
              <w:rPr>
                <w:rFonts w:ascii="Century" w:hAnsi="Century"/>
                <w:color w:val="333333"/>
                <w:sz w:val="22"/>
                <w:szCs w:val="22"/>
              </w:rPr>
              <w:t xml:space="preserve">The following graph </w:t>
            </w:r>
            <w:r w:rsidR="00735694" w:rsidRPr="0090495F">
              <w:rPr>
                <w:rFonts w:ascii="Century" w:hAnsi="Century"/>
                <w:color w:val="333333"/>
                <w:sz w:val="22"/>
                <w:szCs w:val="22"/>
              </w:rPr>
              <w:t>re</w:t>
            </w:r>
            <w:r w:rsidRPr="0090495F">
              <w:rPr>
                <w:rFonts w:ascii="Century" w:hAnsi="Century"/>
                <w:color w:val="333333"/>
                <w:sz w:val="22"/>
                <w:szCs w:val="22"/>
              </w:rPr>
              <w:t>presents accumulated fund</w:t>
            </w:r>
            <w:r w:rsidR="00735694" w:rsidRPr="0090495F">
              <w:rPr>
                <w:rFonts w:ascii="Century" w:hAnsi="Century"/>
                <w:color w:val="333333"/>
                <w:sz w:val="22"/>
                <w:szCs w:val="22"/>
              </w:rPr>
              <w:t>s</w:t>
            </w:r>
            <w:r w:rsidRPr="0090495F">
              <w:rPr>
                <w:rFonts w:ascii="Century" w:hAnsi="Century"/>
                <w:color w:val="333333"/>
                <w:sz w:val="22"/>
                <w:szCs w:val="22"/>
              </w:rPr>
              <w:t xml:space="preserve"> in life insurance and </w:t>
            </w:r>
            <w:r w:rsidR="00CA747D" w:rsidRPr="0090495F">
              <w:rPr>
                <w:rFonts w:ascii="Century" w:hAnsi="Century"/>
                <w:color w:val="333333"/>
                <w:sz w:val="22"/>
                <w:szCs w:val="22"/>
              </w:rPr>
              <w:t>private</w:t>
            </w:r>
            <w:r w:rsidRPr="0090495F">
              <w:rPr>
                <w:rFonts w:ascii="Century" w:hAnsi="Century"/>
                <w:color w:val="333333"/>
                <w:sz w:val="22"/>
                <w:szCs w:val="22"/>
              </w:rPr>
              <w:t xml:space="preserve"> pension system for the last </w:t>
            </w:r>
            <w:r w:rsidR="00B644E5" w:rsidRPr="0090495F">
              <w:rPr>
                <w:rFonts w:ascii="Century" w:hAnsi="Century"/>
                <w:color w:val="333333"/>
                <w:sz w:val="22"/>
                <w:szCs w:val="22"/>
              </w:rPr>
              <w:t>five</w:t>
            </w:r>
            <w:r w:rsidRPr="0090495F">
              <w:rPr>
                <w:rFonts w:ascii="Century" w:hAnsi="Century"/>
                <w:color w:val="333333"/>
                <w:sz w:val="22"/>
                <w:szCs w:val="22"/>
              </w:rPr>
              <w:t xml:space="preserve"> years.</w:t>
            </w:r>
          </w:p>
          <w:p w:rsidR="00C85053" w:rsidRPr="0090495F" w:rsidRDefault="00C85053" w:rsidP="00557B29">
            <w:pPr>
              <w:jc w:val="both"/>
              <w:rPr>
                <w:rFonts w:ascii="Century" w:hAnsi="Century"/>
                <w:sz w:val="22"/>
                <w:szCs w:val="22"/>
              </w:rPr>
            </w:pPr>
          </w:p>
        </w:tc>
      </w:tr>
      <w:tr w:rsidR="00C85053" w:rsidRPr="00B10D90" w:rsidTr="00441D50">
        <w:tblPrEx>
          <w:tblCellMar>
            <w:left w:w="70" w:type="dxa"/>
            <w:right w:w="70" w:type="dxa"/>
          </w:tblCellMar>
        </w:tblPrEx>
        <w:trPr>
          <w:trHeight w:val="3775"/>
        </w:trPr>
        <w:tc>
          <w:tcPr>
            <w:tcW w:w="9858" w:type="dxa"/>
            <w:gridSpan w:val="16"/>
          </w:tcPr>
          <w:p w:rsidR="00C85053" w:rsidRPr="00EF3352" w:rsidRDefault="009F5ED4" w:rsidP="002F57F0">
            <w:pPr>
              <w:jc w:val="center"/>
              <w:rPr>
                <w:rFonts w:ascii="Century" w:hAnsi="Century"/>
                <w:b/>
                <w:color w:val="000080"/>
                <w:sz w:val="20"/>
                <w:szCs w:val="20"/>
              </w:rPr>
            </w:pPr>
            <w:r w:rsidRPr="00EF3352">
              <w:br w:type="page"/>
            </w:r>
            <w:r w:rsidR="00C6234F" w:rsidRPr="00EF3352">
              <w:rPr>
                <w:rFonts w:ascii="Century" w:hAnsi="Century"/>
                <w:b/>
                <w:color w:val="000080"/>
                <w:sz w:val="20"/>
                <w:szCs w:val="20"/>
              </w:rPr>
              <w:t>Grafik 1.2</w:t>
            </w:r>
            <w:r w:rsidR="00C85053" w:rsidRPr="00EF3352">
              <w:rPr>
                <w:rFonts w:ascii="Century" w:hAnsi="Century"/>
                <w:b/>
                <w:color w:val="000080"/>
                <w:sz w:val="20"/>
                <w:szCs w:val="20"/>
              </w:rPr>
              <w:t>.2: Hayat Sigortaları ve Bireysel Emeklilik Sistemi Birikim</w:t>
            </w:r>
            <w:r w:rsidR="00E55576" w:rsidRPr="00EF3352">
              <w:rPr>
                <w:rFonts w:ascii="Century" w:hAnsi="Century"/>
                <w:b/>
                <w:color w:val="000080"/>
                <w:sz w:val="20"/>
                <w:szCs w:val="20"/>
              </w:rPr>
              <w:t xml:space="preserve"> ve Fon</w:t>
            </w:r>
            <w:r w:rsidR="00C85053" w:rsidRPr="00EF3352">
              <w:rPr>
                <w:rFonts w:ascii="Century" w:hAnsi="Century"/>
                <w:b/>
                <w:color w:val="000080"/>
                <w:sz w:val="20"/>
                <w:szCs w:val="20"/>
              </w:rPr>
              <w:t xml:space="preserve"> Tutarları</w:t>
            </w:r>
          </w:p>
          <w:p w:rsidR="00C85053" w:rsidRPr="00EF3352" w:rsidRDefault="00C85053" w:rsidP="002F57F0">
            <w:pPr>
              <w:jc w:val="center"/>
              <w:rPr>
                <w:rFonts w:ascii="Century" w:hAnsi="Century"/>
                <w:i/>
                <w:color w:val="000080"/>
                <w:sz w:val="20"/>
                <w:szCs w:val="20"/>
              </w:rPr>
            </w:pPr>
            <w:r w:rsidRPr="00EF3352">
              <w:rPr>
                <w:rFonts w:ascii="Century" w:hAnsi="Century"/>
                <w:i/>
                <w:color w:val="000080"/>
                <w:sz w:val="20"/>
                <w:szCs w:val="20"/>
              </w:rPr>
              <w:t xml:space="preserve">Accumulated Funds in Life Insurance and </w:t>
            </w:r>
            <w:r w:rsidR="0023565B" w:rsidRPr="00EF3352">
              <w:rPr>
                <w:rFonts w:ascii="Century" w:hAnsi="Century"/>
                <w:i/>
                <w:color w:val="000080"/>
                <w:sz w:val="20"/>
                <w:szCs w:val="20"/>
              </w:rPr>
              <w:t xml:space="preserve">Private </w:t>
            </w:r>
            <w:r w:rsidRPr="00EF3352">
              <w:rPr>
                <w:rFonts w:ascii="Century" w:hAnsi="Century"/>
                <w:i/>
                <w:color w:val="000080"/>
                <w:sz w:val="20"/>
                <w:szCs w:val="20"/>
              </w:rPr>
              <w:t>Pension System</w:t>
            </w:r>
          </w:p>
          <w:p w:rsidR="00B0092A" w:rsidRPr="00EF3352" w:rsidRDefault="00B0092A" w:rsidP="002F57F0">
            <w:pPr>
              <w:jc w:val="center"/>
              <w:rPr>
                <w:rFonts w:ascii="Century" w:hAnsi="Century"/>
                <w:i/>
                <w:color w:val="000080"/>
                <w:sz w:val="20"/>
                <w:szCs w:val="20"/>
              </w:rPr>
            </w:pPr>
            <w:r w:rsidRPr="00EF3352">
              <w:rPr>
                <w:rFonts w:ascii="Century" w:hAnsi="Century"/>
                <w:color w:val="000080"/>
                <w:sz w:val="20"/>
                <w:szCs w:val="20"/>
              </w:rPr>
              <w:t xml:space="preserve">(Milyon / </w:t>
            </w:r>
            <w:r w:rsidRPr="00EF3352">
              <w:rPr>
                <w:rFonts w:ascii="Century" w:hAnsi="Century"/>
                <w:i/>
                <w:color w:val="000080"/>
                <w:sz w:val="20"/>
                <w:szCs w:val="20"/>
              </w:rPr>
              <w:t>Million</w:t>
            </w:r>
            <w:r w:rsidRPr="00EF3352">
              <w:rPr>
                <w:rFonts w:ascii="Century" w:hAnsi="Century"/>
                <w:color w:val="000080"/>
                <w:sz w:val="20"/>
                <w:szCs w:val="20"/>
              </w:rPr>
              <w:t xml:space="preserve"> </w:t>
            </w:r>
            <w:r w:rsidRPr="00EF3352">
              <w:rPr>
                <w:rFonts w:ascii="AbakuTLSymSans" w:hAnsi="AbakuTLSymSans" w:cs="Arial"/>
                <w:bCs/>
                <w:color w:val="090294"/>
                <w:sz w:val="20"/>
                <w:szCs w:val="20"/>
              </w:rPr>
              <w:t>¨</w:t>
            </w:r>
            <w:r w:rsidRPr="00EF3352">
              <w:rPr>
                <w:rFonts w:ascii="Century" w:hAnsi="Century"/>
                <w:color w:val="000080"/>
                <w:sz w:val="20"/>
                <w:szCs w:val="20"/>
              </w:rPr>
              <w:t>)</w:t>
            </w:r>
          </w:p>
          <w:p w:rsidR="00182E35" w:rsidRPr="00EF3352" w:rsidRDefault="00EF3352" w:rsidP="002F57F0">
            <w:pPr>
              <w:jc w:val="center"/>
              <w:rPr>
                <w:rFonts w:ascii="Century" w:hAnsi="Century"/>
                <w:i/>
                <w:color w:val="000080"/>
                <w:sz w:val="20"/>
                <w:szCs w:val="20"/>
              </w:rPr>
            </w:pPr>
            <w:r w:rsidRPr="00EF3352">
              <w:rPr>
                <w:rFonts w:ascii="Century" w:hAnsi="Century"/>
                <w:i/>
                <w:noProof/>
                <w:color w:val="000080"/>
                <w:sz w:val="20"/>
                <w:szCs w:val="20"/>
              </w:rPr>
              <w:drawing>
                <wp:inline distT="0" distB="0" distL="0" distR="0" wp14:anchorId="786DBE2E" wp14:editId="2525EE83">
                  <wp:extent cx="6162675" cy="25146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040" cy="2514341"/>
                          </a:xfrm>
                          <a:prstGeom prst="rect">
                            <a:avLst/>
                          </a:prstGeom>
                          <a:noFill/>
                          <a:ln>
                            <a:noFill/>
                          </a:ln>
                        </pic:spPr>
                      </pic:pic>
                    </a:graphicData>
                  </a:graphic>
                </wp:inline>
              </w:drawing>
            </w:r>
          </w:p>
          <w:p w:rsidR="00182E35" w:rsidRPr="00EF3352" w:rsidRDefault="00182E35" w:rsidP="00465636">
            <w:pPr>
              <w:jc w:val="both"/>
              <w:rPr>
                <w:rFonts w:ascii="Century" w:hAnsi="Century"/>
                <w:color w:val="333333"/>
                <w:sz w:val="22"/>
                <w:szCs w:val="22"/>
              </w:rPr>
            </w:pPr>
          </w:p>
          <w:p w:rsidR="00EF3352" w:rsidRPr="00EF3352" w:rsidRDefault="00EF3352" w:rsidP="00465636">
            <w:pPr>
              <w:jc w:val="both"/>
              <w:rPr>
                <w:rFonts w:ascii="Century" w:hAnsi="Century"/>
                <w:color w:val="333333"/>
                <w:sz w:val="22"/>
                <w:szCs w:val="22"/>
              </w:rPr>
            </w:pPr>
          </w:p>
          <w:p w:rsidR="00B503EA" w:rsidRPr="00EF3352" w:rsidRDefault="00B503EA" w:rsidP="00465636">
            <w:pPr>
              <w:jc w:val="both"/>
              <w:rPr>
                <w:rFonts w:ascii="Century" w:hAnsi="Century"/>
                <w:color w:val="333333"/>
                <w:sz w:val="22"/>
                <w:szCs w:val="22"/>
              </w:rPr>
            </w:pPr>
          </w:p>
        </w:tc>
      </w:tr>
      <w:tr w:rsidR="00C85053" w:rsidRPr="00B10D90" w:rsidTr="00441D50">
        <w:trPr>
          <w:gridAfter w:val="2"/>
          <w:wAfter w:w="38" w:type="dxa"/>
          <w:trHeight w:val="426"/>
        </w:trPr>
        <w:tc>
          <w:tcPr>
            <w:tcW w:w="4817" w:type="dxa"/>
            <w:gridSpan w:val="2"/>
          </w:tcPr>
          <w:p w:rsidR="00C85053" w:rsidRPr="0009730E" w:rsidRDefault="00C85053" w:rsidP="00642411">
            <w:pPr>
              <w:pStyle w:val="Heading3"/>
              <w:keepNext w:val="0"/>
              <w:spacing w:before="0" w:after="0"/>
              <w:ind w:left="0"/>
              <w:jc w:val="both"/>
              <w:rPr>
                <w:rFonts w:ascii="Century" w:hAnsi="Century"/>
                <w:color w:val="000080"/>
                <w:sz w:val="22"/>
                <w:szCs w:val="22"/>
              </w:rPr>
            </w:pPr>
            <w:bookmarkStart w:id="157" w:name="_Toc266960738"/>
            <w:bookmarkStart w:id="158" w:name="_Toc327793327"/>
            <w:bookmarkStart w:id="159" w:name="_Toc358380187"/>
            <w:bookmarkStart w:id="160" w:name="_Toc12957657"/>
            <w:r w:rsidRPr="0009730E">
              <w:rPr>
                <w:rFonts w:ascii="Century" w:hAnsi="Century"/>
                <w:color w:val="000080"/>
                <w:sz w:val="22"/>
                <w:szCs w:val="22"/>
              </w:rPr>
              <w:lastRenderedPageBreak/>
              <w:t>Prim Üretimi, Temin</w:t>
            </w:r>
            <w:r w:rsidR="007D6C02" w:rsidRPr="0009730E">
              <w:rPr>
                <w:rFonts w:ascii="Century" w:hAnsi="Century"/>
                <w:color w:val="000080"/>
                <w:sz w:val="22"/>
                <w:szCs w:val="22"/>
              </w:rPr>
              <w:t>at</w:t>
            </w:r>
            <w:r w:rsidR="0014459C" w:rsidRPr="0009730E">
              <w:rPr>
                <w:rFonts w:ascii="Century" w:hAnsi="Century"/>
                <w:color w:val="000080"/>
                <w:sz w:val="22"/>
                <w:szCs w:val="22"/>
              </w:rPr>
              <w:t xml:space="preserve">lar, </w:t>
            </w:r>
            <w:r w:rsidR="007D6C02" w:rsidRPr="0009730E">
              <w:rPr>
                <w:rFonts w:ascii="Century" w:hAnsi="Century"/>
                <w:color w:val="000080"/>
                <w:sz w:val="22"/>
                <w:szCs w:val="22"/>
              </w:rPr>
              <w:t xml:space="preserve">Birikim Tutarı </w:t>
            </w:r>
            <w:r w:rsidR="0014459C" w:rsidRPr="0009730E">
              <w:rPr>
                <w:rFonts w:ascii="Century" w:hAnsi="Century"/>
                <w:color w:val="000080"/>
                <w:sz w:val="22"/>
                <w:szCs w:val="22"/>
              </w:rPr>
              <w:t>v</w:t>
            </w:r>
            <w:r w:rsidR="007D6C02" w:rsidRPr="0009730E">
              <w:rPr>
                <w:rFonts w:ascii="Century" w:hAnsi="Century"/>
                <w:color w:val="000080"/>
                <w:sz w:val="22"/>
                <w:szCs w:val="22"/>
              </w:rPr>
              <w:t>e GSY</w:t>
            </w:r>
            <w:r w:rsidRPr="0009730E">
              <w:rPr>
                <w:rFonts w:ascii="Century" w:hAnsi="Century"/>
                <w:color w:val="000080"/>
                <w:sz w:val="22"/>
                <w:szCs w:val="22"/>
              </w:rPr>
              <w:t>H</w:t>
            </w:r>
            <w:bookmarkEnd w:id="157"/>
            <w:bookmarkEnd w:id="158"/>
            <w:bookmarkEnd w:id="159"/>
            <w:bookmarkEnd w:id="160"/>
            <w:r w:rsidRPr="0009730E">
              <w:rPr>
                <w:rFonts w:ascii="Century" w:hAnsi="Century"/>
                <w:color w:val="000080"/>
                <w:sz w:val="22"/>
                <w:szCs w:val="22"/>
              </w:rPr>
              <w:t xml:space="preserve"> </w:t>
            </w:r>
          </w:p>
          <w:p w:rsidR="00C85053" w:rsidRPr="00B10D90" w:rsidRDefault="00C85053" w:rsidP="006E0753">
            <w:pPr>
              <w:jc w:val="both"/>
              <w:rPr>
                <w:rFonts w:ascii="Century" w:hAnsi="Century"/>
                <w:sz w:val="22"/>
                <w:szCs w:val="22"/>
                <w:highlight w:val="yellow"/>
              </w:rPr>
            </w:pPr>
          </w:p>
          <w:p w:rsidR="00993D18" w:rsidRPr="00B60D9B" w:rsidRDefault="00993D18" w:rsidP="00993D18">
            <w:pPr>
              <w:jc w:val="both"/>
              <w:rPr>
                <w:rFonts w:ascii="Century" w:hAnsi="Century"/>
                <w:sz w:val="22"/>
                <w:szCs w:val="22"/>
              </w:rPr>
            </w:pPr>
            <w:r w:rsidRPr="0009730E">
              <w:rPr>
                <w:rFonts w:ascii="Century" w:hAnsi="Century"/>
                <w:sz w:val="22"/>
                <w:szCs w:val="22"/>
              </w:rPr>
              <w:t>Türk sigortacılık sektöründe 201</w:t>
            </w:r>
            <w:r w:rsidR="0009730E" w:rsidRPr="0009730E">
              <w:rPr>
                <w:rFonts w:ascii="Century" w:hAnsi="Century"/>
                <w:sz w:val="22"/>
                <w:szCs w:val="22"/>
              </w:rPr>
              <w:t>8</w:t>
            </w:r>
            <w:r w:rsidRPr="0009730E">
              <w:rPr>
                <w:rFonts w:ascii="Century" w:hAnsi="Century"/>
                <w:sz w:val="22"/>
                <w:szCs w:val="22"/>
              </w:rPr>
              <w:t xml:space="preserve"> yılı</w:t>
            </w:r>
            <w:r w:rsidR="00C03BEA" w:rsidRPr="0009730E">
              <w:rPr>
                <w:rFonts w:ascii="Century" w:hAnsi="Century"/>
                <w:sz w:val="22"/>
                <w:szCs w:val="22"/>
              </w:rPr>
              <w:t>n</w:t>
            </w:r>
            <w:r w:rsidR="0009730E" w:rsidRPr="0009730E">
              <w:rPr>
                <w:rFonts w:ascii="Century" w:hAnsi="Century"/>
                <w:sz w:val="22"/>
                <w:szCs w:val="22"/>
              </w:rPr>
              <w:t>da 54</w:t>
            </w:r>
            <w:proofErr w:type="gramStart"/>
            <w:r w:rsidRPr="0009730E">
              <w:rPr>
                <w:rFonts w:ascii="Century" w:hAnsi="Century"/>
                <w:sz w:val="22"/>
                <w:szCs w:val="22"/>
              </w:rPr>
              <w:t>,</w:t>
            </w:r>
            <w:r w:rsidR="00C03BEA" w:rsidRPr="0009730E">
              <w:rPr>
                <w:rFonts w:ascii="Century" w:hAnsi="Century"/>
                <w:sz w:val="22"/>
                <w:szCs w:val="22"/>
              </w:rPr>
              <w:t>6</w:t>
            </w:r>
            <w:proofErr w:type="gramEnd"/>
            <w:r w:rsidRPr="0009730E">
              <w:rPr>
                <w:rFonts w:ascii="Century" w:hAnsi="Century"/>
                <w:sz w:val="22"/>
                <w:szCs w:val="22"/>
              </w:rPr>
              <w:t xml:space="preserve"> milyar TL prim üretimi gerçekleştirilmiş ve</w:t>
            </w:r>
            <w:r w:rsidR="004E3529" w:rsidRPr="0009730E">
              <w:rPr>
                <w:rFonts w:ascii="Century" w:hAnsi="Century"/>
                <w:sz w:val="22"/>
                <w:szCs w:val="22"/>
              </w:rPr>
              <w:t xml:space="preserve"> karşılığında sigortalılara </w:t>
            </w:r>
            <w:r w:rsidR="0009730E" w:rsidRPr="0009730E">
              <w:rPr>
                <w:rFonts w:ascii="Century" w:hAnsi="Century"/>
                <w:sz w:val="22"/>
                <w:szCs w:val="22"/>
              </w:rPr>
              <w:t>126</w:t>
            </w:r>
            <w:r w:rsidRPr="0009730E">
              <w:rPr>
                <w:rFonts w:ascii="Century" w:hAnsi="Century"/>
                <w:sz w:val="22"/>
                <w:szCs w:val="22"/>
              </w:rPr>
              <w:t>,</w:t>
            </w:r>
            <w:r w:rsidR="0009730E" w:rsidRPr="0009730E">
              <w:rPr>
                <w:rFonts w:ascii="Century" w:hAnsi="Century"/>
                <w:sz w:val="22"/>
                <w:szCs w:val="22"/>
              </w:rPr>
              <w:t>9</w:t>
            </w:r>
            <w:r w:rsidRPr="0009730E">
              <w:rPr>
                <w:rFonts w:ascii="Century" w:hAnsi="Century"/>
                <w:sz w:val="22"/>
                <w:szCs w:val="22"/>
              </w:rPr>
              <w:t xml:space="preserve"> </w:t>
            </w:r>
            <w:r w:rsidRPr="00B60D9B">
              <w:rPr>
                <w:rFonts w:ascii="Century" w:hAnsi="Century"/>
                <w:sz w:val="22"/>
                <w:szCs w:val="22"/>
              </w:rPr>
              <w:t xml:space="preserve">trilyon TL teminat verilmiştir. Aynı dönemde GSYH’nin </w:t>
            </w:r>
            <w:r w:rsidR="00DA40F3" w:rsidRPr="00B60D9B">
              <w:rPr>
                <w:rFonts w:ascii="Century" w:hAnsi="Century"/>
                <w:sz w:val="22"/>
                <w:szCs w:val="22"/>
              </w:rPr>
              <w:t>3</w:t>
            </w:r>
            <w:r w:rsidRPr="00B60D9B">
              <w:rPr>
                <w:rFonts w:ascii="Century" w:hAnsi="Century"/>
                <w:sz w:val="22"/>
                <w:szCs w:val="22"/>
              </w:rPr>
              <w:t>,</w:t>
            </w:r>
            <w:r w:rsidR="00B60D9B" w:rsidRPr="00B60D9B">
              <w:rPr>
                <w:rFonts w:ascii="Century" w:hAnsi="Century"/>
                <w:sz w:val="22"/>
                <w:szCs w:val="22"/>
              </w:rPr>
              <w:t>7</w:t>
            </w:r>
            <w:r w:rsidRPr="00B60D9B">
              <w:rPr>
                <w:rFonts w:ascii="Century" w:hAnsi="Century"/>
                <w:sz w:val="22"/>
                <w:szCs w:val="22"/>
              </w:rPr>
              <w:t xml:space="preserve"> trilyon TL olduğu dikkate alındığında, sigor</w:t>
            </w:r>
            <w:r w:rsidR="00DA40F3" w:rsidRPr="00B60D9B">
              <w:rPr>
                <w:rFonts w:ascii="Century" w:hAnsi="Century"/>
                <w:sz w:val="22"/>
                <w:szCs w:val="22"/>
              </w:rPr>
              <w:t>tacıl</w:t>
            </w:r>
            <w:r w:rsidR="00B60D9B" w:rsidRPr="00B60D9B">
              <w:rPr>
                <w:rFonts w:ascii="Century" w:hAnsi="Century"/>
                <w:sz w:val="22"/>
                <w:szCs w:val="22"/>
              </w:rPr>
              <w:t>ık sektöründe GSYH’nin %1,36</w:t>
            </w:r>
            <w:r w:rsidRPr="00B60D9B">
              <w:rPr>
                <w:rFonts w:ascii="Century" w:hAnsi="Century"/>
                <w:sz w:val="22"/>
                <w:szCs w:val="22"/>
              </w:rPr>
              <w:t>’</w:t>
            </w:r>
            <w:r w:rsidR="00C238D3" w:rsidRPr="00B60D9B">
              <w:rPr>
                <w:rFonts w:ascii="Century" w:hAnsi="Century"/>
                <w:sz w:val="22"/>
                <w:szCs w:val="22"/>
              </w:rPr>
              <w:t>s</w:t>
            </w:r>
            <w:r w:rsidR="00B60D9B" w:rsidRPr="00B60D9B">
              <w:rPr>
                <w:rFonts w:ascii="Century" w:hAnsi="Century"/>
                <w:sz w:val="22"/>
                <w:szCs w:val="22"/>
              </w:rPr>
              <w:t>ı</w:t>
            </w:r>
            <w:r w:rsidRPr="00B60D9B">
              <w:rPr>
                <w:rFonts w:ascii="Century" w:hAnsi="Century"/>
                <w:sz w:val="22"/>
                <w:szCs w:val="22"/>
              </w:rPr>
              <w:t xml:space="preserve"> oranında direkt prim üretimi gerçekleştirildiği ve </w:t>
            </w:r>
            <w:r w:rsidR="00C238D3" w:rsidRPr="00B60D9B">
              <w:rPr>
                <w:rFonts w:ascii="Century" w:hAnsi="Century"/>
                <w:sz w:val="22"/>
                <w:szCs w:val="22"/>
              </w:rPr>
              <w:t>3</w:t>
            </w:r>
            <w:r w:rsidR="00B60D9B" w:rsidRPr="00B60D9B">
              <w:rPr>
                <w:rFonts w:ascii="Century" w:hAnsi="Century"/>
                <w:sz w:val="22"/>
                <w:szCs w:val="22"/>
              </w:rPr>
              <w:t>4</w:t>
            </w:r>
            <w:r w:rsidRPr="00B60D9B">
              <w:rPr>
                <w:rFonts w:ascii="Century" w:hAnsi="Century"/>
                <w:sz w:val="22"/>
                <w:szCs w:val="22"/>
              </w:rPr>
              <w:t xml:space="preserve"> katı teminat verildiği ortaya çıkmaktadır. Bireysel emeklilik sisteminde biriken fon tutarı ise 201</w:t>
            </w:r>
            <w:r w:rsidR="00B60D9B" w:rsidRPr="00B60D9B">
              <w:rPr>
                <w:rFonts w:ascii="Century" w:hAnsi="Century"/>
                <w:sz w:val="22"/>
                <w:szCs w:val="22"/>
              </w:rPr>
              <w:t>8</w:t>
            </w:r>
            <w:r w:rsidRPr="00B60D9B">
              <w:rPr>
                <w:rFonts w:ascii="Century" w:hAnsi="Century"/>
                <w:sz w:val="22"/>
                <w:szCs w:val="22"/>
              </w:rPr>
              <w:t xml:space="preserve"> yılı sonu itibariyle </w:t>
            </w:r>
            <w:r w:rsidR="0051026D" w:rsidRPr="00B60D9B">
              <w:rPr>
                <w:rFonts w:ascii="Century" w:hAnsi="Century"/>
                <w:sz w:val="22"/>
                <w:szCs w:val="22"/>
              </w:rPr>
              <w:t>GSYH’nın %2</w:t>
            </w:r>
            <w:proofErr w:type="gramStart"/>
            <w:r w:rsidR="0051026D" w:rsidRPr="00B60D9B">
              <w:rPr>
                <w:rFonts w:ascii="Century" w:hAnsi="Century"/>
                <w:sz w:val="22"/>
                <w:szCs w:val="22"/>
              </w:rPr>
              <w:t>,</w:t>
            </w:r>
            <w:r w:rsidR="00B60D9B" w:rsidRPr="00B60D9B">
              <w:rPr>
                <w:rFonts w:ascii="Century" w:hAnsi="Century"/>
                <w:sz w:val="22"/>
                <w:szCs w:val="22"/>
              </w:rPr>
              <w:t>4</w:t>
            </w:r>
            <w:r w:rsidRPr="00B60D9B">
              <w:rPr>
                <w:rFonts w:ascii="Century" w:hAnsi="Century"/>
                <w:sz w:val="22"/>
                <w:szCs w:val="22"/>
              </w:rPr>
              <w:t>’</w:t>
            </w:r>
            <w:r w:rsidR="00B60D9B" w:rsidRPr="00B60D9B">
              <w:rPr>
                <w:rFonts w:ascii="Century" w:hAnsi="Century"/>
                <w:sz w:val="22"/>
                <w:szCs w:val="22"/>
              </w:rPr>
              <w:t>ü</w:t>
            </w:r>
            <w:proofErr w:type="gramEnd"/>
            <w:r w:rsidRPr="00B60D9B">
              <w:rPr>
                <w:rFonts w:ascii="Century" w:hAnsi="Century"/>
                <w:sz w:val="22"/>
                <w:szCs w:val="22"/>
              </w:rPr>
              <w:t xml:space="preserve"> düzeyinde gerçekleşmiştir.</w:t>
            </w:r>
          </w:p>
          <w:p w:rsidR="00993D18" w:rsidRPr="00B60D9B" w:rsidRDefault="00993D18" w:rsidP="00993D18">
            <w:pPr>
              <w:jc w:val="both"/>
              <w:rPr>
                <w:rFonts w:ascii="Century" w:hAnsi="Century"/>
                <w:sz w:val="22"/>
                <w:szCs w:val="22"/>
              </w:rPr>
            </w:pPr>
          </w:p>
          <w:p w:rsidR="00993D18" w:rsidRPr="00B60D9B" w:rsidRDefault="00993D18" w:rsidP="00993D18">
            <w:pPr>
              <w:jc w:val="both"/>
              <w:rPr>
                <w:rFonts w:ascii="Century" w:hAnsi="Century"/>
                <w:sz w:val="22"/>
                <w:szCs w:val="22"/>
              </w:rPr>
            </w:pPr>
            <w:r w:rsidRPr="00B60D9B">
              <w:rPr>
                <w:rFonts w:ascii="Century" w:hAnsi="Century"/>
                <w:sz w:val="22"/>
                <w:szCs w:val="22"/>
              </w:rPr>
              <w:t xml:space="preserve">Aşağıdaki tablo ve grafikte, son beş yıllık döneme ilişkin prim, teminat ve birikim tutarları ile bu tutarların GSYH’ya oranları karşılaştırmalı olarak verilmiştir. </w:t>
            </w:r>
          </w:p>
          <w:p w:rsidR="00C85053" w:rsidRPr="00B10D90" w:rsidRDefault="00C85053" w:rsidP="006D7A06">
            <w:pPr>
              <w:jc w:val="both"/>
              <w:rPr>
                <w:rFonts w:ascii="Century" w:hAnsi="Century"/>
                <w:sz w:val="22"/>
                <w:szCs w:val="22"/>
                <w:highlight w:val="yellow"/>
              </w:rPr>
            </w:pPr>
          </w:p>
          <w:p w:rsidR="006D7A06" w:rsidRPr="00B10D90" w:rsidRDefault="006D7A06" w:rsidP="006D7A06">
            <w:pPr>
              <w:jc w:val="both"/>
              <w:rPr>
                <w:rFonts w:ascii="Century" w:hAnsi="Century"/>
                <w:sz w:val="22"/>
                <w:szCs w:val="22"/>
                <w:highlight w:val="yellow"/>
              </w:rPr>
            </w:pPr>
          </w:p>
        </w:tc>
        <w:tc>
          <w:tcPr>
            <w:tcW w:w="236" w:type="dxa"/>
            <w:gridSpan w:val="6"/>
          </w:tcPr>
          <w:p w:rsidR="00C85053" w:rsidRPr="00B10D90" w:rsidRDefault="00C85053" w:rsidP="006E0753">
            <w:pPr>
              <w:rPr>
                <w:rFonts w:ascii="Century" w:hAnsi="Century"/>
                <w:sz w:val="22"/>
                <w:szCs w:val="22"/>
                <w:highlight w:val="yellow"/>
              </w:rPr>
            </w:pPr>
          </w:p>
        </w:tc>
        <w:tc>
          <w:tcPr>
            <w:tcW w:w="4767" w:type="dxa"/>
            <w:gridSpan w:val="6"/>
          </w:tcPr>
          <w:p w:rsidR="00C85053" w:rsidRPr="0009730E" w:rsidRDefault="00C6234F" w:rsidP="006E0753">
            <w:pPr>
              <w:jc w:val="both"/>
              <w:rPr>
                <w:rFonts w:ascii="Century" w:hAnsi="Century"/>
                <w:b/>
                <w:color w:val="003366"/>
                <w:sz w:val="22"/>
                <w:szCs w:val="22"/>
              </w:rPr>
            </w:pPr>
            <w:r w:rsidRPr="0009730E">
              <w:rPr>
                <w:rFonts w:ascii="Century" w:hAnsi="Century"/>
                <w:b/>
                <w:color w:val="003366"/>
                <w:sz w:val="22"/>
                <w:szCs w:val="22"/>
              </w:rPr>
              <w:t>1.2</w:t>
            </w:r>
            <w:r w:rsidR="00C85053" w:rsidRPr="0009730E">
              <w:rPr>
                <w:rFonts w:ascii="Century" w:hAnsi="Century"/>
                <w:b/>
                <w:color w:val="003366"/>
                <w:sz w:val="22"/>
                <w:szCs w:val="22"/>
              </w:rPr>
              <w:t xml:space="preserve">.3. Gross Domestic  </w:t>
            </w:r>
            <w:r w:rsidR="000D37C8" w:rsidRPr="0009730E">
              <w:rPr>
                <w:rFonts w:ascii="Century" w:hAnsi="Century"/>
                <w:b/>
                <w:color w:val="003366"/>
                <w:sz w:val="22"/>
                <w:szCs w:val="22"/>
              </w:rPr>
              <w:t xml:space="preserve">Premium, </w:t>
            </w:r>
            <w:r w:rsidR="00993D18" w:rsidRPr="0009730E">
              <w:rPr>
                <w:rFonts w:ascii="Century" w:hAnsi="Century"/>
                <w:b/>
                <w:color w:val="003366"/>
                <w:sz w:val="22"/>
                <w:szCs w:val="22"/>
              </w:rPr>
              <w:t xml:space="preserve">Insurance </w:t>
            </w:r>
            <w:r w:rsidR="000D37C8" w:rsidRPr="0009730E">
              <w:rPr>
                <w:rFonts w:ascii="Century" w:hAnsi="Century"/>
                <w:b/>
                <w:color w:val="003366"/>
                <w:sz w:val="22"/>
                <w:szCs w:val="22"/>
              </w:rPr>
              <w:t>Coverage</w:t>
            </w:r>
            <w:r w:rsidR="00C85053" w:rsidRPr="0009730E">
              <w:rPr>
                <w:rFonts w:ascii="Century" w:hAnsi="Century"/>
                <w:b/>
                <w:color w:val="003366"/>
                <w:sz w:val="22"/>
                <w:szCs w:val="22"/>
              </w:rPr>
              <w:t xml:space="preserve"> and </w:t>
            </w:r>
            <w:r w:rsidR="002750BD" w:rsidRPr="0009730E">
              <w:rPr>
                <w:rFonts w:ascii="Century" w:hAnsi="Century"/>
                <w:b/>
                <w:color w:val="003366"/>
                <w:sz w:val="22"/>
                <w:szCs w:val="22"/>
              </w:rPr>
              <w:t xml:space="preserve">Pension </w:t>
            </w:r>
            <w:r w:rsidR="000D37C8" w:rsidRPr="0009730E">
              <w:rPr>
                <w:rFonts w:ascii="Century" w:hAnsi="Century"/>
                <w:b/>
                <w:color w:val="003366"/>
                <w:sz w:val="22"/>
                <w:szCs w:val="22"/>
              </w:rPr>
              <w:t>Fund</w:t>
            </w:r>
            <w:r w:rsidR="00C85053" w:rsidRPr="0009730E">
              <w:rPr>
                <w:rFonts w:ascii="Century" w:hAnsi="Century"/>
                <w:b/>
                <w:color w:val="003366"/>
                <w:sz w:val="22"/>
                <w:szCs w:val="22"/>
              </w:rPr>
              <w:t xml:space="preserve"> </w:t>
            </w:r>
            <w:r w:rsidR="00993D18" w:rsidRPr="0009730E">
              <w:rPr>
                <w:rFonts w:ascii="Century" w:hAnsi="Century"/>
                <w:b/>
                <w:color w:val="003366"/>
                <w:sz w:val="22"/>
                <w:szCs w:val="22"/>
              </w:rPr>
              <w:t>Versus</w:t>
            </w:r>
            <w:r w:rsidR="00B35BA9" w:rsidRPr="0009730E">
              <w:rPr>
                <w:rFonts w:ascii="Century" w:hAnsi="Century"/>
                <w:b/>
                <w:color w:val="003366"/>
                <w:sz w:val="22"/>
                <w:szCs w:val="22"/>
              </w:rPr>
              <w:t xml:space="preserve"> GDP</w:t>
            </w:r>
          </w:p>
          <w:p w:rsidR="00C85053" w:rsidRPr="00B10D90" w:rsidRDefault="00C85053" w:rsidP="006E0753">
            <w:pPr>
              <w:rPr>
                <w:rFonts w:ascii="Century" w:hAnsi="Century"/>
                <w:color w:val="333333"/>
                <w:sz w:val="22"/>
                <w:szCs w:val="22"/>
                <w:highlight w:val="yellow"/>
              </w:rPr>
            </w:pPr>
          </w:p>
          <w:p w:rsidR="00993D18" w:rsidRPr="00B10D90" w:rsidRDefault="00993D18" w:rsidP="00993D18">
            <w:pPr>
              <w:jc w:val="both"/>
              <w:rPr>
                <w:rFonts w:ascii="Century" w:hAnsi="Century"/>
                <w:color w:val="333333"/>
                <w:sz w:val="22"/>
                <w:szCs w:val="22"/>
                <w:highlight w:val="yellow"/>
              </w:rPr>
            </w:pPr>
            <w:r w:rsidRPr="0009730E">
              <w:rPr>
                <w:rFonts w:ascii="Century" w:hAnsi="Century"/>
                <w:color w:val="333333"/>
                <w:sz w:val="22"/>
                <w:szCs w:val="22"/>
              </w:rPr>
              <w:t>In 201</w:t>
            </w:r>
            <w:r w:rsidR="0009730E" w:rsidRPr="0009730E">
              <w:rPr>
                <w:rFonts w:ascii="Century" w:hAnsi="Century"/>
                <w:color w:val="333333"/>
                <w:sz w:val="22"/>
                <w:szCs w:val="22"/>
              </w:rPr>
              <w:t>8</w:t>
            </w:r>
            <w:r w:rsidRPr="0009730E">
              <w:rPr>
                <w:rFonts w:ascii="Century" w:hAnsi="Century"/>
                <w:color w:val="333333"/>
                <w:sz w:val="22"/>
                <w:szCs w:val="22"/>
              </w:rPr>
              <w:t xml:space="preserve">, a total amount of </w:t>
            </w:r>
            <w:r w:rsidRPr="0009730E">
              <w:rPr>
                <w:rFonts w:ascii="AbakuTLSymSans" w:hAnsi="AbakuTLSymSans" w:cs="Arial"/>
                <w:bCs/>
                <w:color w:val="333333"/>
                <w:sz w:val="20"/>
                <w:szCs w:val="20"/>
              </w:rPr>
              <w:t>¨</w:t>
            </w:r>
            <w:r w:rsidR="0009730E" w:rsidRPr="0009730E">
              <w:rPr>
                <w:rFonts w:ascii="Century" w:hAnsi="Century"/>
                <w:color w:val="333333"/>
                <w:sz w:val="22"/>
                <w:szCs w:val="22"/>
              </w:rPr>
              <w:t>54</w:t>
            </w:r>
            <w:r w:rsidRPr="0009730E">
              <w:rPr>
                <w:rFonts w:ascii="Century" w:hAnsi="Century"/>
                <w:color w:val="333333"/>
                <w:sz w:val="22"/>
                <w:szCs w:val="22"/>
              </w:rPr>
              <w:t>.</w:t>
            </w:r>
            <w:r w:rsidR="00C03BEA" w:rsidRPr="0009730E">
              <w:rPr>
                <w:rFonts w:ascii="Century" w:hAnsi="Century"/>
                <w:color w:val="333333"/>
                <w:sz w:val="22"/>
                <w:szCs w:val="22"/>
              </w:rPr>
              <w:t>6</w:t>
            </w:r>
            <w:r w:rsidRPr="0009730E">
              <w:rPr>
                <w:rFonts w:ascii="Century" w:hAnsi="Century"/>
                <w:color w:val="333333"/>
                <w:sz w:val="22"/>
                <w:szCs w:val="22"/>
              </w:rPr>
              <w:t xml:space="preserve"> billion premium has been realized and </w:t>
            </w:r>
            <w:proofErr w:type="gramStart"/>
            <w:r w:rsidRPr="0009730E">
              <w:rPr>
                <w:rFonts w:ascii="AbakuTLSymSans" w:hAnsi="AbakuTLSymSans" w:cs="Arial"/>
                <w:bCs/>
                <w:color w:val="333333"/>
                <w:sz w:val="20"/>
                <w:szCs w:val="20"/>
              </w:rPr>
              <w:t>¨</w:t>
            </w:r>
            <w:r w:rsidR="00DA40F3" w:rsidRPr="0009730E">
              <w:rPr>
                <w:rFonts w:ascii="Century" w:hAnsi="Century"/>
                <w:color w:val="333333"/>
                <w:sz w:val="22"/>
                <w:szCs w:val="22"/>
              </w:rPr>
              <w:t>1</w:t>
            </w:r>
            <w:r w:rsidR="0009730E" w:rsidRPr="0009730E">
              <w:rPr>
                <w:rFonts w:ascii="Century" w:hAnsi="Century"/>
                <w:color w:val="333333"/>
                <w:sz w:val="22"/>
                <w:szCs w:val="22"/>
              </w:rPr>
              <w:t>26</w:t>
            </w:r>
            <w:r w:rsidRPr="0009730E">
              <w:rPr>
                <w:rFonts w:ascii="Century" w:hAnsi="Century"/>
                <w:color w:val="333333"/>
                <w:sz w:val="22"/>
                <w:szCs w:val="22"/>
              </w:rPr>
              <w:t>.</w:t>
            </w:r>
            <w:r w:rsidR="0009730E" w:rsidRPr="0009730E">
              <w:rPr>
                <w:rFonts w:ascii="Century" w:hAnsi="Century"/>
                <w:color w:val="333333"/>
                <w:sz w:val="22"/>
                <w:szCs w:val="22"/>
              </w:rPr>
              <w:t>9</w:t>
            </w:r>
            <w:r w:rsidRPr="0009730E">
              <w:rPr>
                <w:rFonts w:ascii="Century" w:hAnsi="Century"/>
                <w:color w:val="333333"/>
                <w:sz w:val="22"/>
                <w:szCs w:val="22"/>
              </w:rPr>
              <w:t xml:space="preserve"> trillion insurance coverage</w:t>
            </w:r>
            <w:proofErr w:type="gramEnd"/>
            <w:r w:rsidRPr="0009730E">
              <w:rPr>
                <w:rFonts w:ascii="Century" w:hAnsi="Century"/>
                <w:color w:val="333333"/>
                <w:sz w:val="22"/>
                <w:szCs w:val="22"/>
              </w:rPr>
              <w:t xml:space="preserve"> ha</w:t>
            </w:r>
            <w:r w:rsidR="00735694" w:rsidRPr="0009730E">
              <w:rPr>
                <w:rFonts w:ascii="Century" w:hAnsi="Century"/>
                <w:color w:val="333333"/>
                <w:sz w:val="22"/>
                <w:szCs w:val="22"/>
              </w:rPr>
              <w:t>s</w:t>
            </w:r>
            <w:r w:rsidRPr="0009730E">
              <w:rPr>
                <w:rFonts w:ascii="Century" w:hAnsi="Century"/>
                <w:color w:val="333333"/>
                <w:sz w:val="22"/>
                <w:szCs w:val="22"/>
              </w:rPr>
              <w:t xml:space="preserve"> been provided by </w:t>
            </w:r>
            <w:r w:rsidRPr="00B60D9B">
              <w:rPr>
                <w:rFonts w:ascii="Century" w:hAnsi="Century"/>
                <w:color w:val="333333"/>
                <w:sz w:val="22"/>
                <w:szCs w:val="22"/>
              </w:rPr>
              <w:t xml:space="preserve">insurance sector. Considering </w:t>
            </w:r>
            <w:r w:rsidRPr="00B60D9B">
              <w:rPr>
                <w:rFonts w:ascii="AbakuTLSymSans" w:hAnsi="AbakuTLSymSans" w:cs="Arial"/>
                <w:bCs/>
                <w:color w:val="333333"/>
                <w:sz w:val="20"/>
                <w:szCs w:val="20"/>
              </w:rPr>
              <w:t>¨</w:t>
            </w:r>
            <w:r w:rsidR="00DA40F3" w:rsidRPr="00B60D9B">
              <w:rPr>
                <w:rFonts w:ascii="Century" w:hAnsi="Century"/>
                <w:color w:val="333333"/>
                <w:sz w:val="22"/>
                <w:szCs w:val="22"/>
              </w:rPr>
              <w:t>3</w:t>
            </w:r>
            <w:r w:rsidRPr="00B60D9B">
              <w:rPr>
                <w:rFonts w:ascii="Century" w:hAnsi="Century"/>
                <w:color w:val="333333"/>
                <w:sz w:val="22"/>
                <w:szCs w:val="22"/>
              </w:rPr>
              <w:t>.</w:t>
            </w:r>
            <w:r w:rsidR="00B60D9B" w:rsidRPr="00B60D9B">
              <w:rPr>
                <w:rFonts w:ascii="Century" w:hAnsi="Century"/>
                <w:color w:val="333333"/>
                <w:sz w:val="22"/>
                <w:szCs w:val="22"/>
              </w:rPr>
              <w:t>7</w:t>
            </w:r>
            <w:r w:rsidRPr="00B60D9B">
              <w:rPr>
                <w:rFonts w:ascii="Century" w:hAnsi="Century"/>
                <w:color w:val="333333"/>
                <w:sz w:val="22"/>
                <w:szCs w:val="22"/>
              </w:rPr>
              <w:t xml:space="preserve"> trillion of GDP in the same term, the rat</w:t>
            </w:r>
            <w:r w:rsidR="00B728F9" w:rsidRPr="00B60D9B">
              <w:rPr>
                <w:rFonts w:ascii="Century" w:hAnsi="Century"/>
                <w:color w:val="333333"/>
                <w:sz w:val="22"/>
                <w:szCs w:val="22"/>
              </w:rPr>
              <w:t>io</w:t>
            </w:r>
            <w:r w:rsidRPr="00B60D9B">
              <w:rPr>
                <w:rFonts w:ascii="Century" w:hAnsi="Century"/>
                <w:color w:val="333333"/>
                <w:sz w:val="22"/>
                <w:szCs w:val="22"/>
              </w:rPr>
              <w:t xml:space="preserve"> of dir</w:t>
            </w:r>
            <w:r w:rsidR="00DA40F3" w:rsidRPr="00B60D9B">
              <w:rPr>
                <w:rFonts w:ascii="Century" w:hAnsi="Century"/>
                <w:color w:val="333333"/>
                <w:sz w:val="22"/>
                <w:szCs w:val="22"/>
              </w:rPr>
              <w:t xml:space="preserve">ect gross premium </w:t>
            </w:r>
            <w:r w:rsidR="00B60D9B" w:rsidRPr="00B60D9B">
              <w:rPr>
                <w:rFonts w:ascii="Century" w:hAnsi="Century"/>
                <w:color w:val="333333"/>
                <w:sz w:val="22"/>
                <w:szCs w:val="22"/>
              </w:rPr>
              <w:t>to GDP is 1.36</w:t>
            </w:r>
            <w:r w:rsidR="00B57179" w:rsidRPr="00B60D9B">
              <w:rPr>
                <w:rFonts w:ascii="Century" w:hAnsi="Century"/>
                <w:bCs/>
                <w:color w:val="333333"/>
                <w:sz w:val="22"/>
                <w:szCs w:val="22"/>
              </w:rPr>
              <w:t>%</w:t>
            </w:r>
            <w:r w:rsidRPr="00B60D9B">
              <w:rPr>
                <w:rFonts w:ascii="Century" w:hAnsi="Century"/>
                <w:color w:val="333333"/>
                <w:sz w:val="22"/>
                <w:szCs w:val="22"/>
              </w:rPr>
              <w:t xml:space="preserve"> and the total insurance coverage is </w:t>
            </w:r>
            <w:r w:rsidR="00C238D3" w:rsidRPr="00B60D9B">
              <w:rPr>
                <w:rFonts w:ascii="Century" w:hAnsi="Century"/>
                <w:color w:val="333333"/>
                <w:sz w:val="22"/>
                <w:szCs w:val="22"/>
              </w:rPr>
              <w:t>3</w:t>
            </w:r>
            <w:r w:rsidR="00B60D9B" w:rsidRPr="00B60D9B">
              <w:rPr>
                <w:rFonts w:ascii="Century" w:hAnsi="Century"/>
                <w:color w:val="333333"/>
                <w:sz w:val="22"/>
                <w:szCs w:val="22"/>
              </w:rPr>
              <w:t>4</w:t>
            </w:r>
            <w:r w:rsidRPr="00B60D9B">
              <w:rPr>
                <w:rFonts w:ascii="Century" w:hAnsi="Century"/>
                <w:color w:val="333333"/>
                <w:sz w:val="22"/>
                <w:szCs w:val="22"/>
              </w:rPr>
              <w:t xml:space="preserve"> times bigger than GDP. At the end of 201</w:t>
            </w:r>
            <w:r w:rsidR="00B60D9B" w:rsidRPr="00B60D9B">
              <w:rPr>
                <w:rFonts w:ascii="Century" w:hAnsi="Century"/>
                <w:color w:val="333333"/>
                <w:sz w:val="22"/>
                <w:szCs w:val="22"/>
              </w:rPr>
              <w:t>8</w:t>
            </w:r>
            <w:r w:rsidR="00C238D3" w:rsidRPr="00B60D9B">
              <w:rPr>
                <w:rFonts w:ascii="Century" w:hAnsi="Century"/>
                <w:color w:val="333333"/>
                <w:sz w:val="22"/>
                <w:szCs w:val="22"/>
              </w:rPr>
              <w:t xml:space="preserve">, </w:t>
            </w:r>
            <w:r w:rsidRPr="00B60D9B">
              <w:rPr>
                <w:rFonts w:ascii="Century" w:hAnsi="Century"/>
                <w:color w:val="333333"/>
                <w:sz w:val="22"/>
                <w:szCs w:val="22"/>
              </w:rPr>
              <w:t xml:space="preserve">total amount of </w:t>
            </w:r>
            <w:r w:rsidR="00B728F9" w:rsidRPr="00B60D9B">
              <w:rPr>
                <w:rFonts w:ascii="Century" w:hAnsi="Century"/>
                <w:color w:val="333333"/>
                <w:sz w:val="22"/>
                <w:szCs w:val="22"/>
              </w:rPr>
              <w:t xml:space="preserve">the </w:t>
            </w:r>
            <w:r w:rsidRPr="00B60D9B">
              <w:rPr>
                <w:rFonts w:ascii="Century" w:hAnsi="Century"/>
                <w:color w:val="333333"/>
                <w:sz w:val="22"/>
                <w:szCs w:val="22"/>
              </w:rPr>
              <w:t>p</w:t>
            </w:r>
            <w:r w:rsidR="00DA40F3" w:rsidRPr="00B60D9B">
              <w:rPr>
                <w:rFonts w:ascii="Century" w:hAnsi="Century"/>
                <w:color w:val="333333"/>
                <w:sz w:val="22"/>
                <w:szCs w:val="22"/>
              </w:rPr>
              <w:t>ension funds ha</w:t>
            </w:r>
            <w:r w:rsidR="00735694" w:rsidRPr="00B60D9B">
              <w:rPr>
                <w:rFonts w:ascii="Century" w:hAnsi="Century"/>
                <w:color w:val="333333"/>
                <w:sz w:val="22"/>
                <w:szCs w:val="22"/>
              </w:rPr>
              <w:t>s</w:t>
            </w:r>
            <w:r w:rsidR="00DA40F3" w:rsidRPr="00B60D9B">
              <w:rPr>
                <w:rFonts w:ascii="Century" w:hAnsi="Century"/>
                <w:color w:val="333333"/>
                <w:sz w:val="22"/>
                <w:szCs w:val="22"/>
              </w:rPr>
              <w:t xml:space="preserve"> reached 2.</w:t>
            </w:r>
            <w:r w:rsidR="00B60D9B" w:rsidRPr="00B60D9B">
              <w:rPr>
                <w:rFonts w:ascii="Century" w:hAnsi="Century"/>
                <w:color w:val="333333"/>
                <w:sz w:val="22"/>
                <w:szCs w:val="22"/>
              </w:rPr>
              <w:t>4</w:t>
            </w:r>
            <w:r w:rsidR="00B57179" w:rsidRPr="00B60D9B">
              <w:rPr>
                <w:rFonts w:ascii="Century" w:hAnsi="Century"/>
                <w:bCs/>
                <w:color w:val="333333"/>
                <w:sz w:val="22"/>
                <w:szCs w:val="22"/>
              </w:rPr>
              <w:t>%</w:t>
            </w:r>
            <w:r w:rsidRPr="00B60D9B">
              <w:rPr>
                <w:rFonts w:ascii="Century" w:hAnsi="Century"/>
                <w:color w:val="333333"/>
                <w:sz w:val="22"/>
                <w:szCs w:val="22"/>
              </w:rPr>
              <w:t xml:space="preserve"> of the GDP.</w:t>
            </w:r>
          </w:p>
          <w:p w:rsidR="00993D18" w:rsidRDefault="00993D18" w:rsidP="00993D18">
            <w:pPr>
              <w:jc w:val="both"/>
              <w:rPr>
                <w:rFonts w:ascii="Century" w:hAnsi="Century"/>
                <w:color w:val="333333"/>
                <w:sz w:val="22"/>
                <w:szCs w:val="22"/>
              </w:rPr>
            </w:pPr>
          </w:p>
          <w:p w:rsidR="005B31A7" w:rsidRDefault="005B31A7" w:rsidP="00993D18">
            <w:pPr>
              <w:jc w:val="both"/>
              <w:rPr>
                <w:rFonts w:ascii="Century" w:hAnsi="Century"/>
                <w:color w:val="333333"/>
                <w:sz w:val="22"/>
                <w:szCs w:val="22"/>
              </w:rPr>
            </w:pPr>
          </w:p>
          <w:p w:rsidR="005B31A7" w:rsidRPr="00B60D9B" w:rsidRDefault="005B31A7" w:rsidP="00993D18">
            <w:pPr>
              <w:jc w:val="both"/>
              <w:rPr>
                <w:rFonts w:ascii="Century" w:hAnsi="Century"/>
                <w:color w:val="333333"/>
                <w:sz w:val="22"/>
                <w:szCs w:val="22"/>
              </w:rPr>
            </w:pPr>
          </w:p>
          <w:p w:rsidR="00C85053" w:rsidRPr="00B60D9B" w:rsidRDefault="00993D18" w:rsidP="00993D18">
            <w:pPr>
              <w:jc w:val="both"/>
              <w:rPr>
                <w:rFonts w:ascii="Century" w:hAnsi="Century"/>
                <w:color w:val="333333"/>
                <w:sz w:val="22"/>
                <w:szCs w:val="22"/>
              </w:rPr>
            </w:pPr>
            <w:r w:rsidRPr="00B60D9B">
              <w:rPr>
                <w:rFonts w:ascii="Century" w:hAnsi="Century"/>
                <w:color w:val="333333"/>
                <w:sz w:val="22"/>
                <w:szCs w:val="22"/>
              </w:rPr>
              <w:t xml:space="preserve">The following table and graph </w:t>
            </w:r>
            <w:r w:rsidR="00735694" w:rsidRPr="00B60D9B">
              <w:rPr>
                <w:rFonts w:ascii="Century" w:hAnsi="Century"/>
                <w:color w:val="333333"/>
                <w:sz w:val="22"/>
                <w:szCs w:val="22"/>
              </w:rPr>
              <w:t>re</w:t>
            </w:r>
            <w:r w:rsidRPr="00B60D9B">
              <w:rPr>
                <w:rFonts w:ascii="Century" w:hAnsi="Century"/>
                <w:color w:val="333333"/>
                <w:sz w:val="22"/>
                <w:szCs w:val="22"/>
              </w:rPr>
              <w:t>present gross premium production, total insurance coverage given by the companies, and accumulated fund</w:t>
            </w:r>
            <w:r w:rsidR="00735694" w:rsidRPr="00B60D9B">
              <w:rPr>
                <w:rFonts w:ascii="Century" w:hAnsi="Century"/>
                <w:color w:val="333333"/>
                <w:sz w:val="22"/>
                <w:szCs w:val="22"/>
              </w:rPr>
              <w:t>s</w:t>
            </w:r>
            <w:r w:rsidRPr="00B60D9B">
              <w:rPr>
                <w:rFonts w:ascii="Century" w:hAnsi="Century"/>
                <w:color w:val="333333"/>
                <w:sz w:val="22"/>
                <w:szCs w:val="22"/>
              </w:rPr>
              <w:t xml:space="preserve"> compared to GDP for the last five years.</w:t>
            </w:r>
          </w:p>
          <w:p w:rsidR="00154A6B" w:rsidRPr="00B10D90" w:rsidRDefault="00154A6B" w:rsidP="006E0753">
            <w:pPr>
              <w:jc w:val="both"/>
              <w:rPr>
                <w:rFonts w:ascii="Century" w:hAnsi="Century"/>
                <w:color w:val="333333"/>
                <w:sz w:val="22"/>
                <w:szCs w:val="22"/>
                <w:highlight w:val="yellow"/>
              </w:rPr>
            </w:pPr>
          </w:p>
        </w:tc>
      </w:tr>
      <w:tr w:rsidR="00C85053" w:rsidRPr="00B10D90" w:rsidTr="00441D50">
        <w:trPr>
          <w:gridAfter w:val="2"/>
          <w:wAfter w:w="38" w:type="dxa"/>
          <w:trHeight w:val="3119"/>
        </w:trPr>
        <w:tc>
          <w:tcPr>
            <w:tcW w:w="9820" w:type="dxa"/>
            <w:gridSpan w:val="14"/>
          </w:tcPr>
          <w:p w:rsidR="001C02B6" w:rsidRPr="00B60D9B" w:rsidRDefault="001C02B6" w:rsidP="001C02B6">
            <w:pPr>
              <w:jc w:val="center"/>
              <w:rPr>
                <w:rFonts w:ascii="Century" w:hAnsi="Century"/>
                <w:b/>
                <w:color w:val="000080"/>
                <w:sz w:val="20"/>
                <w:szCs w:val="20"/>
              </w:rPr>
            </w:pPr>
            <w:r w:rsidRPr="00B60D9B">
              <w:rPr>
                <w:rFonts w:ascii="Century" w:hAnsi="Century"/>
                <w:b/>
                <w:color w:val="000080"/>
                <w:sz w:val="20"/>
                <w:szCs w:val="20"/>
              </w:rPr>
              <w:t>Tablo 1.2.3: Toplam Prim, Teminat ve Birikim Tutarları ile GSYH</w:t>
            </w:r>
          </w:p>
          <w:p w:rsidR="001C02B6" w:rsidRPr="00B60D9B" w:rsidRDefault="001C02B6" w:rsidP="001C02B6">
            <w:pPr>
              <w:jc w:val="center"/>
              <w:rPr>
                <w:rFonts w:ascii="Century" w:hAnsi="Century"/>
                <w:i/>
                <w:color w:val="000080"/>
                <w:sz w:val="20"/>
                <w:szCs w:val="20"/>
              </w:rPr>
            </w:pPr>
            <w:r w:rsidRPr="00B60D9B">
              <w:rPr>
                <w:rFonts w:ascii="Century" w:hAnsi="Century"/>
                <w:i/>
                <w:color w:val="000080"/>
                <w:sz w:val="20"/>
                <w:szCs w:val="20"/>
              </w:rPr>
              <w:t xml:space="preserve">Gross Premium Volume, </w:t>
            </w:r>
            <w:r w:rsidR="00993D18" w:rsidRPr="00B60D9B">
              <w:rPr>
                <w:rFonts w:ascii="Century" w:hAnsi="Century"/>
                <w:i/>
                <w:color w:val="000080"/>
                <w:sz w:val="20"/>
                <w:szCs w:val="20"/>
              </w:rPr>
              <w:t xml:space="preserve">Insurance </w:t>
            </w:r>
            <w:r w:rsidRPr="00B60D9B">
              <w:rPr>
                <w:rFonts w:ascii="Century" w:hAnsi="Century"/>
                <w:i/>
                <w:color w:val="000080"/>
                <w:sz w:val="20"/>
                <w:szCs w:val="20"/>
              </w:rPr>
              <w:t>Coverage, Accumulated Funds and GDP</w:t>
            </w:r>
          </w:p>
          <w:p w:rsidR="00E675C2" w:rsidRPr="00B60D9B" w:rsidRDefault="00B60D9B" w:rsidP="001C02B6">
            <w:pPr>
              <w:jc w:val="center"/>
              <w:rPr>
                <w:rFonts w:ascii="Century" w:hAnsi="Century"/>
                <w:i/>
                <w:color w:val="000080"/>
                <w:sz w:val="20"/>
                <w:szCs w:val="20"/>
              </w:rPr>
            </w:pPr>
            <w:r w:rsidRPr="00B60D9B">
              <w:rPr>
                <w:rFonts w:ascii="Century" w:hAnsi="Century"/>
                <w:i/>
                <w:noProof/>
                <w:color w:val="000080"/>
                <w:sz w:val="20"/>
                <w:szCs w:val="20"/>
              </w:rPr>
              <w:drawing>
                <wp:inline distT="0" distB="0" distL="0" distR="0" wp14:anchorId="3B3BDE8C" wp14:editId="02D57B3A">
                  <wp:extent cx="6098540" cy="144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1447165"/>
                          </a:xfrm>
                          <a:prstGeom prst="rect">
                            <a:avLst/>
                          </a:prstGeom>
                          <a:noFill/>
                          <a:ln>
                            <a:noFill/>
                          </a:ln>
                        </pic:spPr>
                      </pic:pic>
                    </a:graphicData>
                  </a:graphic>
                </wp:inline>
              </w:drawing>
            </w:r>
          </w:p>
          <w:p w:rsidR="001C02B6" w:rsidRPr="00B60D9B" w:rsidRDefault="001C02B6" w:rsidP="001C02B6">
            <w:pPr>
              <w:jc w:val="both"/>
              <w:rPr>
                <w:rFonts w:ascii="Century" w:hAnsi="Century" w:cs="Arial TUR"/>
                <w:i/>
                <w:sz w:val="16"/>
                <w:szCs w:val="16"/>
              </w:rPr>
            </w:pPr>
            <w:r w:rsidRPr="00B60D9B">
              <w:rPr>
                <w:rFonts w:ascii="Century" w:hAnsi="Century" w:cs="Arial TUR"/>
                <w:sz w:val="16"/>
                <w:szCs w:val="16"/>
              </w:rPr>
              <w:t xml:space="preserve"> (*) Cari Fiyatlarla Üretim Yöntemine Göre – </w:t>
            </w:r>
            <w:r w:rsidRPr="00B60D9B">
              <w:rPr>
                <w:rFonts w:ascii="Century" w:hAnsi="Century" w:cs="Arial TUR"/>
                <w:i/>
                <w:sz w:val="16"/>
                <w:szCs w:val="16"/>
              </w:rPr>
              <w:t xml:space="preserve">With </w:t>
            </w:r>
            <w:r w:rsidR="0045278E" w:rsidRPr="00B60D9B">
              <w:rPr>
                <w:rFonts w:ascii="Century" w:hAnsi="Century" w:cs="Arial TUR"/>
                <w:i/>
                <w:sz w:val="16"/>
                <w:szCs w:val="16"/>
              </w:rPr>
              <w:t xml:space="preserve">nominal values </w:t>
            </w:r>
            <w:r w:rsidRPr="00B60D9B">
              <w:rPr>
                <w:rFonts w:ascii="Century" w:hAnsi="Century" w:cs="Arial TUR"/>
                <w:i/>
                <w:sz w:val="16"/>
                <w:szCs w:val="16"/>
              </w:rPr>
              <w:t xml:space="preserve">and production </w:t>
            </w:r>
            <w:r w:rsidR="0045278E" w:rsidRPr="00B60D9B">
              <w:rPr>
                <w:rFonts w:ascii="Century" w:hAnsi="Century" w:cs="Arial TUR"/>
                <w:i/>
                <w:sz w:val="16"/>
                <w:szCs w:val="16"/>
              </w:rPr>
              <w:t>approach</w:t>
            </w:r>
            <w:r w:rsidRPr="00B60D9B">
              <w:rPr>
                <w:rFonts w:ascii="Century" w:hAnsi="Century" w:cs="Arial TUR"/>
                <w:i/>
                <w:sz w:val="16"/>
                <w:szCs w:val="16"/>
              </w:rPr>
              <w:t>.</w:t>
            </w:r>
          </w:p>
          <w:p w:rsidR="00E637A5" w:rsidRPr="00B60D9B" w:rsidRDefault="00E637A5" w:rsidP="00611DFA">
            <w:pPr>
              <w:jc w:val="both"/>
              <w:rPr>
                <w:rFonts w:ascii="Century" w:hAnsi="Century"/>
                <w:color w:val="333333"/>
                <w:sz w:val="22"/>
                <w:szCs w:val="22"/>
              </w:rPr>
            </w:pPr>
          </w:p>
          <w:p w:rsidR="00E675C2" w:rsidRPr="00B10D90" w:rsidRDefault="00E675C2" w:rsidP="00611DFA">
            <w:pPr>
              <w:jc w:val="both"/>
              <w:rPr>
                <w:rFonts w:ascii="Century" w:hAnsi="Century"/>
                <w:color w:val="333333"/>
                <w:sz w:val="22"/>
                <w:szCs w:val="22"/>
                <w:highlight w:val="yellow"/>
              </w:rPr>
            </w:pPr>
          </w:p>
        </w:tc>
      </w:tr>
      <w:tr w:rsidR="00C85053" w:rsidRPr="00B10D90" w:rsidTr="00441D50">
        <w:tblPrEx>
          <w:tblCellMar>
            <w:left w:w="70" w:type="dxa"/>
            <w:right w:w="70" w:type="dxa"/>
          </w:tblCellMar>
        </w:tblPrEx>
        <w:trPr>
          <w:trHeight w:val="349"/>
        </w:trPr>
        <w:tc>
          <w:tcPr>
            <w:tcW w:w="9858" w:type="dxa"/>
            <w:gridSpan w:val="16"/>
          </w:tcPr>
          <w:p w:rsidR="00C85053" w:rsidRPr="00B60D9B" w:rsidRDefault="00C6234F" w:rsidP="0001604D">
            <w:pPr>
              <w:jc w:val="center"/>
              <w:rPr>
                <w:rFonts w:ascii="Century" w:hAnsi="Century"/>
                <w:b/>
                <w:color w:val="000080"/>
                <w:sz w:val="20"/>
                <w:szCs w:val="20"/>
              </w:rPr>
            </w:pPr>
            <w:r w:rsidRPr="00B60D9B">
              <w:rPr>
                <w:rFonts w:ascii="Century" w:hAnsi="Century"/>
                <w:b/>
                <w:color w:val="000080"/>
                <w:sz w:val="20"/>
                <w:szCs w:val="20"/>
              </w:rPr>
              <w:t>Grafik 1.2</w:t>
            </w:r>
            <w:r w:rsidR="00C85053" w:rsidRPr="00B60D9B">
              <w:rPr>
                <w:rFonts w:ascii="Century" w:hAnsi="Century"/>
                <w:b/>
                <w:color w:val="000080"/>
                <w:sz w:val="20"/>
                <w:szCs w:val="20"/>
              </w:rPr>
              <w:t xml:space="preserve">.3: </w:t>
            </w:r>
            <w:r w:rsidR="00A95D59" w:rsidRPr="00B60D9B">
              <w:rPr>
                <w:rFonts w:ascii="Century" w:hAnsi="Century"/>
                <w:b/>
                <w:color w:val="000080"/>
                <w:sz w:val="20"/>
                <w:szCs w:val="20"/>
              </w:rPr>
              <w:t>Toplam</w:t>
            </w:r>
            <w:r w:rsidR="00495086" w:rsidRPr="00B60D9B">
              <w:rPr>
                <w:rFonts w:ascii="Century" w:hAnsi="Century"/>
                <w:b/>
                <w:color w:val="000080"/>
                <w:sz w:val="20"/>
                <w:szCs w:val="20"/>
              </w:rPr>
              <w:t xml:space="preserve"> </w:t>
            </w:r>
            <w:r w:rsidR="00C85053" w:rsidRPr="00B60D9B">
              <w:rPr>
                <w:rFonts w:ascii="Century" w:hAnsi="Century"/>
                <w:b/>
                <w:color w:val="000080"/>
                <w:sz w:val="20"/>
                <w:szCs w:val="20"/>
              </w:rPr>
              <w:t xml:space="preserve">Prim </w:t>
            </w:r>
            <w:r w:rsidR="00495086" w:rsidRPr="00B60D9B">
              <w:rPr>
                <w:rFonts w:ascii="Century" w:hAnsi="Century"/>
                <w:b/>
                <w:color w:val="000080"/>
                <w:sz w:val="20"/>
                <w:szCs w:val="20"/>
              </w:rPr>
              <w:t xml:space="preserve">Üretimi </w:t>
            </w:r>
            <w:r w:rsidR="00C85053" w:rsidRPr="00B60D9B">
              <w:rPr>
                <w:rFonts w:ascii="Century" w:hAnsi="Century"/>
                <w:b/>
                <w:color w:val="000080"/>
                <w:sz w:val="20"/>
                <w:szCs w:val="20"/>
              </w:rPr>
              <w:t xml:space="preserve">ve </w:t>
            </w:r>
            <w:r w:rsidR="007437DB" w:rsidRPr="00B60D9B">
              <w:rPr>
                <w:rFonts w:ascii="Century" w:hAnsi="Century"/>
                <w:b/>
                <w:color w:val="000080"/>
                <w:sz w:val="20"/>
                <w:szCs w:val="20"/>
              </w:rPr>
              <w:t>Birikim Tutarlarının GSY</w:t>
            </w:r>
            <w:r w:rsidR="00C85053" w:rsidRPr="00B60D9B">
              <w:rPr>
                <w:rFonts w:ascii="Century" w:hAnsi="Century"/>
                <w:b/>
                <w:color w:val="000080"/>
                <w:sz w:val="20"/>
                <w:szCs w:val="20"/>
              </w:rPr>
              <w:t>H’ye Oranları</w:t>
            </w:r>
          </w:p>
          <w:p w:rsidR="00C85053" w:rsidRPr="00B60D9B" w:rsidRDefault="00C85053" w:rsidP="0001604D">
            <w:pPr>
              <w:jc w:val="center"/>
              <w:rPr>
                <w:rFonts w:ascii="Century" w:hAnsi="Century"/>
                <w:i/>
                <w:color w:val="000080"/>
                <w:sz w:val="20"/>
                <w:szCs w:val="20"/>
              </w:rPr>
            </w:pPr>
            <w:r w:rsidRPr="00B60D9B">
              <w:rPr>
                <w:rFonts w:ascii="Century" w:hAnsi="Century"/>
                <w:i/>
                <w:color w:val="000080"/>
                <w:sz w:val="20"/>
                <w:szCs w:val="20"/>
              </w:rPr>
              <w:t xml:space="preserve">Rate of </w:t>
            </w:r>
            <w:r w:rsidR="00495086" w:rsidRPr="00B60D9B">
              <w:rPr>
                <w:rFonts w:ascii="Century" w:hAnsi="Century"/>
                <w:i/>
                <w:color w:val="000080"/>
                <w:sz w:val="20"/>
                <w:szCs w:val="20"/>
              </w:rPr>
              <w:t xml:space="preserve">Gross </w:t>
            </w:r>
            <w:r w:rsidRPr="00B60D9B">
              <w:rPr>
                <w:rFonts w:ascii="Century" w:hAnsi="Century"/>
                <w:i/>
                <w:color w:val="000080"/>
                <w:sz w:val="20"/>
                <w:szCs w:val="20"/>
              </w:rPr>
              <w:t>Premium Volume and Accumulated Fund</w:t>
            </w:r>
            <w:r w:rsidR="00495086" w:rsidRPr="00B60D9B">
              <w:rPr>
                <w:rFonts w:ascii="Century" w:hAnsi="Century"/>
                <w:i/>
                <w:color w:val="000080"/>
                <w:sz w:val="20"/>
                <w:szCs w:val="20"/>
              </w:rPr>
              <w:t>s</w:t>
            </w:r>
            <w:r w:rsidRPr="00B60D9B">
              <w:rPr>
                <w:rFonts w:ascii="Century" w:hAnsi="Century"/>
                <w:i/>
                <w:color w:val="000080"/>
                <w:sz w:val="20"/>
                <w:szCs w:val="20"/>
              </w:rPr>
              <w:t xml:space="preserve"> to GDP</w:t>
            </w:r>
          </w:p>
          <w:p w:rsidR="00C57CBA" w:rsidRPr="00B10D90" w:rsidRDefault="00B60D9B" w:rsidP="0001604D">
            <w:pPr>
              <w:jc w:val="center"/>
              <w:rPr>
                <w:rFonts w:ascii="Century" w:hAnsi="Century"/>
                <w:i/>
                <w:color w:val="000080"/>
                <w:sz w:val="20"/>
                <w:szCs w:val="20"/>
                <w:highlight w:val="yellow"/>
              </w:rPr>
            </w:pPr>
            <w:r>
              <w:rPr>
                <w:rFonts w:ascii="Century" w:hAnsi="Century"/>
                <w:i/>
                <w:noProof/>
                <w:color w:val="000080"/>
                <w:sz w:val="20"/>
                <w:szCs w:val="20"/>
              </w:rPr>
              <w:drawing>
                <wp:inline distT="0" distB="0" distL="0" distR="0" wp14:anchorId="52E515CB" wp14:editId="3981EFA8">
                  <wp:extent cx="6162040" cy="2234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040" cy="2234565"/>
                          </a:xfrm>
                          <a:prstGeom prst="rect">
                            <a:avLst/>
                          </a:prstGeom>
                          <a:noFill/>
                          <a:ln>
                            <a:noFill/>
                          </a:ln>
                        </pic:spPr>
                      </pic:pic>
                    </a:graphicData>
                  </a:graphic>
                </wp:inline>
              </w:drawing>
            </w:r>
          </w:p>
          <w:p w:rsidR="00C85053" w:rsidRPr="00B10D90" w:rsidRDefault="00C85053" w:rsidP="005B10FB">
            <w:pPr>
              <w:jc w:val="center"/>
              <w:rPr>
                <w:rFonts w:ascii="Century" w:hAnsi="Century"/>
                <w:sz w:val="22"/>
                <w:szCs w:val="22"/>
                <w:highlight w:val="yellow"/>
              </w:rPr>
            </w:pPr>
          </w:p>
        </w:tc>
      </w:tr>
      <w:tr w:rsidR="00C85053" w:rsidRPr="00B10D90" w:rsidTr="00441D50">
        <w:trPr>
          <w:gridAfter w:val="2"/>
          <w:wAfter w:w="38" w:type="dxa"/>
        </w:trPr>
        <w:tc>
          <w:tcPr>
            <w:tcW w:w="4817" w:type="dxa"/>
            <w:gridSpan w:val="2"/>
          </w:tcPr>
          <w:p w:rsidR="00C85053" w:rsidRPr="00226CF2" w:rsidRDefault="00C85053" w:rsidP="00642411">
            <w:pPr>
              <w:pStyle w:val="Heading3"/>
              <w:spacing w:before="0" w:after="0"/>
              <w:ind w:left="0"/>
              <w:jc w:val="both"/>
              <w:rPr>
                <w:rFonts w:ascii="Century" w:hAnsi="Century"/>
                <w:color w:val="000080"/>
                <w:sz w:val="22"/>
                <w:szCs w:val="22"/>
              </w:rPr>
            </w:pPr>
            <w:bookmarkStart w:id="161" w:name="_Toc266960736"/>
            <w:bookmarkStart w:id="162" w:name="_Toc327793328"/>
            <w:bookmarkStart w:id="163" w:name="_Toc358380188"/>
            <w:bookmarkStart w:id="164" w:name="_Toc12957658"/>
            <w:r w:rsidRPr="00226CF2">
              <w:rPr>
                <w:rFonts w:ascii="Century" w:hAnsi="Century"/>
                <w:color w:val="000080"/>
                <w:sz w:val="22"/>
                <w:szCs w:val="22"/>
              </w:rPr>
              <w:lastRenderedPageBreak/>
              <w:t>Prim Üretimi Artışları</w:t>
            </w:r>
            <w:bookmarkEnd w:id="161"/>
            <w:bookmarkEnd w:id="162"/>
            <w:bookmarkEnd w:id="163"/>
            <w:bookmarkEnd w:id="164"/>
          </w:p>
          <w:p w:rsidR="00C85053" w:rsidRPr="00226CF2" w:rsidRDefault="00C85053" w:rsidP="00CD35C2">
            <w:pPr>
              <w:jc w:val="both"/>
              <w:rPr>
                <w:rFonts w:ascii="Century" w:hAnsi="Century"/>
                <w:sz w:val="22"/>
                <w:szCs w:val="22"/>
              </w:rPr>
            </w:pPr>
          </w:p>
          <w:p w:rsidR="00993D18" w:rsidRPr="0090495F" w:rsidRDefault="00993D18" w:rsidP="00993D18">
            <w:pPr>
              <w:jc w:val="both"/>
              <w:rPr>
                <w:rFonts w:ascii="Century" w:hAnsi="Century"/>
                <w:sz w:val="22"/>
                <w:szCs w:val="22"/>
              </w:rPr>
            </w:pPr>
            <w:r w:rsidRPr="00226CF2">
              <w:rPr>
                <w:rFonts w:ascii="Century" w:hAnsi="Century"/>
                <w:sz w:val="22"/>
                <w:szCs w:val="22"/>
              </w:rPr>
              <w:t>Sigortacılık sektörü, yapısı gereği ekonomideki gelişmelerden hızlı ve yüksek oranda etkilenen finansal sektörlerin başında gelmektedir. Ekonominin genişlediği dönemlerde sektör GSYH’dan daha yüksek oranda büyümekte iken, ekonominin daraldığı dönemlerde ise daha hızlı küçülmektedir.</w:t>
            </w:r>
            <w:r w:rsidR="008D664F" w:rsidRPr="00226CF2">
              <w:rPr>
                <w:rFonts w:ascii="Century" w:hAnsi="Century"/>
                <w:sz w:val="22"/>
                <w:szCs w:val="22"/>
              </w:rPr>
              <w:t xml:space="preserve"> </w:t>
            </w:r>
            <w:r w:rsidR="00331B6A" w:rsidRPr="0090495F">
              <w:rPr>
                <w:rFonts w:ascii="Century" w:hAnsi="Century"/>
                <w:sz w:val="22"/>
                <w:szCs w:val="22"/>
              </w:rPr>
              <w:t>GSYH, 2018 yılında reel olarak %2</w:t>
            </w:r>
            <w:proofErr w:type="gramStart"/>
            <w:r w:rsidR="00331B6A" w:rsidRPr="0090495F">
              <w:rPr>
                <w:rFonts w:ascii="Century" w:hAnsi="Century"/>
                <w:sz w:val="22"/>
                <w:szCs w:val="22"/>
              </w:rPr>
              <w:t>,6</w:t>
            </w:r>
            <w:proofErr w:type="gramEnd"/>
            <w:r w:rsidR="00331B6A" w:rsidRPr="0090495F">
              <w:rPr>
                <w:rFonts w:ascii="Century" w:hAnsi="Century"/>
                <w:sz w:val="22"/>
                <w:szCs w:val="22"/>
              </w:rPr>
              <w:t xml:space="preserve"> oranında büyürken, direkt prim üretimi reel olarak %1,5 oranında azalmıştır. </w:t>
            </w:r>
          </w:p>
          <w:p w:rsidR="00A25C2A" w:rsidRPr="0090495F" w:rsidRDefault="00A25C2A" w:rsidP="00993D18">
            <w:pPr>
              <w:jc w:val="both"/>
              <w:rPr>
                <w:rFonts w:ascii="Century" w:hAnsi="Century"/>
                <w:sz w:val="22"/>
                <w:szCs w:val="22"/>
              </w:rPr>
            </w:pPr>
          </w:p>
          <w:p w:rsidR="00E54131" w:rsidRPr="00B10D90" w:rsidRDefault="00993D18" w:rsidP="00993D18">
            <w:pPr>
              <w:jc w:val="both"/>
              <w:rPr>
                <w:rFonts w:ascii="Century" w:hAnsi="Century"/>
                <w:sz w:val="22"/>
                <w:szCs w:val="22"/>
                <w:highlight w:val="yellow"/>
              </w:rPr>
            </w:pPr>
            <w:r w:rsidRPr="00D333B8">
              <w:rPr>
                <w:rFonts w:ascii="Century" w:hAnsi="Century"/>
                <w:sz w:val="22"/>
                <w:szCs w:val="22"/>
              </w:rPr>
              <w:t>Aşağıdaki tabloda son beş yıllık dönemde hayat dışı ve hayat branşı ayrımında direkt prim tutarlarının nominal ve reel artış oranları ile GSYH artış oranları karşılaştırmalı olarak verilmiştir.</w:t>
            </w:r>
          </w:p>
        </w:tc>
        <w:tc>
          <w:tcPr>
            <w:tcW w:w="236" w:type="dxa"/>
            <w:gridSpan w:val="6"/>
          </w:tcPr>
          <w:p w:rsidR="00C85053" w:rsidRPr="00B10D90" w:rsidRDefault="00C85053" w:rsidP="00CD35C2">
            <w:pPr>
              <w:jc w:val="both"/>
              <w:rPr>
                <w:rFonts w:ascii="Century" w:hAnsi="Century"/>
                <w:sz w:val="22"/>
                <w:szCs w:val="22"/>
                <w:highlight w:val="yellow"/>
              </w:rPr>
            </w:pPr>
          </w:p>
        </w:tc>
        <w:tc>
          <w:tcPr>
            <w:tcW w:w="4767" w:type="dxa"/>
            <w:gridSpan w:val="6"/>
          </w:tcPr>
          <w:p w:rsidR="00C85053" w:rsidRPr="00226CF2" w:rsidRDefault="00C6234F" w:rsidP="00CD35C2">
            <w:pPr>
              <w:jc w:val="both"/>
              <w:rPr>
                <w:rFonts w:ascii="Century" w:hAnsi="Century"/>
                <w:b/>
                <w:color w:val="003366"/>
                <w:sz w:val="22"/>
                <w:szCs w:val="22"/>
              </w:rPr>
            </w:pPr>
            <w:r w:rsidRPr="00226CF2">
              <w:rPr>
                <w:rFonts w:ascii="Century" w:hAnsi="Century"/>
                <w:b/>
                <w:color w:val="003366"/>
                <w:sz w:val="22"/>
                <w:szCs w:val="22"/>
              </w:rPr>
              <w:t>1.2</w:t>
            </w:r>
            <w:r w:rsidR="00C85053" w:rsidRPr="00226CF2">
              <w:rPr>
                <w:rFonts w:ascii="Century" w:hAnsi="Century"/>
                <w:b/>
                <w:color w:val="003366"/>
                <w:sz w:val="22"/>
                <w:szCs w:val="22"/>
              </w:rPr>
              <w:t xml:space="preserve">.4. </w:t>
            </w:r>
            <w:r w:rsidR="000B0F24" w:rsidRPr="00226CF2">
              <w:rPr>
                <w:rFonts w:ascii="Century" w:hAnsi="Century"/>
                <w:b/>
                <w:color w:val="003366"/>
                <w:sz w:val="22"/>
                <w:szCs w:val="22"/>
              </w:rPr>
              <w:t xml:space="preserve">Gross </w:t>
            </w:r>
            <w:r w:rsidR="00C85053" w:rsidRPr="00226CF2">
              <w:rPr>
                <w:rFonts w:ascii="Century" w:hAnsi="Century"/>
                <w:b/>
                <w:color w:val="003366"/>
                <w:sz w:val="22"/>
                <w:szCs w:val="22"/>
              </w:rPr>
              <w:t xml:space="preserve">Premium Growth </w:t>
            </w:r>
          </w:p>
          <w:p w:rsidR="00C85053" w:rsidRPr="00B10D90" w:rsidRDefault="00C85053" w:rsidP="00CD35C2">
            <w:pPr>
              <w:jc w:val="both"/>
              <w:rPr>
                <w:rFonts w:ascii="Century" w:hAnsi="Century" w:cs="Arial"/>
                <w:color w:val="595959"/>
                <w:sz w:val="22"/>
                <w:szCs w:val="22"/>
                <w:highlight w:val="yellow"/>
              </w:rPr>
            </w:pPr>
          </w:p>
          <w:p w:rsidR="00C851F8" w:rsidRPr="0090495F" w:rsidRDefault="00C851F8" w:rsidP="00C851F8">
            <w:pPr>
              <w:jc w:val="both"/>
              <w:rPr>
                <w:rFonts w:ascii="Century" w:hAnsi="Century"/>
                <w:color w:val="333333"/>
                <w:sz w:val="22"/>
                <w:szCs w:val="22"/>
                <w:lang w:val="tr-TR"/>
              </w:rPr>
            </w:pPr>
            <w:r w:rsidRPr="00226CF2">
              <w:rPr>
                <w:rFonts w:ascii="Century" w:hAnsi="Century" w:cs="Arial"/>
                <w:color w:val="333333"/>
                <w:sz w:val="22"/>
                <w:szCs w:val="22"/>
              </w:rPr>
              <w:t xml:space="preserve">Insurance sector is one of the leading financial sectors which </w:t>
            </w:r>
            <w:proofErr w:type="gramStart"/>
            <w:r w:rsidRPr="00226CF2">
              <w:rPr>
                <w:rFonts w:ascii="Century" w:hAnsi="Century" w:cs="Arial"/>
                <w:color w:val="333333"/>
                <w:sz w:val="22"/>
                <w:szCs w:val="22"/>
              </w:rPr>
              <w:t>is</w:t>
            </w:r>
            <w:proofErr w:type="gramEnd"/>
            <w:r w:rsidRPr="00226CF2">
              <w:rPr>
                <w:rFonts w:ascii="Century" w:hAnsi="Century" w:cs="Arial"/>
                <w:color w:val="333333"/>
                <w:sz w:val="22"/>
                <w:szCs w:val="22"/>
              </w:rPr>
              <w:t xml:space="preserve"> hig</w:t>
            </w:r>
            <w:r w:rsidR="0073585F" w:rsidRPr="00226CF2">
              <w:rPr>
                <w:rFonts w:ascii="Century" w:hAnsi="Century" w:cs="Arial"/>
                <w:color w:val="333333"/>
                <w:sz w:val="22"/>
                <w:szCs w:val="22"/>
              </w:rPr>
              <w:t>h</w:t>
            </w:r>
            <w:r w:rsidRPr="00226CF2">
              <w:rPr>
                <w:rFonts w:ascii="Century" w:hAnsi="Century" w:cs="Arial"/>
                <w:color w:val="333333"/>
                <w:sz w:val="22"/>
                <w:szCs w:val="22"/>
              </w:rPr>
              <w:t>ly and rapidly affected by economical developments. During the periods of economic expansion, the sector grows faster than the GDP, whereas it shrinks at a faster rate during the economic crisis.</w:t>
            </w:r>
            <w:r w:rsidR="00D333B8">
              <w:rPr>
                <w:rFonts w:ascii="Century" w:hAnsi="Century" w:cs="Arial"/>
                <w:color w:val="333333"/>
                <w:sz w:val="22"/>
                <w:szCs w:val="22"/>
              </w:rPr>
              <w:t xml:space="preserve"> </w:t>
            </w:r>
            <w:r w:rsidR="0090495F" w:rsidRPr="0090495F">
              <w:rPr>
                <w:rFonts w:ascii="Century" w:hAnsi="Century" w:cs="Arial"/>
                <w:color w:val="333333"/>
                <w:sz w:val="22"/>
                <w:szCs w:val="22"/>
                <w:lang w:val="en"/>
              </w:rPr>
              <w:t xml:space="preserve">While </w:t>
            </w:r>
            <w:r w:rsidR="0090495F" w:rsidRPr="0090495F">
              <w:rPr>
                <w:rFonts w:ascii="Century" w:hAnsi="Century"/>
                <w:color w:val="333333"/>
                <w:sz w:val="22"/>
                <w:szCs w:val="22"/>
                <w:lang w:val="en-GB"/>
              </w:rPr>
              <w:t xml:space="preserve">GDP grew by 2.6% in 2018, </w:t>
            </w:r>
            <w:r w:rsidR="0090495F" w:rsidRPr="0090495F">
              <w:rPr>
                <w:rFonts w:ascii="Century" w:hAnsi="Century"/>
                <w:color w:val="333333"/>
                <w:sz w:val="22"/>
                <w:szCs w:val="22"/>
                <w:lang w:val="en"/>
              </w:rPr>
              <w:t>the direct premium volume decreased by 1.5% in real terms in 2018.</w:t>
            </w:r>
          </w:p>
          <w:p w:rsidR="00424339" w:rsidRDefault="00424339" w:rsidP="00837782">
            <w:pPr>
              <w:jc w:val="both"/>
              <w:rPr>
                <w:rFonts w:ascii="Century" w:hAnsi="Century" w:cs="Arial"/>
                <w:color w:val="333333"/>
                <w:sz w:val="22"/>
                <w:szCs w:val="22"/>
              </w:rPr>
            </w:pPr>
          </w:p>
          <w:p w:rsidR="005B31A7" w:rsidRDefault="005B31A7" w:rsidP="00837782">
            <w:pPr>
              <w:jc w:val="both"/>
              <w:rPr>
                <w:rFonts w:ascii="Century" w:hAnsi="Century" w:cs="Arial"/>
                <w:color w:val="333333"/>
                <w:sz w:val="22"/>
                <w:szCs w:val="22"/>
              </w:rPr>
            </w:pPr>
          </w:p>
          <w:p w:rsidR="005B31A7" w:rsidRPr="0090495F" w:rsidRDefault="005B31A7" w:rsidP="00837782">
            <w:pPr>
              <w:jc w:val="both"/>
              <w:rPr>
                <w:rFonts w:ascii="Century" w:hAnsi="Century" w:cs="Arial"/>
                <w:color w:val="333333"/>
                <w:sz w:val="22"/>
                <w:szCs w:val="22"/>
              </w:rPr>
            </w:pPr>
          </w:p>
          <w:p w:rsidR="00C85053" w:rsidRPr="00B10D90" w:rsidRDefault="00A72DB9" w:rsidP="0073585F">
            <w:pPr>
              <w:jc w:val="both"/>
              <w:rPr>
                <w:rFonts w:ascii="Century" w:hAnsi="Century" w:cs="Arial"/>
                <w:color w:val="333333"/>
                <w:sz w:val="22"/>
                <w:szCs w:val="22"/>
                <w:highlight w:val="yellow"/>
              </w:rPr>
            </w:pPr>
            <w:r w:rsidRPr="00D333B8">
              <w:rPr>
                <w:rFonts w:ascii="Century" w:hAnsi="Century" w:cs="Arial"/>
                <w:color w:val="333333"/>
                <w:sz w:val="22"/>
                <w:szCs w:val="22"/>
              </w:rPr>
              <w:t>The</w:t>
            </w:r>
            <w:r w:rsidR="00C85053" w:rsidRPr="00D333B8">
              <w:rPr>
                <w:rFonts w:ascii="Century" w:hAnsi="Century" w:cs="Arial"/>
                <w:color w:val="333333"/>
                <w:sz w:val="22"/>
                <w:szCs w:val="22"/>
              </w:rPr>
              <w:t xml:space="preserve"> </w:t>
            </w:r>
            <w:r w:rsidRPr="00D333B8">
              <w:rPr>
                <w:rFonts w:ascii="Century" w:hAnsi="Century" w:cs="Arial"/>
                <w:color w:val="333333"/>
                <w:sz w:val="22"/>
                <w:szCs w:val="22"/>
              </w:rPr>
              <w:t xml:space="preserve">following </w:t>
            </w:r>
            <w:r w:rsidR="00C85053" w:rsidRPr="00D333B8">
              <w:rPr>
                <w:rFonts w:ascii="Century" w:hAnsi="Century" w:cs="Arial"/>
                <w:color w:val="333333"/>
                <w:sz w:val="22"/>
                <w:szCs w:val="22"/>
              </w:rPr>
              <w:t xml:space="preserve">table </w:t>
            </w:r>
            <w:r w:rsidRPr="00D333B8">
              <w:rPr>
                <w:rFonts w:ascii="Century" w:hAnsi="Century" w:cs="Arial"/>
                <w:color w:val="333333"/>
                <w:sz w:val="22"/>
                <w:szCs w:val="22"/>
              </w:rPr>
              <w:t>shows</w:t>
            </w:r>
            <w:r w:rsidR="00C85053" w:rsidRPr="00D333B8">
              <w:rPr>
                <w:rFonts w:ascii="Century" w:hAnsi="Century" w:cs="Arial"/>
                <w:color w:val="333333"/>
                <w:sz w:val="22"/>
                <w:szCs w:val="22"/>
              </w:rPr>
              <w:t xml:space="preserve"> real and nominal growth rates of </w:t>
            </w:r>
            <w:r w:rsidR="009448BF" w:rsidRPr="00D333B8">
              <w:rPr>
                <w:rFonts w:ascii="Century" w:hAnsi="Century" w:cs="Arial"/>
                <w:color w:val="333333"/>
                <w:sz w:val="22"/>
                <w:szCs w:val="22"/>
              </w:rPr>
              <w:t xml:space="preserve">gross </w:t>
            </w:r>
            <w:r w:rsidR="00C85053" w:rsidRPr="00D333B8">
              <w:rPr>
                <w:rFonts w:ascii="Century" w:hAnsi="Century" w:cs="Arial"/>
                <w:color w:val="333333"/>
                <w:sz w:val="22"/>
                <w:szCs w:val="22"/>
              </w:rPr>
              <w:t xml:space="preserve">premium volume </w:t>
            </w:r>
            <w:r w:rsidR="0073585F" w:rsidRPr="00D333B8">
              <w:rPr>
                <w:rFonts w:ascii="Century" w:hAnsi="Century" w:cs="Arial"/>
                <w:color w:val="333333"/>
                <w:sz w:val="22"/>
                <w:szCs w:val="22"/>
              </w:rPr>
              <w:t xml:space="preserve">in </w:t>
            </w:r>
            <w:r w:rsidR="00C85053" w:rsidRPr="00D333B8">
              <w:rPr>
                <w:rFonts w:ascii="Century" w:hAnsi="Century" w:cs="Arial"/>
                <w:color w:val="333333"/>
                <w:sz w:val="22"/>
                <w:szCs w:val="22"/>
              </w:rPr>
              <w:t xml:space="preserve">life and non-life </w:t>
            </w:r>
            <w:r w:rsidR="00D1779E" w:rsidRPr="00D333B8">
              <w:rPr>
                <w:rFonts w:ascii="Century" w:hAnsi="Century" w:cs="Arial"/>
                <w:color w:val="333333"/>
                <w:sz w:val="22"/>
                <w:szCs w:val="22"/>
              </w:rPr>
              <w:t xml:space="preserve">insurance markets </w:t>
            </w:r>
            <w:r w:rsidR="00C85053" w:rsidRPr="00D333B8">
              <w:rPr>
                <w:rFonts w:ascii="Century" w:hAnsi="Century" w:cs="Arial"/>
                <w:color w:val="333333"/>
                <w:sz w:val="22"/>
                <w:szCs w:val="22"/>
              </w:rPr>
              <w:t>compare</w:t>
            </w:r>
            <w:r w:rsidR="00027A7F" w:rsidRPr="00D333B8">
              <w:rPr>
                <w:rFonts w:ascii="Century" w:hAnsi="Century" w:cs="Arial"/>
                <w:color w:val="333333"/>
                <w:sz w:val="22"/>
                <w:szCs w:val="22"/>
              </w:rPr>
              <w:t>d</w:t>
            </w:r>
            <w:r w:rsidRPr="00D333B8">
              <w:rPr>
                <w:rFonts w:ascii="Century" w:hAnsi="Century" w:cs="Arial"/>
                <w:color w:val="333333"/>
                <w:sz w:val="22"/>
                <w:szCs w:val="22"/>
              </w:rPr>
              <w:t xml:space="preserve"> </w:t>
            </w:r>
            <w:r w:rsidR="00027A7F" w:rsidRPr="00D333B8">
              <w:rPr>
                <w:rFonts w:ascii="Century" w:hAnsi="Century" w:cs="Arial"/>
                <w:color w:val="333333"/>
                <w:sz w:val="22"/>
                <w:szCs w:val="22"/>
              </w:rPr>
              <w:t xml:space="preserve">to </w:t>
            </w:r>
            <w:r w:rsidR="00C85053" w:rsidRPr="00D333B8">
              <w:rPr>
                <w:rFonts w:ascii="Century" w:hAnsi="Century" w:cs="Arial"/>
                <w:color w:val="333333"/>
                <w:sz w:val="22"/>
                <w:szCs w:val="22"/>
              </w:rPr>
              <w:t xml:space="preserve">the GDP growth rate for the last five years. </w:t>
            </w:r>
          </w:p>
        </w:tc>
      </w:tr>
      <w:tr w:rsidR="00E54131" w:rsidRPr="00B10D90" w:rsidTr="00441D50">
        <w:trPr>
          <w:gridAfter w:val="2"/>
          <w:wAfter w:w="38" w:type="dxa"/>
        </w:trPr>
        <w:tc>
          <w:tcPr>
            <w:tcW w:w="4817" w:type="dxa"/>
            <w:gridSpan w:val="2"/>
          </w:tcPr>
          <w:p w:rsidR="004C6898" w:rsidRPr="00B10D90" w:rsidRDefault="004C6898" w:rsidP="00E54131">
            <w:pPr>
              <w:rPr>
                <w:highlight w:val="yellow"/>
              </w:rPr>
            </w:pPr>
          </w:p>
        </w:tc>
        <w:tc>
          <w:tcPr>
            <w:tcW w:w="236" w:type="dxa"/>
            <w:gridSpan w:val="6"/>
          </w:tcPr>
          <w:p w:rsidR="00E54131" w:rsidRPr="00B10D90" w:rsidRDefault="00E54131" w:rsidP="00CD35C2">
            <w:pPr>
              <w:jc w:val="both"/>
              <w:rPr>
                <w:rFonts w:ascii="Century" w:hAnsi="Century"/>
                <w:sz w:val="22"/>
                <w:szCs w:val="22"/>
                <w:highlight w:val="yellow"/>
              </w:rPr>
            </w:pPr>
          </w:p>
        </w:tc>
        <w:tc>
          <w:tcPr>
            <w:tcW w:w="4767" w:type="dxa"/>
            <w:gridSpan w:val="6"/>
          </w:tcPr>
          <w:p w:rsidR="00E54131" w:rsidRPr="00B10D90" w:rsidRDefault="00E54131" w:rsidP="00CD35C2">
            <w:pPr>
              <w:jc w:val="both"/>
              <w:rPr>
                <w:rFonts w:ascii="Century" w:hAnsi="Century"/>
                <w:b/>
                <w:color w:val="003366"/>
                <w:sz w:val="22"/>
                <w:szCs w:val="22"/>
                <w:highlight w:val="yellow"/>
              </w:rPr>
            </w:pPr>
          </w:p>
        </w:tc>
      </w:tr>
      <w:tr w:rsidR="00C85053" w:rsidRPr="00B10D90" w:rsidTr="00441D50">
        <w:trPr>
          <w:gridAfter w:val="2"/>
          <w:wAfter w:w="38" w:type="dxa"/>
        </w:trPr>
        <w:tc>
          <w:tcPr>
            <w:tcW w:w="9820" w:type="dxa"/>
            <w:gridSpan w:val="14"/>
          </w:tcPr>
          <w:p w:rsidR="00C30108" w:rsidRPr="00226CF2" w:rsidRDefault="00C6234F" w:rsidP="002615BF">
            <w:pPr>
              <w:jc w:val="center"/>
              <w:rPr>
                <w:rFonts w:ascii="Century" w:hAnsi="Century"/>
                <w:i/>
                <w:color w:val="000080"/>
                <w:sz w:val="20"/>
                <w:szCs w:val="20"/>
              </w:rPr>
            </w:pPr>
            <w:r w:rsidRPr="00226CF2">
              <w:rPr>
                <w:rFonts w:ascii="Century" w:hAnsi="Century"/>
                <w:b/>
                <w:color w:val="000080"/>
                <w:sz w:val="20"/>
                <w:szCs w:val="20"/>
              </w:rPr>
              <w:t>Tablo 1.2</w:t>
            </w:r>
            <w:r w:rsidR="00C85053" w:rsidRPr="00226CF2">
              <w:rPr>
                <w:rFonts w:ascii="Century" w:hAnsi="Century"/>
                <w:b/>
                <w:color w:val="000080"/>
                <w:sz w:val="20"/>
                <w:szCs w:val="20"/>
              </w:rPr>
              <w:t xml:space="preserve">.4: Direkt Prim Üretiminin Seyri – </w:t>
            </w:r>
            <w:r w:rsidR="00C85053" w:rsidRPr="00226CF2">
              <w:rPr>
                <w:rFonts w:ascii="Century" w:hAnsi="Century"/>
                <w:i/>
                <w:color w:val="000080"/>
                <w:sz w:val="20"/>
                <w:szCs w:val="20"/>
              </w:rPr>
              <w:t xml:space="preserve">Direct </w:t>
            </w:r>
            <w:r w:rsidR="00E433CB" w:rsidRPr="00226CF2">
              <w:rPr>
                <w:rFonts w:ascii="Century" w:hAnsi="Century"/>
                <w:i/>
                <w:color w:val="000080"/>
                <w:sz w:val="20"/>
                <w:szCs w:val="20"/>
              </w:rPr>
              <w:t xml:space="preserve">Gross </w:t>
            </w:r>
            <w:r w:rsidR="00C85053" w:rsidRPr="00226CF2">
              <w:rPr>
                <w:rFonts w:ascii="Century" w:hAnsi="Century"/>
                <w:i/>
                <w:color w:val="000080"/>
                <w:sz w:val="20"/>
                <w:szCs w:val="20"/>
              </w:rPr>
              <w:t>Premium</w:t>
            </w:r>
          </w:p>
          <w:p w:rsidR="00C85053" w:rsidRPr="00B10D90" w:rsidRDefault="00C85053" w:rsidP="002615BF">
            <w:pPr>
              <w:jc w:val="center"/>
              <w:rPr>
                <w:rFonts w:ascii="Century" w:hAnsi="Century"/>
                <w:i/>
                <w:color w:val="000080"/>
                <w:sz w:val="20"/>
                <w:szCs w:val="20"/>
                <w:highlight w:val="yellow"/>
              </w:rPr>
            </w:pPr>
            <w:r w:rsidRPr="00B10D90">
              <w:rPr>
                <w:rFonts w:ascii="Century" w:hAnsi="Century"/>
                <w:i/>
                <w:color w:val="000080"/>
                <w:sz w:val="20"/>
                <w:szCs w:val="20"/>
                <w:highlight w:val="yellow"/>
              </w:rPr>
              <w:t xml:space="preserve"> </w:t>
            </w:r>
            <w:r w:rsidR="00197C08">
              <w:rPr>
                <w:rFonts w:ascii="Century" w:hAnsi="Century"/>
                <w:i/>
                <w:noProof/>
                <w:color w:val="000080"/>
                <w:sz w:val="20"/>
                <w:szCs w:val="20"/>
              </w:rPr>
              <w:drawing>
                <wp:inline distT="0" distB="0" distL="0" distR="0" wp14:anchorId="48D3C185" wp14:editId="7EB3DBB6">
                  <wp:extent cx="6098142" cy="22184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2218559"/>
                          </a:xfrm>
                          <a:prstGeom prst="rect">
                            <a:avLst/>
                          </a:prstGeom>
                          <a:noFill/>
                          <a:ln>
                            <a:noFill/>
                          </a:ln>
                        </pic:spPr>
                      </pic:pic>
                    </a:graphicData>
                  </a:graphic>
                </wp:inline>
              </w:drawing>
            </w:r>
          </w:p>
          <w:p w:rsidR="00F05D8F" w:rsidRPr="00226CF2" w:rsidRDefault="00F05D8F" w:rsidP="007F7AFF">
            <w:pPr>
              <w:jc w:val="both"/>
              <w:rPr>
                <w:rFonts w:ascii="Century" w:hAnsi="Century"/>
                <w:i/>
                <w:sz w:val="16"/>
                <w:szCs w:val="16"/>
              </w:rPr>
            </w:pPr>
            <w:r w:rsidRPr="00226CF2">
              <w:rPr>
                <w:rFonts w:ascii="Century" w:hAnsi="Century"/>
                <w:sz w:val="16"/>
                <w:szCs w:val="16"/>
              </w:rPr>
              <w:t xml:space="preserve">(*) </w:t>
            </w:r>
            <w:r w:rsidR="00B86309" w:rsidRPr="00226CF2">
              <w:rPr>
                <w:rFonts w:ascii="Century" w:hAnsi="Century"/>
                <w:sz w:val="16"/>
                <w:szCs w:val="16"/>
              </w:rPr>
              <w:t xml:space="preserve">Reel değişim oranları </w:t>
            </w:r>
            <w:r w:rsidR="00AF2F5C" w:rsidRPr="00226CF2">
              <w:rPr>
                <w:rFonts w:ascii="Century" w:hAnsi="Century"/>
                <w:sz w:val="16"/>
                <w:szCs w:val="16"/>
              </w:rPr>
              <w:t xml:space="preserve">zincirlenmiş hacim endekleri </w:t>
            </w:r>
            <w:r w:rsidR="007437DB" w:rsidRPr="00226CF2">
              <w:rPr>
                <w:rFonts w:ascii="Century" w:hAnsi="Century"/>
                <w:sz w:val="16"/>
                <w:szCs w:val="16"/>
              </w:rPr>
              <w:t xml:space="preserve">esas alınarak hesaplanmıştır. </w:t>
            </w:r>
            <w:r w:rsidR="007437DB" w:rsidRPr="00226CF2">
              <w:rPr>
                <w:rFonts w:ascii="Century" w:hAnsi="Century"/>
                <w:i/>
                <w:sz w:val="16"/>
                <w:szCs w:val="16"/>
              </w:rPr>
              <w:t xml:space="preserve">Real </w:t>
            </w:r>
            <w:r w:rsidR="00580622" w:rsidRPr="00226CF2">
              <w:rPr>
                <w:rFonts w:ascii="Century" w:hAnsi="Century"/>
                <w:i/>
                <w:sz w:val="16"/>
                <w:szCs w:val="16"/>
              </w:rPr>
              <w:t>values</w:t>
            </w:r>
            <w:r w:rsidR="007437DB" w:rsidRPr="00226CF2">
              <w:rPr>
                <w:rFonts w:ascii="Century" w:hAnsi="Century"/>
                <w:i/>
                <w:sz w:val="16"/>
                <w:szCs w:val="16"/>
              </w:rPr>
              <w:t xml:space="preserve"> are calculated </w:t>
            </w:r>
            <w:r w:rsidR="00424339" w:rsidRPr="00226CF2">
              <w:rPr>
                <w:rFonts w:ascii="Century" w:hAnsi="Century"/>
                <w:i/>
                <w:sz w:val="16"/>
                <w:szCs w:val="16"/>
              </w:rPr>
              <w:t xml:space="preserve">based on </w:t>
            </w:r>
            <w:r w:rsidR="007437DB" w:rsidRPr="00226CF2">
              <w:rPr>
                <w:rFonts w:ascii="Century" w:hAnsi="Century"/>
                <w:i/>
                <w:sz w:val="16"/>
                <w:szCs w:val="16"/>
              </w:rPr>
              <w:t xml:space="preserve">the </w:t>
            </w:r>
            <w:r w:rsidR="00424339" w:rsidRPr="00226CF2">
              <w:rPr>
                <w:rFonts w:ascii="Century" w:hAnsi="Century"/>
                <w:i/>
                <w:sz w:val="16"/>
                <w:szCs w:val="16"/>
                <w:lang w:val="en-GB"/>
              </w:rPr>
              <w:t>chain linked volume index.</w:t>
            </w:r>
          </w:p>
          <w:p w:rsidR="00F26FC4" w:rsidRPr="00226CF2" w:rsidRDefault="00AF2F5C" w:rsidP="00F26FC4">
            <w:pPr>
              <w:jc w:val="both"/>
              <w:rPr>
                <w:rFonts w:ascii="Century" w:hAnsi="Century"/>
                <w:sz w:val="16"/>
                <w:szCs w:val="16"/>
                <w:lang w:val="tr-TR"/>
              </w:rPr>
            </w:pPr>
            <w:r w:rsidRPr="00226CF2">
              <w:rPr>
                <w:rFonts w:ascii="Century" w:hAnsi="Century"/>
                <w:sz w:val="16"/>
                <w:szCs w:val="16"/>
              </w:rPr>
              <w:t>(**)TÜFE (2003=100, Dönem Sonu, Yıllık Yüzde Değişim)</w:t>
            </w:r>
            <w:r w:rsidR="00F26FC4" w:rsidRPr="00226CF2">
              <w:rPr>
                <w:rFonts w:ascii="Century" w:hAnsi="Century"/>
                <w:sz w:val="16"/>
                <w:szCs w:val="16"/>
              </w:rPr>
              <w:t xml:space="preserve">- CPI(2003=100, End of Period, </w:t>
            </w:r>
            <w:r w:rsidR="00F26FC4" w:rsidRPr="00226CF2">
              <w:rPr>
                <w:rFonts w:ascii="Century" w:hAnsi="Century"/>
                <w:sz w:val="16"/>
                <w:szCs w:val="16"/>
                <w:lang w:val="en"/>
              </w:rPr>
              <w:t>Annual Percentage Change)</w:t>
            </w:r>
          </w:p>
          <w:p w:rsidR="00AF2F5C" w:rsidRPr="00331B6A" w:rsidRDefault="00AF2F5C" w:rsidP="007F7AFF">
            <w:pPr>
              <w:jc w:val="both"/>
              <w:rPr>
                <w:rFonts w:ascii="Century" w:hAnsi="Century"/>
                <w:color w:val="003366"/>
                <w:sz w:val="22"/>
                <w:szCs w:val="22"/>
                <w:highlight w:val="yellow"/>
              </w:rPr>
            </w:pPr>
          </w:p>
        </w:tc>
      </w:tr>
      <w:tr w:rsidR="00C85053" w:rsidRPr="00B10D90" w:rsidTr="00441D50">
        <w:trPr>
          <w:gridAfter w:val="2"/>
          <w:wAfter w:w="38" w:type="dxa"/>
        </w:trPr>
        <w:tc>
          <w:tcPr>
            <w:tcW w:w="4817" w:type="dxa"/>
            <w:gridSpan w:val="2"/>
          </w:tcPr>
          <w:p w:rsidR="00993D18" w:rsidRPr="0090495F" w:rsidRDefault="00993D18" w:rsidP="00993D18">
            <w:pPr>
              <w:jc w:val="both"/>
              <w:rPr>
                <w:rFonts w:ascii="Century" w:hAnsi="Century"/>
                <w:sz w:val="22"/>
                <w:szCs w:val="22"/>
              </w:rPr>
            </w:pPr>
            <w:bookmarkStart w:id="165" w:name="_Toc296364737"/>
            <w:bookmarkStart w:id="166" w:name="_Toc296371946"/>
            <w:r w:rsidRPr="0090495F">
              <w:rPr>
                <w:rFonts w:ascii="Century" w:hAnsi="Century"/>
                <w:sz w:val="22"/>
                <w:szCs w:val="22"/>
              </w:rPr>
              <w:t>201</w:t>
            </w:r>
            <w:r w:rsidR="00D333B8" w:rsidRPr="0090495F">
              <w:rPr>
                <w:rFonts w:ascii="Century" w:hAnsi="Century"/>
                <w:sz w:val="22"/>
                <w:szCs w:val="22"/>
              </w:rPr>
              <w:t>8</w:t>
            </w:r>
            <w:r w:rsidRPr="0090495F">
              <w:rPr>
                <w:rFonts w:ascii="Century" w:hAnsi="Century"/>
                <w:sz w:val="22"/>
                <w:szCs w:val="22"/>
              </w:rPr>
              <w:t xml:space="preserve"> yılında hayat dışı branşlar direkt prim üretimi bir</w:t>
            </w:r>
            <w:r w:rsidR="009A481D" w:rsidRPr="0090495F">
              <w:rPr>
                <w:rFonts w:ascii="Century" w:hAnsi="Century"/>
                <w:sz w:val="22"/>
                <w:szCs w:val="22"/>
              </w:rPr>
              <w:t xml:space="preserve"> önceki yıla göre reel olarak %</w:t>
            </w:r>
            <w:r w:rsidR="00331B6A" w:rsidRPr="0090495F">
              <w:rPr>
                <w:rFonts w:ascii="Century" w:hAnsi="Century"/>
                <w:sz w:val="22"/>
                <w:szCs w:val="22"/>
              </w:rPr>
              <w:t>0</w:t>
            </w:r>
            <w:proofErr w:type="gramStart"/>
            <w:r w:rsidRPr="0090495F">
              <w:rPr>
                <w:rFonts w:ascii="Century" w:hAnsi="Century"/>
                <w:sz w:val="22"/>
                <w:szCs w:val="22"/>
              </w:rPr>
              <w:t>,</w:t>
            </w:r>
            <w:r w:rsidR="00331B6A" w:rsidRPr="0090495F">
              <w:rPr>
                <w:rFonts w:ascii="Century" w:hAnsi="Century"/>
                <w:sz w:val="22"/>
                <w:szCs w:val="22"/>
              </w:rPr>
              <w:t>5</w:t>
            </w:r>
            <w:proofErr w:type="gramEnd"/>
            <w:r w:rsidRPr="0090495F">
              <w:rPr>
                <w:rFonts w:ascii="Century" w:hAnsi="Century"/>
                <w:sz w:val="22"/>
                <w:szCs w:val="22"/>
              </w:rPr>
              <w:t xml:space="preserve"> oranında artarken, hayat sigortalarında</w:t>
            </w:r>
            <w:r w:rsidR="00331B6A" w:rsidRPr="0090495F">
              <w:rPr>
                <w:rFonts w:ascii="Century" w:hAnsi="Century"/>
                <w:sz w:val="22"/>
                <w:szCs w:val="22"/>
              </w:rPr>
              <w:t xml:space="preserve"> reel olarak %12,3 oranında küçülme yaşanmıştır.</w:t>
            </w:r>
            <w:r w:rsidRPr="0090495F">
              <w:rPr>
                <w:rFonts w:ascii="Century" w:hAnsi="Century"/>
                <w:sz w:val="22"/>
                <w:szCs w:val="22"/>
              </w:rPr>
              <w:t xml:space="preserve"> </w:t>
            </w:r>
          </w:p>
          <w:p w:rsidR="00554258" w:rsidRPr="0090495F" w:rsidRDefault="00554258" w:rsidP="00E41C35">
            <w:pPr>
              <w:jc w:val="both"/>
              <w:rPr>
                <w:rFonts w:ascii="Century" w:hAnsi="Century"/>
                <w:sz w:val="22"/>
                <w:szCs w:val="22"/>
              </w:rPr>
            </w:pPr>
            <w:bookmarkStart w:id="167" w:name="_Toc296807853"/>
          </w:p>
          <w:p w:rsidR="00D333B8" w:rsidRPr="0090495F" w:rsidRDefault="00C85053" w:rsidP="00AD3568">
            <w:pPr>
              <w:jc w:val="both"/>
              <w:rPr>
                <w:rFonts w:ascii="Century" w:hAnsi="Century"/>
                <w:sz w:val="22"/>
                <w:szCs w:val="22"/>
              </w:rPr>
            </w:pPr>
            <w:r w:rsidRPr="0090495F">
              <w:rPr>
                <w:rFonts w:ascii="Century" w:hAnsi="Century"/>
                <w:sz w:val="22"/>
                <w:szCs w:val="22"/>
              </w:rPr>
              <w:t xml:space="preserve">Aşağıdaki grafiklerde son 10 yıllık döneme ilişkin hayat dışı direkt prim </w:t>
            </w:r>
            <w:r w:rsidR="007437DB" w:rsidRPr="0090495F">
              <w:rPr>
                <w:rFonts w:ascii="Century" w:hAnsi="Century"/>
                <w:sz w:val="22"/>
                <w:szCs w:val="22"/>
              </w:rPr>
              <w:t>üretimi</w:t>
            </w:r>
            <w:r w:rsidR="00CD1ACA" w:rsidRPr="0090495F">
              <w:rPr>
                <w:rFonts w:ascii="Century" w:hAnsi="Century"/>
                <w:sz w:val="22"/>
                <w:szCs w:val="22"/>
              </w:rPr>
              <w:t>nin</w:t>
            </w:r>
            <w:r w:rsidR="007437DB" w:rsidRPr="0090495F">
              <w:rPr>
                <w:rFonts w:ascii="Century" w:hAnsi="Century"/>
                <w:sz w:val="22"/>
                <w:szCs w:val="22"/>
              </w:rPr>
              <w:t xml:space="preserve"> </w:t>
            </w:r>
            <w:r w:rsidR="00554258" w:rsidRPr="0090495F">
              <w:rPr>
                <w:rFonts w:ascii="Century" w:hAnsi="Century"/>
                <w:sz w:val="22"/>
                <w:szCs w:val="22"/>
              </w:rPr>
              <w:t xml:space="preserve">reel ve nominal </w:t>
            </w:r>
            <w:r w:rsidR="007437DB" w:rsidRPr="0090495F">
              <w:rPr>
                <w:rFonts w:ascii="Century" w:hAnsi="Century"/>
                <w:sz w:val="22"/>
                <w:szCs w:val="22"/>
              </w:rPr>
              <w:t>artış oranları GSY</w:t>
            </w:r>
            <w:r w:rsidRPr="0090495F">
              <w:rPr>
                <w:rFonts w:ascii="Century" w:hAnsi="Century"/>
                <w:sz w:val="22"/>
                <w:szCs w:val="22"/>
              </w:rPr>
              <w:t>H’deki artış oranl</w:t>
            </w:r>
            <w:r w:rsidR="00FB188A" w:rsidRPr="0090495F">
              <w:rPr>
                <w:rFonts w:ascii="Century" w:hAnsi="Century"/>
                <w:sz w:val="22"/>
                <w:szCs w:val="22"/>
              </w:rPr>
              <w:t xml:space="preserve">arı ile karşılaştırmalı olarak </w:t>
            </w:r>
            <w:r w:rsidRPr="0090495F">
              <w:rPr>
                <w:rFonts w:ascii="Century" w:hAnsi="Century"/>
                <w:sz w:val="22"/>
                <w:szCs w:val="22"/>
              </w:rPr>
              <w:t>gösterilmiştir.</w:t>
            </w:r>
            <w:bookmarkEnd w:id="165"/>
            <w:bookmarkEnd w:id="166"/>
            <w:bookmarkEnd w:id="167"/>
          </w:p>
          <w:p w:rsidR="00D333B8" w:rsidRPr="0090495F" w:rsidRDefault="00D333B8" w:rsidP="00AD3568">
            <w:pPr>
              <w:jc w:val="both"/>
              <w:rPr>
                <w:rFonts w:ascii="Century" w:hAnsi="Century"/>
                <w:sz w:val="22"/>
                <w:szCs w:val="22"/>
              </w:rPr>
            </w:pPr>
          </w:p>
          <w:p w:rsidR="00331B6A" w:rsidRPr="0090495F" w:rsidRDefault="00331B6A" w:rsidP="00AD3568">
            <w:pPr>
              <w:jc w:val="both"/>
              <w:rPr>
                <w:rFonts w:ascii="Century" w:hAnsi="Century"/>
                <w:sz w:val="22"/>
                <w:szCs w:val="22"/>
              </w:rPr>
            </w:pPr>
          </w:p>
          <w:p w:rsidR="00331B6A" w:rsidRPr="0090495F" w:rsidRDefault="00331B6A" w:rsidP="00AD3568">
            <w:pPr>
              <w:jc w:val="both"/>
              <w:rPr>
                <w:rFonts w:ascii="Century" w:hAnsi="Century"/>
                <w:sz w:val="22"/>
                <w:szCs w:val="22"/>
              </w:rPr>
            </w:pPr>
          </w:p>
          <w:p w:rsidR="00AA659A" w:rsidRPr="0090495F" w:rsidRDefault="00AA659A" w:rsidP="00AD3568">
            <w:pPr>
              <w:jc w:val="both"/>
              <w:rPr>
                <w:rFonts w:ascii="Century" w:hAnsi="Century"/>
                <w:sz w:val="22"/>
                <w:szCs w:val="22"/>
              </w:rPr>
            </w:pPr>
          </w:p>
        </w:tc>
        <w:tc>
          <w:tcPr>
            <w:tcW w:w="236" w:type="dxa"/>
            <w:gridSpan w:val="6"/>
          </w:tcPr>
          <w:p w:rsidR="00C85053" w:rsidRPr="0090495F" w:rsidRDefault="00C85053" w:rsidP="00CD35C2">
            <w:pPr>
              <w:jc w:val="both"/>
              <w:rPr>
                <w:rFonts w:ascii="Century" w:hAnsi="Century"/>
                <w:sz w:val="22"/>
                <w:szCs w:val="22"/>
              </w:rPr>
            </w:pPr>
          </w:p>
        </w:tc>
        <w:tc>
          <w:tcPr>
            <w:tcW w:w="4767" w:type="dxa"/>
            <w:gridSpan w:val="6"/>
          </w:tcPr>
          <w:p w:rsidR="00554258" w:rsidRPr="0090495F" w:rsidRDefault="0090495F" w:rsidP="00CD35C2">
            <w:pPr>
              <w:jc w:val="both"/>
              <w:rPr>
                <w:rFonts w:ascii="Century" w:hAnsi="Century" w:cs="Arial"/>
                <w:color w:val="333333"/>
                <w:sz w:val="22"/>
                <w:szCs w:val="22"/>
              </w:rPr>
            </w:pPr>
            <w:r w:rsidRPr="0090495F">
              <w:rPr>
                <w:rFonts w:ascii="Century" w:hAnsi="Century" w:cs="Arial"/>
                <w:color w:val="333333"/>
                <w:sz w:val="22"/>
                <w:szCs w:val="22"/>
              </w:rPr>
              <w:t xml:space="preserve">While the direct gross premium volume in non-life business has increased by 0.5%, the gross premium in life insurance has decreased by 12.3% </w:t>
            </w:r>
            <w:r w:rsidRPr="0090495F">
              <w:rPr>
                <w:rFonts w:ascii="Century" w:hAnsi="Century"/>
                <w:color w:val="333333"/>
                <w:sz w:val="22"/>
              </w:rPr>
              <w:t>in real terms in 2018</w:t>
            </w:r>
            <w:r w:rsidRPr="0090495F">
              <w:rPr>
                <w:rFonts w:ascii="Century" w:hAnsi="Century" w:cs="Arial"/>
                <w:color w:val="333333"/>
                <w:sz w:val="22"/>
                <w:szCs w:val="22"/>
              </w:rPr>
              <w:t xml:space="preserve">. </w:t>
            </w:r>
          </w:p>
          <w:p w:rsidR="0090495F" w:rsidRPr="0090495F" w:rsidRDefault="0090495F" w:rsidP="00CD35C2">
            <w:pPr>
              <w:jc w:val="both"/>
              <w:rPr>
                <w:rFonts w:ascii="Century" w:hAnsi="Century" w:cs="Arial"/>
                <w:color w:val="333333"/>
                <w:sz w:val="22"/>
                <w:szCs w:val="22"/>
              </w:rPr>
            </w:pPr>
          </w:p>
          <w:p w:rsidR="00027A7F" w:rsidRPr="0090495F" w:rsidRDefault="00C85053" w:rsidP="00CD35C2">
            <w:pPr>
              <w:jc w:val="both"/>
              <w:rPr>
                <w:rFonts w:ascii="Century" w:hAnsi="Century" w:cs="Arial"/>
                <w:color w:val="333333"/>
                <w:sz w:val="22"/>
                <w:szCs w:val="22"/>
              </w:rPr>
            </w:pPr>
            <w:r w:rsidRPr="0090495F">
              <w:rPr>
                <w:rFonts w:ascii="Century" w:hAnsi="Century" w:cs="Arial"/>
                <w:color w:val="333333"/>
                <w:sz w:val="22"/>
                <w:szCs w:val="22"/>
              </w:rPr>
              <w:t xml:space="preserve">The </w:t>
            </w:r>
            <w:r w:rsidR="00A72DB9" w:rsidRPr="0090495F">
              <w:rPr>
                <w:rFonts w:ascii="Century" w:hAnsi="Century" w:cs="Arial"/>
                <w:color w:val="333333"/>
                <w:sz w:val="22"/>
                <w:szCs w:val="22"/>
              </w:rPr>
              <w:t xml:space="preserve">next </w:t>
            </w:r>
            <w:r w:rsidR="00DD46D9" w:rsidRPr="0090495F">
              <w:rPr>
                <w:rFonts w:ascii="Century" w:hAnsi="Century" w:cs="Arial"/>
                <w:color w:val="333333"/>
                <w:sz w:val="22"/>
                <w:szCs w:val="22"/>
              </w:rPr>
              <w:t>graph</w:t>
            </w:r>
            <w:r w:rsidRPr="0090495F">
              <w:rPr>
                <w:rFonts w:ascii="Century" w:hAnsi="Century" w:cs="Arial"/>
                <w:color w:val="333333"/>
                <w:sz w:val="22"/>
                <w:szCs w:val="22"/>
              </w:rPr>
              <w:t xml:space="preserve"> show</w:t>
            </w:r>
            <w:r w:rsidR="00DD46D9" w:rsidRPr="0090495F">
              <w:rPr>
                <w:rFonts w:ascii="Century" w:hAnsi="Century" w:cs="Arial"/>
                <w:color w:val="333333"/>
                <w:sz w:val="22"/>
                <w:szCs w:val="22"/>
              </w:rPr>
              <w:t>s</w:t>
            </w:r>
            <w:r w:rsidR="00A72DB9" w:rsidRPr="0090495F">
              <w:rPr>
                <w:rFonts w:ascii="Century" w:hAnsi="Century" w:cs="Arial"/>
                <w:color w:val="333333"/>
                <w:sz w:val="22"/>
                <w:szCs w:val="22"/>
              </w:rPr>
              <w:t xml:space="preserve"> the</w:t>
            </w:r>
            <w:r w:rsidRPr="0090495F">
              <w:rPr>
                <w:rFonts w:ascii="Century" w:hAnsi="Century" w:cs="Arial"/>
                <w:color w:val="333333"/>
                <w:sz w:val="22"/>
                <w:szCs w:val="22"/>
              </w:rPr>
              <w:t xml:space="preserve"> growth rates of direct</w:t>
            </w:r>
            <w:r w:rsidR="00CD1ACA" w:rsidRPr="0090495F">
              <w:rPr>
                <w:rFonts w:ascii="Century" w:hAnsi="Century" w:cs="Arial"/>
                <w:color w:val="333333"/>
                <w:sz w:val="22"/>
                <w:szCs w:val="22"/>
              </w:rPr>
              <w:t xml:space="preserve"> </w:t>
            </w:r>
            <w:r w:rsidR="008B64BB" w:rsidRPr="0090495F">
              <w:rPr>
                <w:rFonts w:ascii="Century" w:hAnsi="Century" w:cs="Arial"/>
                <w:color w:val="333333"/>
                <w:sz w:val="22"/>
                <w:szCs w:val="22"/>
              </w:rPr>
              <w:t xml:space="preserve">gross </w:t>
            </w:r>
            <w:r w:rsidR="00CD1ACA" w:rsidRPr="0090495F">
              <w:rPr>
                <w:rFonts w:ascii="Century" w:hAnsi="Century" w:cs="Arial"/>
                <w:color w:val="333333"/>
                <w:sz w:val="22"/>
                <w:szCs w:val="22"/>
              </w:rPr>
              <w:t xml:space="preserve">premium </w:t>
            </w:r>
            <w:r w:rsidR="00F63BB3" w:rsidRPr="0090495F">
              <w:rPr>
                <w:rFonts w:ascii="Century" w:hAnsi="Century" w:cs="Arial"/>
                <w:color w:val="333333"/>
                <w:sz w:val="22"/>
                <w:szCs w:val="22"/>
              </w:rPr>
              <w:t xml:space="preserve">for non-life insurance </w:t>
            </w:r>
            <w:r w:rsidR="00CD1ACA" w:rsidRPr="0090495F">
              <w:rPr>
                <w:rFonts w:ascii="Century" w:hAnsi="Century" w:cs="Arial"/>
                <w:color w:val="333333"/>
                <w:sz w:val="22"/>
                <w:szCs w:val="22"/>
              </w:rPr>
              <w:t>in</w:t>
            </w:r>
            <w:r w:rsidRPr="0090495F">
              <w:rPr>
                <w:rFonts w:ascii="Century" w:hAnsi="Century" w:cs="Arial"/>
                <w:color w:val="333333"/>
                <w:sz w:val="22"/>
                <w:szCs w:val="22"/>
              </w:rPr>
              <w:t xml:space="preserve"> real and nominal terms </w:t>
            </w:r>
            <w:r w:rsidR="008B64BB" w:rsidRPr="0090495F">
              <w:rPr>
                <w:rFonts w:ascii="Century" w:hAnsi="Century" w:cs="Arial"/>
                <w:color w:val="333333"/>
                <w:sz w:val="22"/>
                <w:szCs w:val="22"/>
              </w:rPr>
              <w:t>over the</w:t>
            </w:r>
            <w:r w:rsidRPr="0090495F">
              <w:rPr>
                <w:rFonts w:ascii="Century" w:hAnsi="Century" w:cs="Arial"/>
                <w:color w:val="333333"/>
                <w:sz w:val="22"/>
                <w:szCs w:val="22"/>
              </w:rPr>
              <w:t xml:space="preserve"> ten years </w:t>
            </w:r>
            <w:r w:rsidR="008B64BB" w:rsidRPr="0090495F">
              <w:rPr>
                <w:rFonts w:ascii="Century" w:hAnsi="Century" w:cs="Arial"/>
                <w:color w:val="333333"/>
                <w:sz w:val="22"/>
                <w:szCs w:val="22"/>
              </w:rPr>
              <w:t xml:space="preserve">period </w:t>
            </w:r>
            <w:r w:rsidRPr="0090495F">
              <w:rPr>
                <w:rFonts w:ascii="Century" w:hAnsi="Century" w:cs="Arial"/>
                <w:color w:val="333333"/>
                <w:sz w:val="22"/>
                <w:szCs w:val="22"/>
              </w:rPr>
              <w:t>with</w:t>
            </w:r>
            <w:r w:rsidR="008B64BB" w:rsidRPr="0090495F">
              <w:rPr>
                <w:rFonts w:ascii="Century" w:hAnsi="Century" w:cs="Arial"/>
                <w:color w:val="333333"/>
                <w:sz w:val="22"/>
                <w:szCs w:val="22"/>
              </w:rPr>
              <w:t xml:space="preserve"> </w:t>
            </w:r>
            <w:r w:rsidRPr="0090495F">
              <w:rPr>
                <w:rFonts w:ascii="Century" w:hAnsi="Century" w:cs="Arial"/>
                <w:color w:val="333333"/>
                <w:sz w:val="22"/>
                <w:szCs w:val="22"/>
              </w:rPr>
              <w:t xml:space="preserve">comparison </w:t>
            </w:r>
            <w:r w:rsidR="00F63BB3" w:rsidRPr="0090495F">
              <w:rPr>
                <w:rFonts w:ascii="Century" w:hAnsi="Century" w:cs="Arial"/>
                <w:color w:val="333333"/>
                <w:sz w:val="22"/>
                <w:szCs w:val="22"/>
              </w:rPr>
              <w:t>to</w:t>
            </w:r>
            <w:r w:rsidRPr="0090495F">
              <w:rPr>
                <w:rFonts w:ascii="Century" w:hAnsi="Century" w:cs="Arial"/>
                <w:color w:val="333333"/>
                <w:sz w:val="22"/>
                <w:szCs w:val="22"/>
              </w:rPr>
              <w:t xml:space="preserve"> the growth </w:t>
            </w:r>
            <w:r w:rsidR="00D1779E" w:rsidRPr="0090495F">
              <w:rPr>
                <w:rFonts w:ascii="Century" w:hAnsi="Century" w:cs="Arial"/>
                <w:color w:val="333333"/>
                <w:sz w:val="22"/>
                <w:szCs w:val="22"/>
              </w:rPr>
              <w:t>rate</w:t>
            </w:r>
            <w:r w:rsidRPr="0090495F">
              <w:rPr>
                <w:rFonts w:ascii="Century" w:hAnsi="Century" w:cs="Arial"/>
                <w:color w:val="333333"/>
                <w:sz w:val="22"/>
                <w:szCs w:val="22"/>
              </w:rPr>
              <w:t xml:space="preserve"> of the GDP.</w:t>
            </w:r>
          </w:p>
        </w:tc>
      </w:tr>
      <w:tr w:rsidR="00C85053" w:rsidRPr="00B10D90" w:rsidTr="00441D50">
        <w:tblPrEx>
          <w:tblCellMar>
            <w:left w:w="70" w:type="dxa"/>
            <w:right w:w="70" w:type="dxa"/>
          </w:tblCellMar>
        </w:tblPrEx>
        <w:tc>
          <w:tcPr>
            <w:tcW w:w="9858" w:type="dxa"/>
            <w:gridSpan w:val="16"/>
          </w:tcPr>
          <w:p w:rsidR="00C85053" w:rsidRPr="0037406B" w:rsidRDefault="00C6234F" w:rsidP="00F140B4">
            <w:pPr>
              <w:jc w:val="center"/>
              <w:rPr>
                <w:rFonts w:ascii="Century" w:hAnsi="Century"/>
                <w:b/>
                <w:color w:val="000080"/>
                <w:sz w:val="20"/>
                <w:szCs w:val="20"/>
              </w:rPr>
            </w:pPr>
            <w:r w:rsidRPr="0037406B">
              <w:rPr>
                <w:rFonts w:ascii="Century" w:hAnsi="Century"/>
                <w:b/>
                <w:color w:val="000080"/>
                <w:sz w:val="20"/>
                <w:szCs w:val="20"/>
              </w:rPr>
              <w:lastRenderedPageBreak/>
              <w:t>Grafik 1.2</w:t>
            </w:r>
            <w:r w:rsidR="00C85053" w:rsidRPr="0037406B">
              <w:rPr>
                <w:rFonts w:ascii="Century" w:hAnsi="Century"/>
                <w:b/>
                <w:color w:val="000080"/>
                <w:sz w:val="20"/>
                <w:szCs w:val="20"/>
              </w:rPr>
              <w:t>.4: Hayat Dışı Branşlar Direkt Prim Üretimi Artış Oranları</w:t>
            </w:r>
          </w:p>
          <w:p w:rsidR="00C85053" w:rsidRPr="0037406B" w:rsidRDefault="00C85053" w:rsidP="00837782">
            <w:pPr>
              <w:jc w:val="center"/>
              <w:rPr>
                <w:rFonts w:ascii="Century" w:hAnsi="Century"/>
                <w:i/>
                <w:color w:val="000080"/>
                <w:sz w:val="20"/>
                <w:szCs w:val="20"/>
              </w:rPr>
            </w:pPr>
            <w:r w:rsidRPr="0037406B">
              <w:rPr>
                <w:rFonts w:ascii="Century" w:hAnsi="Century"/>
                <w:i/>
                <w:color w:val="000080"/>
                <w:sz w:val="20"/>
                <w:szCs w:val="20"/>
              </w:rPr>
              <w:t xml:space="preserve">Growth Rates of Non-Life </w:t>
            </w:r>
            <w:r w:rsidR="00725381" w:rsidRPr="0037406B">
              <w:rPr>
                <w:rFonts w:ascii="Century" w:hAnsi="Century"/>
                <w:i/>
                <w:color w:val="000080"/>
                <w:sz w:val="20"/>
                <w:szCs w:val="20"/>
              </w:rPr>
              <w:t xml:space="preserve">Gross </w:t>
            </w:r>
            <w:r w:rsidRPr="0037406B">
              <w:rPr>
                <w:rFonts w:ascii="Century" w:hAnsi="Century"/>
                <w:i/>
                <w:color w:val="000080"/>
                <w:sz w:val="20"/>
                <w:szCs w:val="20"/>
              </w:rPr>
              <w:t>Direct Premium (%)</w:t>
            </w:r>
          </w:p>
          <w:p w:rsidR="00746502" w:rsidRPr="00B10D90" w:rsidRDefault="00331B6A" w:rsidP="00837782">
            <w:pPr>
              <w:jc w:val="center"/>
              <w:rPr>
                <w:rFonts w:ascii="Century" w:hAnsi="Century"/>
                <w:i/>
                <w:color w:val="000080"/>
                <w:sz w:val="20"/>
                <w:szCs w:val="20"/>
                <w:highlight w:val="yellow"/>
              </w:rPr>
            </w:pPr>
            <w:r>
              <w:rPr>
                <w:rFonts w:ascii="Century" w:hAnsi="Century"/>
                <w:i/>
                <w:noProof/>
                <w:color w:val="000080"/>
                <w:sz w:val="20"/>
                <w:szCs w:val="20"/>
              </w:rPr>
              <w:drawing>
                <wp:inline distT="0" distB="0" distL="0" distR="0" wp14:anchorId="5500D17F" wp14:editId="1B71E30F">
                  <wp:extent cx="6170295" cy="1948180"/>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0295" cy="1948180"/>
                          </a:xfrm>
                          <a:prstGeom prst="rect">
                            <a:avLst/>
                          </a:prstGeom>
                          <a:noFill/>
                          <a:ln>
                            <a:noFill/>
                          </a:ln>
                        </pic:spPr>
                      </pic:pic>
                    </a:graphicData>
                  </a:graphic>
                </wp:inline>
              </w:drawing>
            </w:r>
          </w:p>
          <w:p w:rsidR="00C85053" w:rsidRPr="00B10D90" w:rsidRDefault="00C85053" w:rsidP="002615BF">
            <w:pPr>
              <w:jc w:val="both"/>
              <w:rPr>
                <w:rFonts w:ascii="Century" w:hAnsi="Century" w:cs="Arial"/>
                <w:color w:val="333333"/>
                <w:sz w:val="22"/>
                <w:szCs w:val="22"/>
                <w:highlight w:val="yellow"/>
              </w:rPr>
            </w:pPr>
          </w:p>
        </w:tc>
      </w:tr>
      <w:tr w:rsidR="00C85053" w:rsidRPr="00B10D90" w:rsidTr="00441D50">
        <w:trPr>
          <w:gridAfter w:val="2"/>
          <w:wAfter w:w="38" w:type="dxa"/>
        </w:trPr>
        <w:tc>
          <w:tcPr>
            <w:tcW w:w="4817" w:type="dxa"/>
            <w:gridSpan w:val="2"/>
          </w:tcPr>
          <w:p w:rsidR="00440966" w:rsidRPr="0090495F" w:rsidRDefault="000D068B" w:rsidP="00D63A79">
            <w:pPr>
              <w:jc w:val="both"/>
              <w:rPr>
                <w:rFonts w:ascii="Century" w:hAnsi="Century"/>
                <w:sz w:val="22"/>
                <w:szCs w:val="22"/>
              </w:rPr>
            </w:pPr>
            <w:bookmarkStart w:id="168" w:name="_Toc296371947"/>
            <w:bookmarkStart w:id="169" w:name="_Toc296807854"/>
            <w:r w:rsidRPr="0090495F">
              <w:rPr>
                <w:rFonts w:ascii="Century" w:hAnsi="Century"/>
                <w:sz w:val="22"/>
                <w:szCs w:val="22"/>
              </w:rPr>
              <w:t>Önceki yıllarda, h</w:t>
            </w:r>
            <w:r w:rsidR="00FD3B5A" w:rsidRPr="0090495F">
              <w:rPr>
                <w:rFonts w:ascii="Century" w:hAnsi="Century"/>
                <w:sz w:val="22"/>
                <w:szCs w:val="22"/>
              </w:rPr>
              <w:t>ayat dışı branşlarda prim üretim artışları GSYH’ya paralel bir seyir izlerken</w:t>
            </w:r>
            <w:r w:rsidR="00E826ED" w:rsidRPr="0090495F">
              <w:rPr>
                <w:rFonts w:ascii="Century" w:hAnsi="Century"/>
                <w:sz w:val="22"/>
                <w:szCs w:val="22"/>
              </w:rPr>
              <w:t xml:space="preserve"> 2017 </w:t>
            </w:r>
            <w:r w:rsidR="00A87A86" w:rsidRPr="0090495F">
              <w:rPr>
                <w:rFonts w:ascii="Century" w:hAnsi="Century"/>
                <w:sz w:val="22"/>
                <w:szCs w:val="22"/>
              </w:rPr>
              <w:t xml:space="preserve">ve 2018 </w:t>
            </w:r>
            <w:r w:rsidR="00883A6A" w:rsidRPr="0090495F">
              <w:rPr>
                <w:rFonts w:ascii="Century" w:hAnsi="Century"/>
                <w:sz w:val="22"/>
                <w:szCs w:val="22"/>
              </w:rPr>
              <w:t>yıl</w:t>
            </w:r>
            <w:r w:rsidR="00A87A86" w:rsidRPr="0090495F">
              <w:rPr>
                <w:rFonts w:ascii="Century" w:hAnsi="Century"/>
                <w:sz w:val="22"/>
                <w:szCs w:val="22"/>
              </w:rPr>
              <w:t>lar</w:t>
            </w:r>
            <w:r w:rsidR="00883A6A" w:rsidRPr="0090495F">
              <w:rPr>
                <w:rFonts w:ascii="Century" w:hAnsi="Century"/>
                <w:sz w:val="22"/>
                <w:szCs w:val="22"/>
              </w:rPr>
              <w:t>ında hayat dışı prim üretim artışı GSYH’ daki artişın gerisinde kalmış</w:t>
            </w:r>
            <w:r w:rsidR="0037406B" w:rsidRPr="0090495F">
              <w:rPr>
                <w:rFonts w:ascii="Century" w:hAnsi="Century"/>
                <w:sz w:val="22"/>
                <w:szCs w:val="22"/>
              </w:rPr>
              <w:t>,</w:t>
            </w:r>
            <w:r w:rsidR="00883A6A" w:rsidRPr="0090495F">
              <w:rPr>
                <w:rFonts w:ascii="Century" w:hAnsi="Century"/>
                <w:sz w:val="22"/>
                <w:szCs w:val="22"/>
              </w:rPr>
              <w:t xml:space="preserve"> H</w:t>
            </w:r>
            <w:r w:rsidR="00FD3B5A" w:rsidRPr="0090495F">
              <w:rPr>
                <w:rFonts w:ascii="Century" w:hAnsi="Century"/>
                <w:sz w:val="22"/>
                <w:szCs w:val="22"/>
              </w:rPr>
              <w:t>ayat branşında</w:t>
            </w:r>
            <w:r w:rsidR="00883A6A" w:rsidRPr="0090495F">
              <w:rPr>
                <w:rFonts w:ascii="Century" w:hAnsi="Century"/>
                <w:sz w:val="22"/>
                <w:szCs w:val="22"/>
              </w:rPr>
              <w:t xml:space="preserve"> ise prim artışları</w:t>
            </w:r>
            <w:r w:rsidR="00A87A86" w:rsidRPr="0090495F">
              <w:rPr>
                <w:rFonts w:ascii="Century" w:hAnsi="Century"/>
                <w:sz w:val="22"/>
                <w:szCs w:val="22"/>
              </w:rPr>
              <w:t xml:space="preserve"> 2015, 2016, 2017 yıllarında</w:t>
            </w:r>
            <w:r w:rsidR="00883A6A" w:rsidRPr="0090495F">
              <w:rPr>
                <w:rFonts w:ascii="Century" w:hAnsi="Century"/>
                <w:sz w:val="22"/>
                <w:szCs w:val="22"/>
              </w:rPr>
              <w:t xml:space="preserve"> </w:t>
            </w:r>
            <w:r w:rsidR="00FD3B5A" w:rsidRPr="0090495F">
              <w:rPr>
                <w:rFonts w:ascii="Century" w:hAnsi="Century"/>
                <w:sz w:val="22"/>
                <w:szCs w:val="22"/>
              </w:rPr>
              <w:t>GSYH</w:t>
            </w:r>
            <w:r w:rsidR="00210128" w:rsidRPr="0090495F">
              <w:rPr>
                <w:rFonts w:ascii="Century" w:hAnsi="Century"/>
                <w:sz w:val="22"/>
                <w:szCs w:val="22"/>
              </w:rPr>
              <w:t>’daki artışı</w:t>
            </w:r>
            <w:r w:rsidR="00883A6A" w:rsidRPr="0090495F">
              <w:rPr>
                <w:rFonts w:ascii="Century" w:hAnsi="Century"/>
                <w:sz w:val="22"/>
                <w:szCs w:val="22"/>
              </w:rPr>
              <w:t>n üzerinde gerçekleş</w:t>
            </w:r>
            <w:r w:rsidR="00A87A86" w:rsidRPr="0090495F">
              <w:rPr>
                <w:rFonts w:ascii="Century" w:hAnsi="Century"/>
                <w:sz w:val="22"/>
                <w:szCs w:val="22"/>
              </w:rPr>
              <w:t>irken 2018 yılında gerisinde kalmıştır.</w:t>
            </w:r>
            <w:r w:rsidR="00FD3B5A" w:rsidRPr="0090495F">
              <w:rPr>
                <w:rFonts w:ascii="Century" w:hAnsi="Century"/>
                <w:sz w:val="22"/>
                <w:szCs w:val="22"/>
              </w:rPr>
              <w:t xml:space="preserve"> </w:t>
            </w:r>
          </w:p>
          <w:p w:rsidR="00440966" w:rsidRPr="0090495F" w:rsidRDefault="00440966" w:rsidP="00D63A79">
            <w:pPr>
              <w:jc w:val="both"/>
              <w:rPr>
                <w:rFonts w:ascii="Century" w:hAnsi="Century"/>
                <w:sz w:val="22"/>
                <w:szCs w:val="22"/>
              </w:rPr>
            </w:pPr>
          </w:p>
          <w:p w:rsidR="00C85053" w:rsidRPr="0090495F" w:rsidRDefault="00C85053" w:rsidP="00EB00C1">
            <w:pPr>
              <w:jc w:val="both"/>
              <w:rPr>
                <w:rFonts w:ascii="Century" w:hAnsi="Century"/>
                <w:sz w:val="22"/>
                <w:szCs w:val="22"/>
              </w:rPr>
            </w:pPr>
            <w:r w:rsidRPr="0090495F">
              <w:rPr>
                <w:rFonts w:ascii="Century" w:hAnsi="Century"/>
                <w:sz w:val="22"/>
                <w:szCs w:val="22"/>
              </w:rPr>
              <w:t>Hayat branşı</w:t>
            </w:r>
            <w:r w:rsidR="003C25A2" w:rsidRPr="0090495F">
              <w:rPr>
                <w:rFonts w:ascii="Century" w:hAnsi="Century"/>
                <w:sz w:val="22"/>
                <w:szCs w:val="22"/>
              </w:rPr>
              <w:t>nda</w:t>
            </w:r>
            <w:r w:rsidRPr="0090495F">
              <w:rPr>
                <w:rFonts w:ascii="Century" w:hAnsi="Century"/>
                <w:sz w:val="22"/>
                <w:szCs w:val="22"/>
              </w:rPr>
              <w:t xml:space="preserve"> direkt prim </w:t>
            </w:r>
            <w:r w:rsidR="00797A3A" w:rsidRPr="0090495F">
              <w:rPr>
                <w:rFonts w:ascii="Century" w:hAnsi="Century"/>
                <w:sz w:val="22"/>
                <w:szCs w:val="22"/>
              </w:rPr>
              <w:t xml:space="preserve">üretimi </w:t>
            </w:r>
            <w:r w:rsidRPr="0090495F">
              <w:rPr>
                <w:rFonts w:ascii="Century" w:hAnsi="Century"/>
                <w:sz w:val="22"/>
                <w:szCs w:val="22"/>
              </w:rPr>
              <w:t xml:space="preserve">artış oranlarını gösteren aşağıdaki grafikten de </w:t>
            </w:r>
            <w:r w:rsidR="003C25A2" w:rsidRPr="0090495F">
              <w:rPr>
                <w:rFonts w:ascii="Century" w:hAnsi="Century"/>
                <w:sz w:val="22"/>
                <w:szCs w:val="22"/>
              </w:rPr>
              <w:t>anlaşılacağı</w:t>
            </w:r>
            <w:r w:rsidR="007F7AFF" w:rsidRPr="0090495F">
              <w:rPr>
                <w:rFonts w:ascii="Century" w:hAnsi="Century"/>
                <w:sz w:val="22"/>
                <w:szCs w:val="22"/>
              </w:rPr>
              <w:t xml:space="preserve"> üzere </w:t>
            </w:r>
            <w:r w:rsidR="00E675D0" w:rsidRPr="0090495F">
              <w:rPr>
                <w:rFonts w:ascii="Century" w:hAnsi="Century"/>
                <w:sz w:val="22"/>
                <w:szCs w:val="22"/>
              </w:rPr>
              <w:t>2009</w:t>
            </w:r>
            <w:r w:rsidRPr="0090495F">
              <w:rPr>
                <w:rFonts w:ascii="Century" w:hAnsi="Century"/>
                <w:sz w:val="22"/>
                <w:szCs w:val="22"/>
              </w:rPr>
              <w:t xml:space="preserve"> yılın</w:t>
            </w:r>
            <w:r w:rsidR="00A1443B" w:rsidRPr="0090495F">
              <w:rPr>
                <w:rFonts w:ascii="Century" w:hAnsi="Century"/>
                <w:sz w:val="22"/>
                <w:szCs w:val="22"/>
              </w:rPr>
              <w:t>d</w:t>
            </w:r>
            <w:r w:rsidRPr="0090495F">
              <w:rPr>
                <w:rFonts w:ascii="Century" w:hAnsi="Century"/>
                <w:sz w:val="22"/>
                <w:szCs w:val="22"/>
              </w:rPr>
              <w:t>a</w:t>
            </w:r>
            <w:r w:rsidR="00915362" w:rsidRPr="0090495F">
              <w:rPr>
                <w:rFonts w:ascii="Century" w:hAnsi="Century"/>
                <w:sz w:val="22"/>
                <w:szCs w:val="22"/>
              </w:rPr>
              <w:t>n itibaren bireysel krediler</w:t>
            </w:r>
            <w:r w:rsidR="00FD3B5A" w:rsidRPr="0090495F">
              <w:rPr>
                <w:rFonts w:ascii="Century" w:hAnsi="Century"/>
                <w:sz w:val="22"/>
                <w:szCs w:val="22"/>
              </w:rPr>
              <w:t>l</w:t>
            </w:r>
            <w:r w:rsidR="00915362" w:rsidRPr="0090495F">
              <w:rPr>
                <w:rFonts w:ascii="Century" w:hAnsi="Century"/>
                <w:sz w:val="22"/>
                <w:szCs w:val="22"/>
              </w:rPr>
              <w:t>e</w:t>
            </w:r>
            <w:r w:rsidR="00C10523" w:rsidRPr="0090495F">
              <w:rPr>
                <w:rFonts w:ascii="Century" w:hAnsi="Century"/>
                <w:sz w:val="22"/>
                <w:szCs w:val="22"/>
              </w:rPr>
              <w:t xml:space="preserve"> bağl</w:t>
            </w:r>
            <w:r w:rsidR="00B479FC" w:rsidRPr="0090495F">
              <w:rPr>
                <w:rFonts w:ascii="Century" w:hAnsi="Century"/>
                <w:sz w:val="22"/>
                <w:szCs w:val="22"/>
              </w:rPr>
              <w:t>antılı</w:t>
            </w:r>
            <w:r w:rsidR="00C10523" w:rsidRPr="0090495F">
              <w:rPr>
                <w:rFonts w:ascii="Century" w:hAnsi="Century"/>
                <w:sz w:val="22"/>
                <w:szCs w:val="22"/>
              </w:rPr>
              <w:t xml:space="preserve"> hayat sigortalarındaki artışın etkisiyle </w:t>
            </w:r>
            <w:r w:rsidRPr="0090495F">
              <w:rPr>
                <w:rFonts w:ascii="Century" w:hAnsi="Century"/>
                <w:sz w:val="22"/>
                <w:szCs w:val="22"/>
              </w:rPr>
              <w:t xml:space="preserve">yükseliş eğiliminde olan </w:t>
            </w:r>
            <w:r w:rsidR="00797A3A" w:rsidRPr="0090495F">
              <w:rPr>
                <w:rFonts w:ascii="Century" w:hAnsi="Century"/>
                <w:sz w:val="22"/>
                <w:szCs w:val="22"/>
              </w:rPr>
              <w:t>branşın</w:t>
            </w:r>
            <w:r w:rsidRPr="0090495F">
              <w:rPr>
                <w:rFonts w:ascii="Century" w:hAnsi="Century"/>
                <w:sz w:val="22"/>
                <w:szCs w:val="22"/>
              </w:rPr>
              <w:t xml:space="preserve"> prim</w:t>
            </w:r>
            <w:r w:rsidR="00797A3A" w:rsidRPr="0090495F">
              <w:rPr>
                <w:rFonts w:ascii="Century" w:hAnsi="Century"/>
                <w:sz w:val="22"/>
                <w:szCs w:val="22"/>
              </w:rPr>
              <w:t xml:space="preserve"> üretim</w:t>
            </w:r>
            <w:r w:rsidR="00216614" w:rsidRPr="0090495F">
              <w:rPr>
                <w:rFonts w:ascii="Century" w:hAnsi="Century"/>
                <w:sz w:val="22"/>
                <w:szCs w:val="22"/>
              </w:rPr>
              <w:t>i</w:t>
            </w:r>
            <w:r w:rsidRPr="0090495F">
              <w:rPr>
                <w:rFonts w:ascii="Century" w:hAnsi="Century"/>
                <w:sz w:val="22"/>
                <w:szCs w:val="22"/>
              </w:rPr>
              <w:t xml:space="preserve"> </w:t>
            </w:r>
            <w:bookmarkEnd w:id="168"/>
            <w:bookmarkEnd w:id="169"/>
            <w:r w:rsidR="00B16FB7" w:rsidRPr="0090495F">
              <w:rPr>
                <w:rFonts w:ascii="Century" w:hAnsi="Century"/>
                <w:sz w:val="22"/>
                <w:szCs w:val="22"/>
              </w:rPr>
              <w:t>2012</w:t>
            </w:r>
            <w:r w:rsidR="00456E8A" w:rsidRPr="0090495F">
              <w:rPr>
                <w:rFonts w:ascii="Century" w:hAnsi="Century"/>
                <w:sz w:val="22"/>
                <w:szCs w:val="22"/>
              </w:rPr>
              <w:t xml:space="preserve"> yılında</w:t>
            </w:r>
            <w:r w:rsidR="00B16FB7" w:rsidRPr="0090495F">
              <w:rPr>
                <w:rFonts w:ascii="Century" w:hAnsi="Century"/>
                <w:sz w:val="22"/>
                <w:szCs w:val="22"/>
              </w:rPr>
              <w:t xml:space="preserve"> azalmış, </w:t>
            </w:r>
            <w:r w:rsidR="00554258" w:rsidRPr="0090495F">
              <w:rPr>
                <w:rFonts w:ascii="Century" w:hAnsi="Century"/>
                <w:sz w:val="22"/>
                <w:szCs w:val="22"/>
              </w:rPr>
              <w:t>2013 yılında</w:t>
            </w:r>
            <w:r w:rsidR="00B16FB7" w:rsidRPr="0090495F">
              <w:rPr>
                <w:rFonts w:ascii="Century" w:hAnsi="Century"/>
                <w:sz w:val="22"/>
                <w:szCs w:val="22"/>
              </w:rPr>
              <w:t xml:space="preserve"> tekrar artmış ancak 2014 yılında son </w:t>
            </w:r>
            <w:r w:rsidR="00EB00C1" w:rsidRPr="0090495F">
              <w:rPr>
                <w:rFonts w:ascii="Century" w:hAnsi="Century"/>
                <w:sz w:val="22"/>
                <w:szCs w:val="22"/>
              </w:rPr>
              <w:t>yılların</w:t>
            </w:r>
            <w:r w:rsidR="00B16FB7" w:rsidRPr="0090495F">
              <w:rPr>
                <w:rFonts w:ascii="Century" w:hAnsi="Century"/>
                <w:sz w:val="22"/>
                <w:szCs w:val="22"/>
              </w:rPr>
              <w:t xml:space="preserve"> en büyük küçülmesini yaşamıştır.</w:t>
            </w:r>
            <w:r w:rsidR="00456E8A" w:rsidRPr="0090495F">
              <w:rPr>
                <w:rFonts w:ascii="Century" w:hAnsi="Century"/>
                <w:sz w:val="22"/>
                <w:szCs w:val="22"/>
              </w:rPr>
              <w:t xml:space="preserve"> </w:t>
            </w:r>
            <w:r w:rsidR="00A13886" w:rsidRPr="0090495F">
              <w:rPr>
                <w:rFonts w:ascii="Century" w:hAnsi="Century"/>
                <w:sz w:val="22"/>
                <w:szCs w:val="22"/>
              </w:rPr>
              <w:t xml:space="preserve">Hayat branşı </w:t>
            </w:r>
            <w:r w:rsidR="00456E8A" w:rsidRPr="0090495F">
              <w:rPr>
                <w:rFonts w:ascii="Century" w:hAnsi="Century"/>
                <w:sz w:val="22"/>
                <w:szCs w:val="22"/>
              </w:rPr>
              <w:t>2015 yılında tekrar yükselişe geçmiş</w:t>
            </w:r>
            <w:r w:rsidR="00BD4251" w:rsidRPr="0090495F">
              <w:rPr>
                <w:rFonts w:ascii="Century" w:hAnsi="Century"/>
                <w:sz w:val="22"/>
                <w:szCs w:val="22"/>
              </w:rPr>
              <w:t xml:space="preserve"> ve 2016</w:t>
            </w:r>
            <w:r w:rsidR="00883A6A" w:rsidRPr="0090495F">
              <w:rPr>
                <w:rFonts w:ascii="Century" w:hAnsi="Century"/>
                <w:sz w:val="22"/>
                <w:szCs w:val="22"/>
              </w:rPr>
              <w:t xml:space="preserve"> ve 2017</w:t>
            </w:r>
            <w:r w:rsidR="00BD4251" w:rsidRPr="0090495F">
              <w:rPr>
                <w:rFonts w:ascii="Century" w:hAnsi="Century"/>
                <w:sz w:val="22"/>
                <w:szCs w:val="22"/>
              </w:rPr>
              <w:t xml:space="preserve"> yıl sonunda son yılların en yüksek büyümesini gerçekleştir</w:t>
            </w:r>
            <w:r w:rsidR="008A271C" w:rsidRPr="0090495F">
              <w:rPr>
                <w:rFonts w:ascii="Century" w:hAnsi="Century"/>
                <w:sz w:val="22"/>
                <w:szCs w:val="22"/>
              </w:rPr>
              <w:t>irken 2018 yılında kredi hacmindeki daralmanın da etkisiyle prim artış oranı</w:t>
            </w:r>
            <w:r w:rsidR="00CF22A8" w:rsidRPr="0090495F">
              <w:rPr>
                <w:rFonts w:ascii="Century" w:hAnsi="Century"/>
                <w:sz w:val="22"/>
                <w:szCs w:val="22"/>
              </w:rPr>
              <w:t>nda</w:t>
            </w:r>
            <w:r w:rsidR="008A271C" w:rsidRPr="0090495F">
              <w:rPr>
                <w:rFonts w:ascii="Century" w:hAnsi="Century"/>
                <w:sz w:val="22"/>
                <w:szCs w:val="22"/>
              </w:rPr>
              <w:t xml:space="preserve"> düşüş göster</w:t>
            </w:r>
            <w:r w:rsidR="00BD4251" w:rsidRPr="0090495F">
              <w:rPr>
                <w:rFonts w:ascii="Century" w:hAnsi="Century"/>
                <w:sz w:val="22"/>
                <w:szCs w:val="22"/>
              </w:rPr>
              <w:t>miş</w:t>
            </w:r>
            <w:r w:rsidR="00456E8A" w:rsidRPr="0090495F">
              <w:rPr>
                <w:rFonts w:ascii="Century" w:hAnsi="Century"/>
                <w:sz w:val="22"/>
                <w:szCs w:val="22"/>
              </w:rPr>
              <w:t>tir.</w:t>
            </w:r>
            <w:r w:rsidR="00B16FB7" w:rsidRPr="0090495F">
              <w:rPr>
                <w:rFonts w:ascii="Century" w:hAnsi="Century"/>
                <w:sz w:val="22"/>
                <w:szCs w:val="22"/>
              </w:rPr>
              <w:t xml:space="preserve"> </w:t>
            </w:r>
            <w:r w:rsidR="00554258" w:rsidRPr="0090495F">
              <w:rPr>
                <w:rFonts w:ascii="Century" w:hAnsi="Century"/>
                <w:sz w:val="22"/>
                <w:szCs w:val="22"/>
              </w:rPr>
              <w:t xml:space="preserve"> </w:t>
            </w:r>
          </w:p>
        </w:tc>
        <w:tc>
          <w:tcPr>
            <w:tcW w:w="236" w:type="dxa"/>
            <w:gridSpan w:val="6"/>
          </w:tcPr>
          <w:p w:rsidR="00C85053" w:rsidRPr="00B10D90" w:rsidRDefault="00C85053" w:rsidP="00CD35C2">
            <w:pPr>
              <w:jc w:val="both"/>
              <w:rPr>
                <w:rFonts w:ascii="Century" w:hAnsi="Century"/>
                <w:sz w:val="22"/>
                <w:szCs w:val="22"/>
                <w:highlight w:val="yellow"/>
              </w:rPr>
            </w:pPr>
          </w:p>
        </w:tc>
        <w:tc>
          <w:tcPr>
            <w:tcW w:w="4767" w:type="dxa"/>
            <w:gridSpan w:val="6"/>
          </w:tcPr>
          <w:p w:rsidR="00440966" w:rsidRPr="0090495F" w:rsidRDefault="0073585F" w:rsidP="002513DB">
            <w:pPr>
              <w:jc w:val="both"/>
              <w:rPr>
                <w:rFonts w:ascii="Century" w:hAnsi="Century" w:cs="Arial"/>
                <w:color w:val="333333"/>
                <w:sz w:val="22"/>
                <w:szCs w:val="22"/>
              </w:rPr>
            </w:pPr>
            <w:r w:rsidRPr="0090495F">
              <w:rPr>
                <w:rFonts w:ascii="Century" w:hAnsi="Century" w:cs="Arial"/>
                <w:color w:val="333333"/>
                <w:sz w:val="22"/>
                <w:szCs w:val="22"/>
              </w:rPr>
              <w:t>T</w:t>
            </w:r>
            <w:r w:rsidR="000D068B" w:rsidRPr="0090495F">
              <w:rPr>
                <w:rFonts w:ascii="Century" w:hAnsi="Century" w:cs="Arial"/>
                <w:color w:val="333333"/>
                <w:sz w:val="22"/>
                <w:szCs w:val="22"/>
              </w:rPr>
              <w:t>he non-life premium growth rates followed a parallel trend aligning with GDP in the previous years where as non-life insurance premium growth rate f</w:t>
            </w:r>
            <w:r w:rsidR="000A07D5" w:rsidRPr="0090495F">
              <w:rPr>
                <w:rFonts w:ascii="Century" w:hAnsi="Century" w:cs="Arial"/>
                <w:color w:val="333333"/>
                <w:sz w:val="22"/>
                <w:szCs w:val="22"/>
              </w:rPr>
              <w:t>e</w:t>
            </w:r>
            <w:r w:rsidR="000D068B" w:rsidRPr="0090495F">
              <w:rPr>
                <w:rFonts w:ascii="Century" w:hAnsi="Century" w:cs="Arial"/>
                <w:color w:val="333333"/>
                <w:sz w:val="22"/>
                <w:szCs w:val="22"/>
              </w:rPr>
              <w:t>ll behind the increase of GDP in 2017</w:t>
            </w:r>
            <w:r w:rsidR="00A87A86" w:rsidRPr="0090495F">
              <w:rPr>
                <w:rFonts w:ascii="Century" w:hAnsi="Century" w:cs="Arial"/>
                <w:color w:val="333333"/>
                <w:sz w:val="22"/>
                <w:szCs w:val="22"/>
              </w:rPr>
              <w:t xml:space="preserve"> and 2018</w:t>
            </w:r>
            <w:r w:rsidR="0090495F" w:rsidRPr="0090495F">
              <w:rPr>
                <w:rFonts w:ascii="Century" w:hAnsi="Century" w:cs="Arial"/>
                <w:color w:val="333333"/>
                <w:sz w:val="22"/>
                <w:szCs w:val="22"/>
              </w:rPr>
              <w:t xml:space="preserve"> On the other hand, life insurance premium growth has surpassed the increase rate of GDP in 2015, 2016 and 2017 but fell behind in 2018.</w:t>
            </w:r>
          </w:p>
          <w:p w:rsidR="0090495F" w:rsidRPr="0090495F" w:rsidRDefault="0090495F" w:rsidP="002513DB">
            <w:pPr>
              <w:jc w:val="both"/>
              <w:rPr>
                <w:rFonts w:ascii="Century" w:hAnsi="Century" w:cs="Arial"/>
                <w:color w:val="333333"/>
                <w:sz w:val="22"/>
                <w:szCs w:val="22"/>
              </w:rPr>
            </w:pPr>
          </w:p>
          <w:p w:rsidR="002513DB" w:rsidRPr="00B10D90" w:rsidRDefault="0090495F" w:rsidP="00EB00C1">
            <w:pPr>
              <w:jc w:val="both"/>
              <w:rPr>
                <w:rFonts w:ascii="Century" w:hAnsi="Century" w:cs="Arial"/>
                <w:color w:val="333333"/>
                <w:sz w:val="22"/>
                <w:szCs w:val="22"/>
                <w:highlight w:val="yellow"/>
              </w:rPr>
            </w:pPr>
            <w:r w:rsidRPr="0090495F">
              <w:rPr>
                <w:rFonts w:ascii="Century" w:hAnsi="Century" w:cs="Arial"/>
                <w:color w:val="333333"/>
                <w:sz w:val="22"/>
                <w:szCs w:val="22"/>
              </w:rPr>
              <w:t>As it can be seen from the graph below which shows the direct premium increase in the life insurance, the premium growth rate of life insurance has showed an upward trend</w:t>
            </w:r>
            <w:r w:rsidRPr="0090495F">
              <w:rPr>
                <w:rFonts w:ascii="Century" w:hAnsi="Century"/>
                <w:color w:val="333333"/>
                <w:sz w:val="22"/>
                <w:szCs w:val="22"/>
              </w:rPr>
              <w:t xml:space="preserve"> with the effect of the increase in credit related individual life insurance premiums</w:t>
            </w:r>
            <w:r w:rsidRPr="0090495F">
              <w:rPr>
                <w:rFonts w:ascii="Century" w:hAnsi="Century" w:cs="Arial"/>
                <w:color w:val="333333"/>
                <w:sz w:val="22"/>
                <w:szCs w:val="22"/>
              </w:rPr>
              <w:t xml:space="preserve"> since 2009, but it decreased in 2012. Despite a significant increase in 2013, it decreased in 2014 and experienced the highest decline for the last recent years. While premium growth in life business has risen again in 2015 and achieved the highest growth for years 2016 and 2017, it has fallen in 2018 due to decrease in credit volume.</w:t>
            </w:r>
          </w:p>
        </w:tc>
      </w:tr>
      <w:tr w:rsidR="00C85053" w:rsidRPr="00B10D90" w:rsidTr="00441D50">
        <w:trPr>
          <w:gridAfter w:val="2"/>
          <w:wAfter w:w="38" w:type="dxa"/>
        </w:trPr>
        <w:tc>
          <w:tcPr>
            <w:tcW w:w="4817" w:type="dxa"/>
            <w:gridSpan w:val="2"/>
          </w:tcPr>
          <w:p w:rsidR="004C6898" w:rsidRPr="00B10D90" w:rsidRDefault="004C6898" w:rsidP="004C6898">
            <w:pPr>
              <w:rPr>
                <w:highlight w:val="yellow"/>
              </w:rPr>
            </w:pPr>
          </w:p>
        </w:tc>
        <w:tc>
          <w:tcPr>
            <w:tcW w:w="236" w:type="dxa"/>
            <w:gridSpan w:val="6"/>
          </w:tcPr>
          <w:p w:rsidR="00C85053" w:rsidRPr="00B10D90" w:rsidRDefault="00C85053" w:rsidP="00CD35C2">
            <w:pPr>
              <w:jc w:val="both"/>
              <w:rPr>
                <w:rFonts w:ascii="Century" w:hAnsi="Century"/>
                <w:sz w:val="22"/>
                <w:szCs w:val="22"/>
                <w:highlight w:val="yellow"/>
              </w:rPr>
            </w:pPr>
          </w:p>
        </w:tc>
        <w:tc>
          <w:tcPr>
            <w:tcW w:w="4767" w:type="dxa"/>
            <w:gridSpan w:val="6"/>
          </w:tcPr>
          <w:p w:rsidR="00C85053" w:rsidRPr="00B10D90" w:rsidRDefault="00C85053" w:rsidP="002615BF">
            <w:pPr>
              <w:jc w:val="both"/>
              <w:rPr>
                <w:rFonts w:ascii="Century" w:hAnsi="Century" w:cs="Arial"/>
                <w:color w:val="333333"/>
                <w:sz w:val="22"/>
                <w:szCs w:val="22"/>
                <w:highlight w:val="yellow"/>
              </w:rPr>
            </w:pPr>
          </w:p>
        </w:tc>
      </w:tr>
      <w:tr w:rsidR="00C85053" w:rsidRPr="00B10D90" w:rsidTr="00441D50">
        <w:trPr>
          <w:gridAfter w:val="2"/>
          <w:wAfter w:w="38" w:type="dxa"/>
          <w:trHeight w:val="169"/>
        </w:trPr>
        <w:tc>
          <w:tcPr>
            <w:tcW w:w="9820" w:type="dxa"/>
            <w:gridSpan w:val="14"/>
          </w:tcPr>
          <w:p w:rsidR="00C85053" w:rsidRPr="00E92402" w:rsidRDefault="00C6234F" w:rsidP="00DA24BB">
            <w:pPr>
              <w:jc w:val="center"/>
              <w:rPr>
                <w:rFonts w:ascii="Century" w:hAnsi="Century"/>
                <w:b/>
                <w:color w:val="000080"/>
                <w:sz w:val="20"/>
                <w:szCs w:val="20"/>
              </w:rPr>
            </w:pPr>
            <w:r w:rsidRPr="00E92402">
              <w:rPr>
                <w:rFonts w:ascii="Century" w:hAnsi="Century"/>
                <w:b/>
                <w:color w:val="000080"/>
                <w:sz w:val="20"/>
                <w:szCs w:val="20"/>
              </w:rPr>
              <w:t>Grafik 1.2</w:t>
            </w:r>
            <w:r w:rsidR="00C85053" w:rsidRPr="00E92402">
              <w:rPr>
                <w:rFonts w:ascii="Century" w:hAnsi="Century"/>
                <w:b/>
                <w:color w:val="000080"/>
                <w:sz w:val="20"/>
                <w:szCs w:val="20"/>
              </w:rPr>
              <w:t>.5: Hayat Branşı Direkt Prim Üretimi Artış Oranları</w:t>
            </w:r>
          </w:p>
          <w:p w:rsidR="00C85053" w:rsidRPr="00E92402" w:rsidRDefault="00C85053" w:rsidP="00DA24BB">
            <w:pPr>
              <w:jc w:val="center"/>
              <w:rPr>
                <w:rFonts w:ascii="Century" w:hAnsi="Century"/>
                <w:i/>
                <w:color w:val="000080"/>
                <w:sz w:val="20"/>
                <w:szCs w:val="20"/>
              </w:rPr>
            </w:pPr>
            <w:r w:rsidRPr="00E92402">
              <w:rPr>
                <w:rFonts w:ascii="Century" w:hAnsi="Century"/>
                <w:i/>
                <w:color w:val="000080"/>
                <w:sz w:val="20"/>
                <w:szCs w:val="20"/>
              </w:rPr>
              <w:t xml:space="preserve">Growth Rates of -Life </w:t>
            </w:r>
            <w:r w:rsidR="0081228D" w:rsidRPr="00E92402">
              <w:rPr>
                <w:rFonts w:ascii="Century" w:hAnsi="Century"/>
                <w:i/>
                <w:color w:val="000080"/>
                <w:sz w:val="20"/>
                <w:szCs w:val="20"/>
              </w:rPr>
              <w:t>Insurance</w:t>
            </w:r>
            <w:r w:rsidRPr="00E92402">
              <w:rPr>
                <w:rFonts w:ascii="Century" w:hAnsi="Century"/>
                <w:i/>
                <w:color w:val="000080"/>
                <w:sz w:val="20"/>
                <w:szCs w:val="20"/>
              </w:rPr>
              <w:t xml:space="preserve"> </w:t>
            </w:r>
            <w:r w:rsidR="00725381" w:rsidRPr="00E92402">
              <w:rPr>
                <w:rFonts w:ascii="Century" w:hAnsi="Century"/>
                <w:i/>
                <w:color w:val="000080"/>
                <w:sz w:val="20"/>
                <w:szCs w:val="20"/>
              </w:rPr>
              <w:t xml:space="preserve">Gross </w:t>
            </w:r>
            <w:r w:rsidRPr="00E92402">
              <w:rPr>
                <w:rFonts w:ascii="Century" w:hAnsi="Century"/>
                <w:i/>
                <w:color w:val="000080"/>
                <w:sz w:val="20"/>
                <w:szCs w:val="20"/>
              </w:rPr>
              <w:t>Direct Premium (%)</w:t>
            </w:r>
          </w:p>
          <w:p w:rsidR="006D7A06" w:rsidRPr="00B10D90" w:rsidRDefault="00E675D0" w:rsidP="009A61E9">
            <w:pPr>
              <w:jc w:val="center"/>
              <w:rPr>
                <w:rFonts w:ascii="Century" w:hAnsi="Century"/>
                <w:i/>
                <w:color w:val="000080"/>
                <w:sz w:val="22"/>
                <w:szCs w:val="22"/>
                <w:highlight w:val="yellow"/>
              </w:rPr>
            </w:pPr>
            <w:r>
              <w:rPr>
                <w:rFonts w:ascii="Century" w:hAnsi="Century"/>
                <w:i/>
                <w:noProof/>
                <w:color w:val="000080"/>
                <w:sz w:val="22"/>
                <w:szCs w:val="22"/>
              </w:rPr>
              <w:drawing>
                <wp:inline distT="0" distB="0" distL="0" distR="0" wp14:anchorId="7B207BD4" wp14:editId="283B7BDD">
                  <wp:extent cx="6090663" cy="1900362"/>
                  <wp:effectExtent l="0" t="0" r="5715"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0920" cy="1900442"/>
                          </a:xfrm>
                          <a:prstGeom prst="rect">
                            <a:avLst/>
                          </a:prstGeom>
                          <a:noFill/>
                          <a:ln>
                            <a:noFill/>
                          </a:ln>
                        </pic:spPr>
                      </pic:pic>
                    </a:graphicData>
                  </a:graphic>
                </wp:inline>
              </w:drawing>
            </w:r>
          </w:p>
        </w:tc>
      </w:tr>
      <w:tr w:rsidR="006D7A06" w:rsidRPr="00B10D90" w:rsidTr="00441D50">
        <w:trPr>
          <w:gridAfter w:val="2"/>
          <w:wAfter w:w="38" w:type="dxa"/>
          <w:trHeight w:val="169"/>
        </w:trPr>
        <w:tc>
          <w:tcPr>
            <w:tcW w:w="4886" w:type="dxa"/>
            <w:gridSpan w:val="5"/>
          </w:tcPr>
          <w:p w:rsidR="006D7A06" w:rsidRPr="00B10D90" w:rsidRDefault="006D7A06" w:rsidP="003E6D7B">
            <w:pPr>
              <w:rPr>
                <w:rFonts w:ascii="Century" w:hAnsi="Century"/>
                <w:i/>
                <w:color w:val="000080"/>
                <w:sz w:val="20"/>
                <w:szCs w:val="20"/>
                <w:highlight w:val="yellow"/>
              </w:rPr>
            </w:pPr>
          </w:p>
        </w:tc>
        <w:tc>
          <w:tcPr>
            <w:tcW w:w="284" w:type="dxa"/>
            <w:gridSpan w:val="6"/>
          </w:tcPr>
          <w:p w:rsidR="006D7A06" w:rsidRPr="00B10D90" w:rsidRDefault="006D7A06" w:rsidP="003E6D7B">
            <w:pPr>
              <w:rPr>
                <w:rFonts w:ascii="Century" w:hAnsi="Century"/>
                <w:i/>
                <w:color w:val="000080"/>
                <w:sz w:val="20"/>
                <w:szCs w:val="20"/>
                <w:highlight w:val="yellow"/>
              </w:rPr>
            </w:pPr>
          </w:p>
        </w:tc>
        <w:tc>
          <w:tcPr>
            <w:tcW w:w="4650" w:type="dxa"/>
            <w:gridSpan w:val="3"/>
          </w:tcPr>
          <w:p w:rsidR="006D7A06" w:rsidRPr="00B10D90" w:rsidRDefault="006D7A06" w:rsidP="003E6D7B">
            <w:pPr>
              <w:rPr>
                <w:rFonts w:ascii="Century" w:hAnsi="Century"/>
                <w:i/>
                <w:color w:val="000080"/>
                <w:sz w:val="20"/>
                <w:szCs w:val="20"/>
                <w:highlight w:val="yellow"/>
              </w:rPr>
            </w:pPr>
          </w:p>
        </w:tc>
      </w:tr>
      <w:tr w:rsidR="008E518D" w:rsidRPr="00B10D90" w:rsidTr="00441D50">
        <w:trPr>
          <w:gridAfter w:val="2"/>
          <w:wAfter w:w="38" w:type="dxa"/>
          <w:trHeight w:val="2993"/>
        </w:trPr>
        <w:tc>
          <w:tcPr>
            <w:tcW w:w="4817" w:type="dxa"/>
            <w:gridSpan w:val="2"/>
          </w:tcPr>
          <w:p w:rsidR="008E518D" w:rsidRPr="00253D94" w:rsidRDefault="008E518D" w:rsidP="00642411">
            <w:pPr>
              <w:pStyle w:val="Heading2"/>
              <w:tabs>
                <w:tab w:val="clear" w:pos="717"/>
                <w:tab w:val="left" w:pos="394"/>
              </w:tabs>
              <w:spacing w:before="0" w:after="0"/>
              <w:ind w:left="0"/>
              <w:rPr>
                <w:rFonts w:ascii="Century" w:hAnsi="Century"/>
                <w:i w:val="0"/>
                <w:color w:val="000080"/>
                <w:sz w:val="22"/>
                <w:szCs w:val="22"/>
              </w:rPr>
            </w:pPr>
            <w:bookmarkStart w:id="170" w:name="_Toc358380189"/>
            <w:bookmarkStart w:id="171" w:name="_Toc12957659"/>
            <w:r w:rsidRPr="00253D94">
              <w:rPr>
                <w:rFonts w:ascii="Century" w:hAnsi="Century"/>
                <w:i w:val="0"/>
                <w:color w:val="000080"/>
                <w:sz w:val="22"/>
                <w:szCs w:val="22"/>
              </w:rPr>
              <w:lastRenderedPageBreak/>
              <w:t>Dünyada Sigortacılık</w:t>
            </w:r>
            <w:bookmarkEnd w:id="170"/>
            <w:bookmarkEnd w:id="171"/>
          </w:p>
          <w:p w:rsidR="00801BBD" w:rsidRPr="00253D94" w:rsidRDefault="00801BBD" w:rsidP="008A6E32">
            <w:pPr>
              <w:jc w:val="both"/>
              <w:rPr>
                <w:rFonts w:ascii="Century" w:hAnsi="Century"/>
                <w:sz w:val="22"/>
                <w:szCs w:val="22"/>
                <w:lang w:eastAsia="tr-TR"/>
              </w:rPr>
            </w:pPr>
          </w:p>
          <w:p w:rsidR="00093B6B" w:rsidRPr="00253D94" w:rsidRDefault="008E518D" w:rsidP="008A6E32">
            <w:pPr>
              <w:jc w:val="both"/>
              <w:rPr>
                <w:rFonts w:ascii="Century" w:hAnsi="Century"/>
                <w:sz w:val="22"/>
                <w:szCs w:val="22"/>
                <w:lang w:eastAsia="tr-TR"/>
              </w:rPr>
            </w:pPr>
            <w:r w:rsidRPr="00253D94">
              <w:rPr>
                <w:rFonts w:ascii="Century" w:hAnsi="Century"/>
                <w:sz w:val="22"/>
                <w:szCs w:val="22"/>
                <w:lang w:eastAsia="tr-TR"/>
              </w:rPr>
              <w:t>Dünya prim üretimi 201</w:t>
            </w:r>
            <w:r w:rsidR="0063167E">
              <w:rPr>
                <w:rFonts w:ascii="Century" w:hAnsi="Century"/>
                <w:sz w:val="22"/>
                <w:szCs w:val="22"/>
                <w:lang w:eastAsia="tr-TR"/>
              </w:rPr>
              <w:t>8</w:t>
            </w:r>
            <w:r w:rsidR="00813B2F" w:rsidRPr="00253D94">
              <w:rPr>
                <w:rFonts w:ascii="Century" w:hAnsi="Century"/>
                <w:sz w:val="22"/>
                <w:szCs w:val="22"/>
                <w:lang w:eastAsia="tr-TR"/>
              </w:rPr>
              <w:t xml:space="preserve"> yılında bir önceki yıla göre %</w:t>
            </w:r>
            <w:r w:rsidR="0060521D" w:rsidRPr="00253D94">
              <w:rPr>
                <w:rFonts w:ascii="Century" w:hAnsi="Century"/>
                <w:sz w:val="22"/>
                <w:szCs w:val="22"/>
                <w:lang w:eastAsia="tr-TR"/>
              </w:rPr>
              <w:t>1</w:t>
            </w:r>
            <w:proofErr w:type="gramStart"/>
            <w:r w:rsidR="00D20AA3" w:rsidRPr="00253D94">
              <w:rPr>
                <w:rFonts w:ascii="Century" w:hAnsi="Century"/>
                <w:sz w:val="22"/>
                <w:szCs w:val="22"/>
                <w:lang w:eastAsia="tr-TR"/>
              </w:rPr>
              <w:t>,</w:t>
            </w:r>
            <w:r w:rsidR="0060521D" w:rsidRPr="00253D94">
              <w:rPr>
                <w:rFonts w:ascii="Century" w:hAnsi="Century"/>
                <w:sz w:val="22"/>
                <w:szCs w:val="22"/>
                <w:lang w:eastAsia="tr-TR"/>
              </w:rPr>
              <w:t>5</w:t>
            </w:r>
            <w:proofErr w:type="gramEnd"/>
            <w:r w:rsidRPr="00253D94">
              <w:rPr>
                <w:rFonts w:ascii="Century" w:hAnsi="Century"/>
                <w:sz w:val="22"/>
                <w:szCs w:val="22"/>
                <w:lang w:eastAsia="tr-TR"/>
              </w:rPr>
              <w:t xml:space="preserve"> oranında </w:t>
            </w:r>
            <w:r w:rsidR="00211618" w:rsidRPr="00253D94">
              <w:rPr>
                <w:rFonts w:ascii="Century" w:hAnsi="Century"/>
                <w:sz w:val="22"/>
                <w:szCs w:val="22"/>
                <w:lang w:eastAsia="tr-TR"/>
              </w:rPr>
              <w:t xml:space="preserve">reel olarak </w:t>
            </w:r>
            <w:r w:rsidR="008A6E32" w:rsidRPr="00253D94">
              <w:rPr>
                <w:rFonts w:ascii="Century" w:hAnsi="Century"/>
                <w:sz w:val="22"/>
                <w:szCs w:val="22"/>
                <w:lang w:eastAsia="tr-TR"/>
              </w:rPr>
              <w:t>artmıştır</w:t>
            </w:r>
            <w:r w:rsidRPr="00253D94">
              <w:rPr>
                <w:rFonts w:ascii="Century" w:hAnsi="Century"/>
                <w:sz w:val="22"/>
                <w:szCs w:val="22"/>
                <w:lang w:eastAsia="tr-TR"/>
              </w:rPr>
              <w:t xml:space="preserve">. Toplam </w:t>
            </w:r>
            <w:r w:rsidR="0063167E">
              <w:rPr>
                <w:rFonts w:ascii="Century" w:hAnsi="Century"/>
                <w:sz w:val="22"/>
                <w:szCs w:val="22"/>
                <w:lang w:eastAsia="tr-TR"/>
              </w:rPr>
              <w:t>5,2</w:t>
            </w:r>
            <w:r w:rsidRPr="00253D94">
              <w:rPr>
                <w:rFonts w:ascii="Century" w:hAnsi="Century"/>
                <w:sz w:val="22"/>
                <w:szCs w:val="22"/>
                <w:lang w:eastAsia="tr-TR"/>
              </w:rPr>
              <w:t xml:space="preserve"> trilyon ABD doları ola</w:t>
            </w:r>
            <w:r w:rsidR="00093B6B" w:rsidRPr="00253D94">
              <w:rPr>
                <w:rFonts w:ascii="Century" w:hAnsi="Century"/>
                <w:sz w:val="22"/>
                <w:szCs w:val="22"/>
                <w:lang w:eastAsia="tr-TR"/>
              </w:rPr>
              <w:t>rak kaydedilen</w:t>
            </w:r>
            <w:r w:rsidRPr="00253D94">
              <w:rPr>
                <w:rFonts w:ascii="Century" w:hAnsi="Century"/>
                <w:sz w:val="22"/>
                <w:szCs w:val="22"/>
                <w:lang w:eastAsia="tr-TR"/>
              </w:rPr>
              <w:t xml:space="preserve"> prim üretiminin 2,</w:t>
            </w:r>
            <w:r w:rsidR="0063167E">
              <w:rPr>
                <w:rFonts w:ascii="Century" w:hAnsi="Century"/>
                <w:sz w:val="22"/>
                <w:szCs w:val="22"/>
                <w:lang w:eastAsia="tr-TR"/>
              </w:rPr>
              <w:t>8</w:t>
            </w:r>
            <w:r w:rsidRPr="00253D94">
              <w:rPr>
                <w:rFonts w:ascii="Century" w:hAnsi="Century"/>
                <w:sz w:val="22"/>
                <w:szCs w:val="22"/>
                <w:lang w:eastAsia="tr-TR"/>
              </w:rPr>
              <w:t xml:space="preserve"> trilyon ABD doları hayat, 2,</w:t>
            </w:r>
            <w:r w:rsidR="0063167E">
              <w:rPr>
                <w:rFonts w:ascii="Century" w:hAnsi="Century"/>
                <w:sz w:val="22"/>
                <w:szCs w:val="22"/>
                <w:lang w:eastAsia="tr-TR"/>
              </w:rPr>
              <w:t>4</w:t>
            </w:r>
            <w:r w:rsidRPr="00253D94">
              <w:rPr>
                <w:rFonts w:ascii="Century" w:hAnsi="Century"/>
                <w:sz w:val="22"/>
                <w:szCs w:val="22"/>
                <w:lang w:eastAsia="tr-TR"/>
              </w:rPr>
              <w:t xml:space="preserve"> trilyon ABD doları ise hayat dışı branşlarda gerçekleştirilmiştir.</w:t>
            </w:r>
            <w:r w:rsidR="00813B2F" w:rsidRPr="00253D94">
              <w:rPr>
                <w:rFonts w:ascii="Century" w:hAnsi="Century"/>
                <w:sz w:val="22"/>
                <w:szCs w:val="22"/>
                <w:lang w:eastAsia="tr-TR"/>
              </w:rPr>
              <w:t xml:space="preserve"> </w:t>
            </w:r>
            <w:r w:rsidR="001D2227" w:rsidRPr="00253D94">
              <w:rPr>
                <w:rFonts w:ascii="Century" w:hAnsi="Century"/>
                <w:sz w:val="22"/>
                <w:szCs w:val="22"/>
                <w:lang w:eastAsia="tr-TR"/>
              </w:rPr>
              <w:t>201</w:t>
            </w:r>
            <w:r w:rsidR="0063167E">
              <w:rPr>
                <w:rFonts w:ascii="Century" w:hAnsi="Century"/>
                <w:sz w:val="22"/>
                <w:szCs w:val="22"/>
                <w:lang w:eastAsia="tr-TR"/>
              </w:rPr>
              <w:t>8</w:t>
            </w:r>
            <w:r w:rsidR="001D2227" w:rsidRPr="00253D94">
              <w:rPr>
                <w:rFonts w:ascii="Century" w:hAnsi="Century"/>
                <w:sz w:val="22"/>
                <w:szCs w:val="22"/>
                <w:lang w:eastAsia="tr-TR"/>
              </w:rPr>
              <w:t xml:space="preserve"> yılı p</w:t>
            </w:r>
            <w:r w:rsidR="00813B2F" w:rsidRPr="00253D94">
              <w:rPr>
                <w:rFonts w:ascii="Century" w:hAnsi="Century"/>
                <w:sz w:val="22"/>
                <w:szCs w:val="22"/>
                <w:lang w:eastAsia="tr-TR"/>
              </w:rPr>
              <w:t>rim üretimi hayat branşında %</w:t>
            </w:r>
            <w:r w:rsidR="00E9406F" w:rsidRPr="00253D94">
              <w:rPr>
                <w:rFonts w:ascii="Century" w:hAnsi="Century"/>
                <w:sz w:val="22"/>
                <w:szCs w:val="22"/>
                <w:lang w:eastAsia="tr-TR"/>
              </w:rPr>
              <w:t>0</w:t>
            </w:r>
            <w:proofErr w:type="gramStart"/>
            <w:r w:rsidR="005076EA" w:rsidRPr="00253D94">
              <w:rPr>
                <w:rFonts w:ascii="Century" w:hAnsi="Century"/>
                <w:sz w:val="22"/>
                <w:szCs w:val="22"/>
                <w:lang w:eastAsia="tr-TR"/>
              </w:rPr>
              <w:t>,</w:t>
            </w:r>
            <w:r w:rsidR="0063167E">
              <w:rPr>
                <w:rFonts w:ascii="Century" w:hAnsi="Century"/>
                <w:sz w:val="22"/>
                <w:szCs w:val="22"/>
                <w:lang w:eastAsia="tr-TR"/>
              </w:rPr>
              <w:t>2</w:t>
            </w:r>
            <w:proofErr w:type="gramEnd"/>
            <w:r w:rsidR="00211618" w:rsidRPr="00253D94">
              <w:rPr>
                <w:rFonts w:ascii="Century" w:hAnsi="Century"/>
                <w:sz w:val="22"/>
                <w:szCs w:val="22"/>
                <w:lang w:eastAsia="tr-TR"/>
              </w:rPr>
              <w:t xml:space="preserve"> ve </w:t>
            </w:r>
            <w:r w:rsidRPr="00253D94">
              <w:rPr>
                <w:rFonts w:ascii="Century" w:hAnsi="Century"/>
                <w:sz w:val="22"/>
                <w:szCs w:val="22"/>
                <w:lang w:eastAsia="tr-TR"/>
              </w:rPr>
              <w:t>hayat dışı branşlarda</w:t>
            </w:r>
            <w:r w:rsidR="00813B2F" w:rsidRPr="00253D94">
              <w:rPr>
                <w:rFonts w:ascii="Century" w:hAnsi="Century"/>
                <w:sz w:val="22"/>
                <w:szCs w:val="22"/>
                <w:lang w:eastAsia="tr-TR"/>
              </w:rPr>
              <w:t xml:space="preserve"> %</w:t>
            </w:r>
            <w:r w:rsidR="0063167E">
              <w:rPr>
                <w:rFonts w:ascii="Century" w:hAnsi="Century"/>
                <w:sz w:val="22"/>
                <w:szCs w:val="22"/>
                <w:lang w:eastAsia="tr-TR"/>
              </w:rPr>
              <w:t>3,0</w:t>
            </w:r>
            <w:r w:rsidRPr="00253D94">
              <w:rPr>
                <w:rFonts w:ascii="Century" w:hAnsi="Century"/>
                <w:sz w:val="22"/>
                <w:szCs w:val="22"/>
                <w:lang w:eastAsia="tr-TR"/>
              </w:rPr>
              <w:t xml:space="preserve"> oranında </w:t>
            </w:r>
            <w:r w:rsidR="00C17005" w:rsidRPr="00253D94">
              <w:rPr>
                <w:rFonts w:ascii="Century" w:hAnsi="Century"/>
                <w:sz w:val="22"/>
                <w:szCs w:val="22"/>
                <w:lang w:eastAsia="tr-TR"/>
              </w:rPr>
              <w:t xml:space="preserve">yükselmiştir. </w:t>
            </w:r>
          </w:p>
          <w:p w:rsidR="00093B6B" w:rsidRPr="00253D94" w:rsidRDefault="00093B6B" w:rsidP="008A6E32">
            <w:pPr>
              <w:jc w:val="both"/>
              <w:rPr>
                <w:rFonts w:ascii="Century" w:hAnsi="Century"/>
                <w:sz w:val="22"/>
                <w:szCs w:val="22"/>
                <w:lang w:eastAsia="tr-TR"/>
              </w:rPr>
            </w:pPr>
          </w:p>
          <w:p w:rsidR="00801BBD" w:rsidRPr="00253D94" w:rsidRDefault="005076EA" w:rsidP="006E5A1A">
            <w:pPr>
              <w:jc w:val="both"/>
              <w:rPr>
                <w:rFonts w:ascii="Century" w:hAnsi="Century"/>
                <w:sz w:val="22"/>
                <w:szCs w:val="22"/>
                <w:lang w:eastAsia="tr-TR"/>
              </w:rPr>
            </w:pPr>
            <w:r w:rsidRPr="00253D94">
              <w:rPr>
                <w:rFonts w:ascii="Century" w:hAnsi="Century"/>
                <w:sz w:val="22"/>
                <w:szCs w:val="22"/>
                <w:lang w:eastAsia="tr-TR"/>
              </w:rPr>
              <w:t>201</w:t>
            </w:r>
            <w:r w:rsidR="0063167E">
              <w:rPr>
                <w:rFonts w:ascii="Century" w:hAnsi="Century"/>
                <w:sz w:val="22"/>
                <w:szCs w:val="22"/>
                <w:lang w:eastAsia="tr-TR"/>
              </w:rPr>
              <w:t>7</w:t>
            </w:r>
            <w:r w:rsidR="006E5A1A" w:rsidRPr="00253D94">
              <w:rPr>
                <w:rFonts w:ascii="Century" w:hAnsi="Century"/>
                <w:sz w:val="22"/>
                <w:szCs w:val="22"/>
                <w:lang w:eastAsia="tr-TR"/>
              </w:rPr>
              <w:t xml:space="preserve"> ve 201</w:t>
            </w:r>
            <w:r w:rsidR="0063167E">
              <w:rPr>
                <w:rFonts w:ascii="Century" w:hAnsi="Century"/>
                <w:sz w:val="22"/>
                <w:szCs w:val="22"/>
                <w:lang w:eastAsia="tr-TR"/>
              </w:rPr>
              <w:t>8</w:t>
            </w:r>
            <w:r w:rsidR="00D74E16" w:rsidRPr="00253D94">
              <w:rPr>
                <w:rFonts w:ascii="Century" w:hAnsi="Century"/>
                <w:sz w:val="22"/>
                <w:szCs w:val="22"/>
                <w:lang w:eastAsia="tr-TR"/>
              </w:rPr>
              <w:t xml:space="preserve"> yılları için dünya ve ülkemizin karşılaştırmalı reel büyüme oranları a</w:t>
            </w:r>
            <w:r w:rsidR="008E518D" w:rsidRPr="00253D94">
              <w:rPr>
                <w:rFonts w:ascii="Century" w:hAnsi="Century"/>
                <w:sz w:val="22"/>
                <w:szCs w:val="22"/>
                <w:lang w:eastAsia="tr-TR"/>
              </w:rPr>
              <w:t>şağıdaki tabloda verilmiştir.</w:t>
            </w:r>
          </w:p>
          <w:p w:rsidR="009C741D" w:rsidRPr="00253D94" w:rsidRDefault="009C741D" w:rsidP="006E5A1A">
            <w:pPr>
              <w:jc w:val="both"/>
              <w:rPr>
                <w:rFonts w:ascii="Century" w:hAnsi="Century"/>
                <w:i/>
                <w:color w:val="000080"/>
                <w:sz w:val="22"/>
                <w:szCs w:val="22"/>
              </w:rPr>
            </w:pPr>
          </w:p>
        </w:tc>
        <w:tc>
          <w:tcPr>
            <w:tcW w:w="318" w:type="dxa"/>
            <w:gridSpan w:val="7"/>
          </w:tcPr>
          <w:p w:rsidR="008E518D" w:rsidRPr="00253D94" w:rsidRDefault="008E518D" w:rsidP="00CD35C2">
            <w:pPr>
              <w:jc w:val="both"/>
              <w:rPr>
                <w:rFonts w:ascii="Century" w:hAnsi="Century"/>
                <w:sz w:val="22"/>
                <w:szCs w:val="22"/>
              </w:rPr>
            </w:pPr>
          </w:p>
        </w:tc>
        <w:tc>
          <w:tcPr>
            <w:tcW w:w="4685" w:type="dxa"/>
            <w:gridSpan w:val="5"/>
          </w:tcPr>
          <w:p w:rsidR="008E518D" w:rsidRPr="00253D94" w:rsidRDefault="008E518D" w:rsidP="00467BDF">
            <w:pPr>
              <w:rPr>
                <w:rFonts w:ascii="Century" w:hAnsi="Century"/>
                <w:b/>
                <w:color w:val="003366"/>
                <w:sz w:val="22"/>
                <w:szCs w:val="22"/>
              </w:rPr>
            </w:pPr>
            <w:r w:rsidRPr="00253D94">
              <w:rPr>
                <w:rFonts w:ascii="Century" w:hAnsi="Century"/>
                <w:b/>
                <w:color w:val="003366"/>
                <w:sz w:val="22"/>
                <w:szCs w:val="22"/>
              </w:rPr>
              <w:t>1.</w:t>
            </w:r>
            <w:r w:rsidR="00E832EE" w:rsidRPr="00253D94">
              <w:rPr>
                <w:rFonts w:ascii="Century" w:hAnsi="Century"/>
                <w:b/>
                <w:color w:val="003366"/>
                <w:sz w:val="22"/>
                <w:szCs w:val="22"/>
              </w:rPr>
              <w:t>3</w:t>
            </w:r>
            <w:r w:rsidR="000D6E2B" w:rsidRPr="00253D94">
              <w:rPr>
                <w:rFonts w:ascii="Century" w:hAnsi="Century"/>
                <w:b/>
                <w:color w:val="003366"/>
                <w:sz w:val="22"/>
                <w:szCs w:val="22"/>
              </w:rPr>
              <w:t>.</w:t>
            </w:r>
            <w:r w:rsidRPr="00253D94">
              <w:rPr>
                <w:rFonts w:ascii="Century" w:hAnsi="Century"/>
                <w:b/>
                <w:color w:val="003366"/>
                <w:sz w:val="22"/>
                <w:szCs w:val="22"/>
              </w:rPr>
              <w:t xml:space="preserve"> Insurance Activities in the World</w:t>
            </w:r>
            <w:r w:rsidR="00CA1524" w:rsidRPr="00253D94">
              <w:rPr>
                <w:rFonts w:ascii="Century" w:hAnsi="Century"/>
                <w:b/>
                <w:color w:val="003366"/>
                <w:sz w:val="22"/>
                <w:szCs w:val="22"/>
              </w:rPr>
              <w:t xml:space="preserve">  </w:t>
            </w:r>
          </w:p>
          <w:p w:rsidR="00801BBD" w:rsidRPr="00253D94" w:rsidRDefault="00801BBD" w:rsidP="008A6E32">
            <w:pPr>
              <w:jc w:val="both"/>
              <w:rPr>
                <w:rFonts w:ascii="Century" w:hAnsi="Century"/>
                <w:color w:val="333333"/>
                <w:sz w:val="22"/>
                <w:szCs w:val="22"/>
              </w:rPr>
            </w:pPr>
          </w:p>
          <w:p w:rsidR="00093B6B" w:rsidRPr="00253D94" w:rsidRDefault="008E518D" w:rsidP="00393139">
            <w:pPr>
              <w:jc w:val="both"/>
              <w:rPr>
                <w:rFonts w:ascii="Century" w:hAnsi="Century"/>
                <w:color w:val="333333"/>
                <w:sz w:val="22"/>
                <w:szCs w:val="22"/>
              </w:rPr>
            </w:pPr>
            <w:r w:rsidRPr="00253D94">
              <w:rPr>
                <w:rFonts w:ascii="Century" w:hAnsi="Century"/>
                <w:color w:val="333333"/>
                <w:sz w:val="22"/>
                <w:szCs w:val="22"/>
              </w:rPr>
              <w:t xml:space="preserve">Global premium </w:t>
            </w:r>
            <w:r w:rsidR="001E34DA" w:rsidRPr="00253D94">
              <w:rPr>
                <w:rFonts w:ascii="Century" w:hAnsi="Century"/>
                <w:color w:val="333333"/>
                <w:sz w:val="22"/>
                <w:szCs w:val="22"/>
              </w:rPr>
              <w:t>volume</w:t>
            </w:r>
            <w:r w:rsidRPr="00253D94">
              <w:rPr>
                <w:rFonts w:ascii="Century" w:hAnsi="Century"/>
                <w:color w:val="333333"/>
                <w:sz w:val="22"/>
                <w:szCs w:val="22"/>
              </w:rPr>
              <w:t xml:space="preserve"> </w:t>
            </w:r>
            <w:r w:rsidR="00801BBD" w:rsidRPr="00253D94">
              <w:rPr>
                <w:rFonts w:ascii="Century" w:hAnsi="Century"/>
                <w:color w:val="333333"/>
                <w:sz w:val="22"/>
                <w:szCs w:val="22"/>
              </w:rPr>
              <w:t>was</w:t>
            </w:r>
            <w:r w:rsidR="00945B3E" w:rsidRPr="00253D94">
              <w:rPr>
                <w:rFonts w:ascii="Century" w:hAnsi="Century"/>
                <w:color w:val="333333"/>
                <w:sz w:val="22"/>
                <w:szCs w:val="22"/>
              </w:rPr>
              <w:t xml:space="preserve"> $</w:t>
            </w:r>
            <w:r w:rsidR="0063167E">
              <w:rPr>
                <w:rFonts w:ascii="Century" w:hAnsi="Century"/>
                <w:color w:val="333333"/>
                <w:sz w:val="22"/>
                <w:szCs w:val="22"/>
              </w:rPr>
              <w:t>5.2</w:t>
            </w:r>
            <w:r w:rsidRPr="00253D94">
              <w:rPr>
                <w:rFonts w:ascii="Century" w:hAnsi="Century"/>
                <w:color w:val="333333"/>
                <w:sz w:val="22"/>
                <w:szCs w:val="22"/>
              </w:rPr>
              <w:t xml:space="preserve"> trillion </w:t>
            </w:r>
            <w:r w:rsidR="00393139" w:rsidRPr="00253D94">
              <w:rPr>
                <w:rFonts w:ascii="Century" w:hAnsi="Century"/>
                <w:color w:val="333333"/>
                <w:sz w:val="22"/>
                <w:szCs w:val="22"/>
              </w:rPr>
              <w:t>in</w:t>
            </w:r>
            <w:r w:rsidRPr="00253D94">
              <w:rPr>
                <w:rFonts w:ascii="Century" w:hAnsi="Century"/>
                <w:color w:val="333333"/>
                <w:sz w:val="22"/>
                <w:szCs w:val="22"/>
              </w:rPr>
              <w:t xml:space="preserve"> 201</w:t>
            </w:r>
            <w:r w:rsidR="0063167E">
              <w:rPr>
                <w:rFonts w:ascii="Century" w:hAnsi="Century"/>
                <w:color w:val="333333"/>
                <w:sz w:val="22"/>
                <w:szCs w:val="22"/>
              </w:rPr>
              <w:t>8</w:t>
            </w:r>
            <w:r w:rsidRPr="00253D94">
              <w:rPr>
                <w:rFonts w:ascii="Century" w:hAnsi="Century"/>
                <w:color w:val="333333"/>
                <w:sz w:val="22"/>
                <w:szCs w:val="22"/>
              </w:rPr>
              <w:t xml:space="preserve"> </w:t>
            </w:r>
            <w:r w:rsidR="00D32998" w:rsidRPr="00253D94">
              <w:rPr>
                <w:rFonts w:ascii="Century" w:hAnsi="Century"/>
                <w:color w:val="333333"/>
                <w:sz w:val="22"/>
                <w:szCs w:val="22"/>
              </w:rPr>
              <w:t xml:space="preserve">by </w:t>
            </w:r>
            <w:r w:rsidR="00E9406F" w:rsidRPr="00253D94">
              <w:rPr>
                <w:rFonts w:ascii="Century" w:hAnsi="Century"/>
                <w:color w:val="333333"/>
                <w:sz w:val="22"/>
                <w:szCs w:val="22"/>
              </w:rPr>
              <w:t>1</w:t>
            </w:r>
            <w:r w:rsidR="006E5A1A" w:rsidRPr="00253D94">
              <w:rPr>
                <w:rFonts w:ascii="Century" w:hAnsi="Century"/>
                <w:color w:val="333333"/>
                <w:sz w:val="22"/>
                <w:szCs w:val="22"/>
              </w:rPr>
              <w:t>.</w:t>
            </w:r>
            <w:r w:rsidR="00E9406F" w:rsidRPr="00253D94">
              <w:rPr>
                <w:rFonts w:ascii="Century" w:hAnsi="Century"/>
                <w:color w:val="333333"/>
                <w:sz w:val="22"/>
                <w:szCs w:val="22"/>
              </w:rPr>
              <w:t>5</w:t>
            </w:r>
            <w:r w:rsidR="00B57179" w:rsidRPr="00253D94">
              <w:rPr>
                <w:rFonts w:ascii="Century" w:hAnsi="Century"/>
                <w:bCs/>
                <w:color w:val="333333"/>
                <w:sz w:val="22"/>
                <w:szCs w:val="22"/>
              </w:rPr>
              <w:t>%</w:t>
            </w:r>
            <w:r w:rsidRPr="00253D94">
              <w:rPr>
                <w:rFonts w:ascii="Century" w:hAnsi="Century"/>
                <w:color w:val="333333"/>
                <w:sz w:val="22"/>
                <w:szCs w:val="22"/>
              </w:rPr>
              <w:t xml:space="preserve"> </w:t>
            </w:r>
            <w:r w:rsidR="00801BBD" w:rsidRPr="00253D94">
              <w:rPr>
                <w:rFonts w:ascii="Century" w:hAnsi="Century"/>
                <w:color w:val="333333"/>
                <w:sz w:val="22"/>
                <w:szCs w:val="22"/>
              </w:rPr>
              <w:t xml:space="preserve">real </w:t>
            </w:r>
            <w:r w:rsidR="008A6E32" w:rsidRPr="00253D94">
              <w:rPr>
                <w:rFonts w:ascii="Century" w:hAnsi="Century"/>
                <w:color w:val="333333"/>
                <w:sz w:val="22"/>
                <w:szCs w:val="22"/>
              </w:rPr>
              <w:t>in</w:t>
            </w:r>
            <w:r w:rsidRPr="00253D94">
              <w:rPr>
                <w:rFonts w:ascii="Century" w:hAnsi="Century"/>
                <w:color w:val="333333"/>
                <w:sz w:val="22"/>
                <w:szCs w:val="22"/>
              </w:rPr>
              <w:t xml:space="preserve">crease </w:t>
            </w:r>
            <w:r w:rsidR="002E1F5A" w:rsidRPr="00253D94">
              <w:rPr>
                <w:rFonts w:ascii="Century" w:hAnsi="Century"/>
                <w:color w:val="333333"/>
                <w:sz w:val="22"/>
                <w:szCs w:val="22"/>
              </w:rPr>
              <w:t xml:space="preserve">as </w:t>
            </w:r>
            <w:r w:rsidRPr="00253D94">
              <w:rPr>
                <w:rFonts w:ascii="Century" w:hAnsi="Century"/>
                <w:color w:val="333333"/>
                <w:sz w:val="22"/>
                <w:szCs w:val="22"/>
              </w:rPr>
              <w:t xml:space="preserve">compared to </w:t>
            </w:r>
            <w:r w:rsidR="00FA5CDE" w:rsidRPr="00253D94">
              <w:rPr>
                <w:rFonts w:ascii="Century" w:hAnsi="Century"/>
                <w:color w:val="333333"/>
                <w:sz w:val="22"/>
                <w:szCs w:val="22"/>
              </w:rPr>
              <w:t xml:space="preserve">the </w:t>
            </w:r>
            <w:r w:rsidRPr="00253D94">
              <w:rPr>
                <w:rFonts w:ascii="Century" w:hAnsi="Century"/>
                <w:color w:val="333333"/>
                <w:sz w:val="22"/>
                <w:szCs w:val="22"/>
              </w:rPr>
              <w:t>previous year</w:t>
            </w:r>
            <w:r w:rsidR="00945B3E" w:rsidRPr="00253D94">
              <w:rPr>
                <w:rFonts w:ascii="Century" w:hAnsi="Century"/>
                <w:color w:val="333333"/>
                <w:sz w:val="22"/>
                <w:szCs w:val="22"/>
              </w:rPr>
              <w:t xml:space="preserve">. Life insurance premium </w:t>
            </w:r>
            <w:r w:rsidR="00393139" w:rsidRPr="00253D94">
              <w:rPr>
                <w:rFonts w:ascii="Century" w:hAnsi="Century"/>
                <w:color w:val="333333"/>
                <w:sz w:val="22"/>
                <w:szCs w:val="22"/>
              </w:rPr>
              <w:t>was</w:t>
            </w:r>
            <w:r w:rsidR="00945B3E" w:rsidRPr="00253D94">
              <w:rPr>
                <w:rFonts w:ascii="Century" w:hAnsi="Century"/>
                <w:color w:val="333333"/>
                <w:sz w:val="22"/>
                <w:szCs w:val="22"/>
              </w:rPr>
              <w:t xml:space="preserve"> $2.</w:t>
            </w:r>
            <w:r w:rsidR="0063167E">
              <w:rPr>
                <w:rFonts w:ascii="Century" w:hAnsi="Century"/>
                <w:color w:val="333333"/>
                <w:sz w:val="22"/>
                <w:szCs w:val="22"/>
              </w:rPr>
              <w:t>8</w:t>
            </w:r>
            <w:r w:rsidR="00945B3E" w:rsidRPr="00253D94">
              <w:rPr>
                <w:rFonts w:ascii="Century" w:hAnsi="Century"/>
                <w:color w:val="333333"/>
                <w:sz w:val="22"/>
                <w:szCs w:val="22"/>
              </w:rPr>
              <w:t xml:space="preserve"> trillion and </w:t>
            </w:r>
            <w:r w:rsidR="00D74E16" w:rsidRPr="00253D94">
              <w:rPr>
                <w:rFonts w:ascii="Century" w:hAnsi="Century"/>
                <w:color w:val="333333"/>
                <w:sz w:val="22"/>
                <w:szCs w:val="22"/>
              </w:rPr>
              <w:t>increased</w:t>
            </w:r>
            <w:r w:rsidR="00945B3E" w:rsidRPr="00253D94">
              <w:rPr>
                <w:rFonts w:ascii="Century" w:hAnsi="Century"/>
                <w:color w:val="333333"/>
                <w:sz w:val="22"/>
                <w:szCs w:val="22"/>
              </w:rPr>
              <w:t xml:space="preserve"> </w:t>
            </w:r>
            <w:r w:rsidR="00D32998" w:rsidRPr="00253D94">
              <w:rPr>
                <w:rFonts w:ascii="Century" w:hAnsi="Century"/>
                <w:color w:val="333333"/>
                <w:sz w:val="22"/>
                <w:szCs w:val="22"/>
              </w:rPr>
              <w:t xml:space="preserve">by </w:t>
            </w:r>
            <w:r w:rsidR="00E9406F" w:rsidRPr="00253D94">
              <w:rPr>
                <w:rFonts w:ascii="Century" w:hAnsi="Century"/>
                <w:color w:val="333333"/>
                <w:sz w:val="22"/>
                <w:szCs w:val="22"/>
              </w:rPr>
              <w:t>0</w:t>
            </w:r>
            <w:r w:rsidR="005076EA" w:rsidRPr="00253D94">
              <w:rPr>
                <w:rFonts w:ascii="Century" w:hAnsi="Century"/>
                <w:color w:val="333333"/>
                <w:sz w:val="22"/>
                <w:szCs w:val="22"/>
              </w:rPr>
              <w:t>.</w:t>
            </w:r>
            <w:r w:rsidR="0063167E">
              <w:rPr>
                <w:rFonts w:ascii="Century" w:hAnsi="Century"/>
                <w:color w:val="333333"/>
                <w:sz w:val="22"/>
                <w:szCs w:val="22"/>
              </w:rPr>
              <w:t>2</w:t>
            </w:r>
            <w:r w:rsidR="00B57179" w:rsidRPr="00253D94">
              <w:rPr>
                <w:rFonts w:ascii="Century" w:hAnsi="Century"/>
                <w:bCs/>
                <w:color w:val="333333"/>
                <w:sz w:val="22"/>
                <w:szCs w:val="22"/>
              </w:rPr>
              <w:t>%</w:t>
            </w:r>
            <w:r w:rsidRPr="00253D94">
              <w:rPr>
                <w:rFonts w:ascii="Century" w:hAnsi="Century"/>
                <w:color w:val="333333"/>
                <w:sz w:val="22"/>
                <w:szCs w:val="22"/>
              </w:rPr>
              <w:t xml:space="preserve"> in real terms</w:t>
            </w:r>
            <w:r w:rsidR="002E1F5A" w:rsidRPr="00253D94">
              <w:rPr>
                <w:rFonts w:ascii="Century" w:hAnsi="Century"/>
                <w:color w:val="333333"/>
                <w:sz w:val="22"/>
                <w:szCs w:val="22"/>
              </w:rPr>
              <w:t>,</w:t>
            </w:r>
            <w:r w:rsidRPr="00253D94">
              <w:rPr>
                <w:rFonts w:ascii="Century" w:hAnsi="Century"/>
                <w:color w:val="333333"/>
                <w:sz w:val="22"/>
                <w:szCs w:val="22"/>
              </w:rPr>
              <w:t xml:space="preserve"> while no</w:t>
            </w:r>
            <w:r w:rsidR="00945B3E" w:rsidRPr="00253D94">
              <w:rPr>
                <w:rFonts w:ascii="Century" w:hAnsi="Century"/>
                <w:color w:val="333333"/>
                <w:sz w:val="22"/>
                <w:szCs w:val="22"/>
              </w:rPr>
              <w:t>n-life insurance</w:t>
            </w:r>
            <w:r w:rsidR="008A6E32" w:rsidRPr="00253D94">
              <w:rPr>
                <w:rFonts w:ascii="Century" w:hAnsi="Century"/>
                <w:color w:val="333333"/>
                <w:sz w:val="22"/>
                <w:szCs w:val="22"/>
              </w:rPr>
              <w:t xml:space="preserve"> premium </w:t>
            </w:r>
            <w:r w:rsidR="00393139" w:rsidRPr="00253D94">
              <w:rPr>
                <w:rFonts w:ascii="Century" w:hAnsi="Century"/>
                <w:color w:val="333333"/>
                <w:sz w:val="22"/>
                <w:szCs w:val="22"/>
              </w:rPr>
              <w:t>wa</w:t>
            </w:r>
            <w:r w:rsidR="009053F9" w:rsidRPr="00253D94">
              <w:rPr>
                <w:rFonts w:ascii="Century" w:hAnsi="Century"/>
                <w:color w:val="333333"/>
                <w:sz w:val="22"/>
                <w:szCs w:val="22"/>
              </w:rPr>
              <w:t>s $2.</w:t>
            </w:r>
            <w:r w:rsidR="0063167E">
              <w:rPr>
                <w:rFonts w:ascii="Century" w:hAnsi="Century"/>
                <w:color w:val="333333"/>
                <w:sz w:val="22"/>
                <w:szCs w:val="22"/>
              </w:rPr>
              <w:t>4</w:t>
            </w:r>
            <w:r w:rsidR="009053F9" w:rsidRPr="00253D94">
              <w:rPr>
                <w:rFonts w:ascii="Century" w:hAnsi="Century"/>
                <w:color w:val="333333"/>
                <w:sz w:val="22"/>
                <w:szCs w:val="22"/>
              </w:rPr>
              <w:t xml:space="preserve"> trillion</w:t>
            </w:r>
            <w:r w:rsidR="00D32998" w:rsidRPr="00253D94">
              <w:rPr>
                <w:rFonts w:ascii="Century" w:hAnsi="Century"/>
                <w:color w:val="333333"/>
                <w:sz w:val="22"/>
                <w:szCs w:val="22"/>
              </w:rPr>
              <w:t xml:space="preserve"> </w:t>
            </w:r>
            <w:r w:rsidR="002961C6" w:rsidRPr="00253D94">
              <w:rPr>
                <w:rFonts w:ascii="Century" w:hAnsi="Century"/>
                <w:color w:val="333333"/>
                <w:sz w:val="22"/>
                <w:szCs w:val="22"/>
              </w:rPr>
              <w:t xml:space="preserve">and </w:t>
            </w:r>
            <w:r w:rsidR="00D74E16" w:rsidRPr="00253D94">
              <w:rPr>
                <w:rFonts w:ascii="Century" w:hAnsi="Century"/>
                <w:color w:val="333333"/>
                <w:sz w:val="22"/>
                <w:szCs w:val="22"/>
              </w:rPr>
              <w:t xml:space="preserve">experienced a </w:t>
            </w:r>
            <w:r w:rsidR="0063167E">
              <w:rPr>
                <w:rFonts w:ascii="Century" w:hAnsi="Century"/>
                <w:color w:val="333333"/>
                <w:sz w:val="22"/>
                <w:szCs w:val="22"/>
              </w:rPr>
              <w:t>3</w:t>
            </w:r>
            <w:r w:rsidR="00945B3E" w:rsidRPr="00253D94">
              <w:rPr>
                <w:rFonts w:ascii="Century" w:hAnsi="Century"/>
                <w:color w:val="333333"/>
                <w:sz w:val="22"/>
                <w:szCs w:val="22"/>
              </w:rPr>
              <w:t>.</w:t>
            </w:r>
            <w:r w:rsidR="0063167E">
              <w:rPr>
                <w:rFonts w:ascii="Century" w:hAnsi="Century"/>
                <w:color w:val="333333"/>
                <w:sz w:val="22"/>
                <w:szCs w:val="22"/>
              </w:rPr>
              <w:t>0</w:t>
            </w:r>
            <w:r w:rsidRPr="00253D94">
              <w:rPr>
                <w:rFonts w:ascii="Century" w:hAnsi="Century"/>
                <w:color w:val="333333"/>
                <w:sz w:val="22"/>
                <w:szCs w:val="22"/>
              </w:rPr>
              <w:t>%</w:t>
            </w:r>
            <w:r w:rsidR="00D74E16" w:rsidRPr="00253D94">
              <w:rPr>
                <w:rFonts w:ascii="Century" w:hAnsi="Century"/>
                <w:color w:val="333333"/>
                <w:sz w:val="22"/>
                <w:szCs w:val="22"/>
              </w:rPr>
              <w:t xml:space="preserve"> increase.</w:t>
            </w:r>
            <w:r w:rsidR="001E34DA" w:rsidRPr="00253D94">
              <w:rPr>
                <w:rFonts w:ascii="Century" w:hAnsi="Century"/>
                <w:color w:val="333333"/>
                <w:sz w:val="22"/>
                <w:szCs w:val="22"/>
              </w:rPr>
              <w:t xml:space="preserve"> </w:t>
            </w:r>
          </w:p>
          <w:p w:rsidR="00093B6B" w:rsidRDefault="00093B6B" w:rsidP="00393139">
            <w:pPr>
              <w:jc w:val="both"/>
              <w:rPr>
                <w:rFonts w:ascii="Century" w:hAnsi="Century"/>
                <w:color w:val="333333"/>
                <w:sz w:val="22"/>
                <w:szCs w:val="22"/>
              </w:rPr>
            </w:pPr>
          </w:p>
          <w:p w:rsidR="005B31A7" w:rsidRDefault="005B31A7" w:rsidP="00393139">
            <w:pPr>
              <w:jc w:val="both"/>
              <w:rPr>
                <w:rFonts w:ascii="Century" w:hAnsi="Century"/>
                <w:color w:val="333333"/>
                <w:sz w:val="22"/>
                <w:szCs w:val="22"/>
              </w:rPr>
            </w:pPr>
          </w:p>
          <w:p w:rsidR="001E34DA" w:rsidRPr="00253D94" w:rsidRDefault="001E34DA" w:rsidP="0063167E">
            <w:pPr>
              <w:jc w:val="both"/>
              <w:rPr>
                <w:rFonts w:ascii="Century" w:hAnsi="Century"/>
                <w:b/>
                <w:color w:val="003366"/>
                <w:sz w:val="22"/>
                <w:szCs w:val="22"/>
              </w:rPr>
            </w:pPr>
            <w:r w:rsidRPr="00253D94">
              <w:rPr>
                <w:rFonts w:ascii="Century" w:hAnsi="Century"/>
                <w:color w:val="333333"/>
                <w:sz w:val="22"/>
                <w:szCs w:val="22"/>
              </w:rPr>
              <w:t>T</w:t>
            </w:r>
            <w:r w:rsidR="008E518D" w:rsidRPr="00253D94">
              <w:rPr>
                <w:rFonts w:ascii="Century" w:hAnsi="Century"/>
                <w:color w:val="333333"/>
                <w:sz w:val="22"/>
                <w:szCs w:val="22"/>
              </w:rPr>
              <w:t xml:space="preserve">he following table </w:t>
            </w:r>
            <w:r w:rsidR="00DA2FB9" w:rsidRPr="00253D94">
              <w:rPr>
                <w:rFonts w:ascii="Century" w:hAnsi="Century"/>
                <w:color w:val="333333"/>
                <w:sz w:val="22"/>
                <w:szCs w:val="22"/>
              </w:rPr>
              <w:t>re</w:t>
            </w:r>
            <w:r w:rsidR="008E518D" w:rsidRPr="00253D94">
              <w:rPr>
                <w:rFonts w:ascii="Century" w:hAnsi="Century"/>
                <w:color w:val="333333"/>
                <w:sz w:val="22"/>
                <w:szCs w:val="22"/>
              </w:rPr>
              <w:t xml:space="preserve">presents the premium growth rate in real terms for </w:t>
            </w:r>
            <w:r w:rsidR="00D76036" w:rsidRPr="00253D94">
              <w:rPr>
                <w:rFonts w:ascii="Century" w:hAnsi="Century"/>
                <w:color w:val="333333"/>
                <w:sz w:val="22"/>
                <w:szCs w:val="22"/>
              </w:rPr>
              <w:t>advanced</w:t>
            </w:r>
            <w:r w:rsidR="008E518D" w:rsidRPr="00253D94">
              <w:rPr>
                <w:rFonts w:ascii="Century" w:hAnsi="Century"/>
                <w:color w:val="333333"/>
                <w:sz w:val="22"/>
                <w:szCs w:val="22"/>
              </w:rPr>
              <w:t xml:space="preserve"> </w:t>
            </w:r>
            <w:r w:rsidR="00D76036" w:rsidRPr="00253D94">
              <w:rPr>
                <w:rFonts w:ascii="Century" w:hAnsi="Century"/>
                <w:color w:val="333333"/>
                <w:sz w:val="22"/>
                <w:szCs w:val="22"/>
              </w:rPr>
              <w:t>market</w:t>
            </w:r>
            <w:r w:rsidR="008E518D" w:rsidRPr="00253D94">
              <w:rPr>
                <w:rFonts w:ascii="Century" w:hAnsi="Century"/>
                <w:color w:val="333333"/>
                <w:sz w:val="22"/>
                <w:szCs w:val="22"/>
              </w:rPr>
              <w:t>s</w:t>
            </w:r>
            <w:r w:rsidR="00397752" w:rsidRPr="00253D94">
              <w:rPr>
                <w:rFonts w:ascii="Century" w:hAnsi="Century"/>
                <w:color w:val="333333"/>
                <w:sz w:val="22"/>
                <w:szCs w:val="22"/>
              </w:rPr>
              <w:t xml:space="preserve">, </w:t>
            </w:r>
            <w:r w:rsidR="008E518D" w:rsidRPr="00253D94">
              <w:rPr>
                <w:rFonts w:ascii="Century" w:hAnsi="Century"/>
                <w:color w:val="333333"/>
                <w:sz w:val="22"/>
                <w:szCs w:val="22"/>
              </w:rPr>
              <w:t>emerging markets</w:t>
            </w:r>
            <w:r w:rsidR="00393139" w:rsidRPr="00253D94">
              <w:rPr>
                <w:rFonts w:ascii="Century" w:hAnsi="Century"/>
                <w:color w:val="333333"/>
                <w:sz w:val="22"/>
                <w:szCs w:val="22"/>
              </w:rPr>
              <w:t xml:space="preserve"> and Turkey</w:t>
            </w:r>
            <w:r w:rsidR="00397752" w:rsidRPr="00253D94">
              <w:rPr>
                <w:rFonts w:ascii="Century" w:hAnsi="Century"/>
                <w:color w:val="333333"/>
                <w:sz w:val="22"/>
                <w:szCs w:val="22"/>
              </w:rPr>
              <w:t xml:space="preserve"> for 201</w:t>
            </w:r>
            <w:r w:rsidR="0063167E">
              <w:rPr>
                <w:rFonts w:ascii="Century" w:hAnsi="Century"/>
                <w:color w:val="333333"/>
                <w:sz w:val="22"/>
                <w:szCs w:val="22"/>
              </w:rPr>
              <w:t>7</w:t>
            </w:r>
            <w:r w:rsidR="00D76036" w:rsidRPr="00253D94">
              <w:rPr>
                <w:rFonts w:ascii="Century" w:hAnsi="Century"/>
                <w:color w:val="333333"/>
                <w:sz w:val="22"/>
                <w:szCs w:val="22"/>
              </w:rPr>
              <w:t xml:space="preserve"> and 201</w:t>
            </w:r>
            <w:r w:rsidR="0063167E">
              <w:rPr>
                <w:rFonts w:ascii="Century" w:hAnsi="Century"/>
                <w:color w:val="333333"/>
                <w:sz w:val="22"/>
                <w:szCs w:val="22"/>
              </w:rPr>
              <w:t>8</w:t>
            </w:r>
            <w:r w:rsidR="008E518D" w:rsidRPr="00253D94">
              <w:rPr>
                <w:rFonts w:ascii="Century" w:hAnsi="Century"/>
                <w:color w:val="333333"/>
                <w:sz w:val="22"/>
                <w:szCs w:val="22"/>
              </w:rPr>
              <w:t>.</w:t>
            </w:r>
          </w:p>
        </w:tc>
      </w:tr>
      <w:tr w:rsidR="008E518D" w:rsidRPr="00B10D90" w:rsidTr="00441D50">
        <w:trPr>
          <w:gridAfter w:val="2"/>
          <w:wAfter w:w="38" w:type="dxa"/>
        </w:trPr>
        <w:tc>
          <w:tcPr>
            <w:tcW w:w="9820" w:type="dxa"/>
            <w:gridSpan w:val="14"/>
          </w:tcPr>
          <w:p w:rsidR="008E518D" w:rsidRPr="00253D94" w:rsidRDefault="008E518D" w:rsidP="005D0DBF">
            <w:pPr>
              <w:pStyle w:val="Caption"/>
              <w:jc w:val="center"/>
              <w:rPr>
                <w:rFonts w:ascii="Century" w:hAnsi="Century"/>
                <w:b w:val="0"/>
                <w:bCs w:val="0"/>
                <w:i/>
                <w:iCs/>
                <w:color w:val="000080"/>
              </w:rPr>
            </w:pPr>
            <w:bookmarkStart w:id="172" w:name="_Toc170665521"/>
            <w:r w:rsidRPr="00253D94">
              <w:rPr>
                <w:rFonts w:ascii="Century" w:hAnsi="Century"/>
                <w:color w:val="000080"/>
              </w:rPr>
              <w:t>Tablo 1.</w:t>
            </w:r>
            <w:r w:rsidR="005D0DBF" w:rsidRPr="00253D94">
              <w:rPr>
                <w:rFonts w:ascii="Century" w:hAnsi="Century"/>
                <w:color w:val="000080"/>
              </w:rPr>
              <w:t>3</w:t>
            </w:r>
            <w:r w:rsidRPr="00253D94">
              <w:rPr>
                <w:rFonts w:ascii="Century" w:hAnsi="Century"/>
                <w:color w:val="000080"/>
              </w:rPr>
              <w:t>.1</w:t>
            </w:r>
            <w:r w:rsidR="00D76036" w:rsidRPr="00253D94">
              <w:rPr>
                <w:rFonts w:ascii="Century" w:hAnsi="Century"/>
                <w:color w:val="000080"/>
              </w:rPr>
              <w:t xml:space="preserve">: </w:t>
            </w:r>
            <w:r w:rsidRPr="00253D94">
              <w:rPr>
                <w:rFonts w:ascii="Century" w:hAnsi="Century"/>
                <w:bCs w:val="0"/>
                <w:color w:val="000080"/>
              </w:rPr>
              <w:t xml:space="preserve">Reel Büyüme </w:t>
            </w:r>
            <w:r w:rsidR="001D2227" w:rsidRPr="00253D94">
              <w:rPr>
                <w:rFonts w:ascii="Century" w:hAnsi="Century"/>
                <w:bCs w:val="0"/>
                <w:color w:val="000080"/>
              </w:rPr>
              <w:t>Oranları</w:t>
            </w:r>
            <w:r w:rsidRPr="00253D94">
              <w:rPr>
                <w:rFonts w:ascii="Century" w:hAnsi="Century"/>
                <w:bCs w:val="0"/>
                <w:color w:val="000080"/>
              </w:rPr>
              <w:t xml:space="preserve"> </w:t>
            </w:r>
            <w:r w:rsidR="00D76036" w:rsidRPr="00253D94">
              <w:rPr>
                <w:rFonts w:ascii="Century" w:hAnsi="Century"/>
                <w:bCs w:val="0"/>
                <w:color w:val="000080"/>
              </w:rPr>
              <w:t>-</w:t>
            </w:r>
            <w:r w:rsidRPr="00253D94">
              <w:rPr>
                <w:rFonts w:ascii="Century" w:hAnsi="Century"/>
                <w:bCs w:val="0"/>
                <w:i/>
                <w:iCs/>
                <w:color w:val="000080"/>
              </w:rPr>
              <w:t xml:space="preserve"> </w:t>
            </w:r>
            <w:r w:rsidRPr="00253D94">
              <w:rPr>
                <w:rFonts w:ascii="Century" w:hAnsi="Century"/>
                <w:b w:val="0"/>
                <w:bCs w:val="0"/>
                <w:i/>
                <w:iCs/>
                <w:color w:val="000080"/>
              </w:rPr>
              <w:t>Real Premium Growth Rate</w:t>
            </w:r>
            <w:bookmarkEnd w:id="172"/>
            <w:r w:rsidR="00D76036" w:rsidRPr="00253D94">
              <w:rPr>
                <w:rFonts w:ascii="Century" w:hAnsi="Century"/>
                <w:b w:val="0"/>
                <w:bCs w:val="0"/>
                <w:i/>
                <w:iCs/>
                <w:color w:val="000080"/>
              </w:rPr>
              <w:t xml:space="preserve"> </w:t>
            </w:r>
            <w:r w:rsidRPr="00253D94">
              <w:rPr>
                <w:rFonts w:ascii="Century" w:hAnsi="Century"/>
                <w:b w:val="0"/>
                <w:bCs w:val="0"/>
                <w:i/>
                <w:iCs/>
                <w:color w:val="000080"/>
              </w:rPr>
              <w:t>(%)</w:t>
            </w:r>
          </w:p>
          <w:p w:rsidR="00ED6648" w:rsidRPr="00253D94" w:rsidRDefault="009C5709" w:rsidP="00D20AA3">
            <w:pPr>
              <w:jc w:val="center"/>
              <w:rPr>
                <w:noProof/>
                <w:lang w:val="tr-TR" w:eastAsia="tr-TR"/>
              </w:rPr>
            </w:pPr>
            <w:r>
              <w:rPr>
                <w:noProof/>
              </w:rPr>
              <w:drawing>
                <wp:inline distT="0" distB="0" distL="0" distR="0" wp14:anchorId="0D0B8CE7" wp14:editId="0F293590">
                  <wp:extent cx="6092395" cy="968991"/>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3460" cy="969160"/>
                          </a:xfrm>
                          <a:prstGeom prst="rect">
                            <a:avLst/>
                          </a:prstGeom>
                          <a:noFill/>
                          <a:ln>
                            <a:noFill/>
                          </a:ln>
                        </pic:spPr>
                      </pic:pic>
                    </a:graphicData>
                  </a:graphic>
                </wp:inline>
              </w:drawing>
            </w:r>
          </w:p>
          <w:p w:rsidR="00DE6A3E" w:rsidRPr="00253D94" w:rsidRDefault="00DE6A3E" w:rsidP="00A05BC1">
            <w:r w:rsidRPr="00253D94">
              <w:rPr>
                <w:rFonts w:ascii="Century" w:hAnsi="Century" w:cs="Arial TUR"/>
                <w:sz w:val="16"/>
                <w:szCs w:val="16"/>
                <w:lang w:eastAsia="tr-TR"/>
              </w:rPr>
              <w:t>Kaynak: Sigma Dergisi, 201</w:t>
            </w:r>
            <w:r w:rsidR="00A05BC1">
              <w:rPr>
                <w:rFonts w:ascii="Century" w:hAnsi="Century" w:cs="Arial TUR"/>
                <w:sz w:val="16"/>
                <w:szCs w:val="16"/>
                <w:lang w:eastAsia="tr-TR"/>
              </w:rPr>
              <w:t>8</w:t>
            </w:r>
            <w:r w:rsidRPr="00253D94">
              <w:rPr>
                <w:rFonts w:ascii="Century" w:hAnsi="Century" w:cs="Arial TUR"/>
                <w:sz w:val="16"/>
                <w:szCs w:val="16"/>
                <w:lang w:eastAsia="tr-TR"/>
              </w:rPr>
              <w:t xml:space="preserve"> Dünya Sigortacılığı</w:t>
            </w:r>
            <w:r w:rsidRPr="00253D94">
              <w:rPr>
                <w:rFonts w:ascii="Century" w:hAnsi="Century" w:cs="Arial TUR"/>
                <w:i/>
                <w:sz w:val="16"/>
                <w:szCs w:val="16"/>
                <w:lang w:eastAsia="tr-TR"/>
              </w:rPr>
              <w:t>, S</w:t>
            </w:r>
            <w:r w:rsidRPr="00253D94">
              <w:rPr>
                <w:rFonts w:ascii="Century" w:hAnsi="Century" w:cs="Arial TUR"/>
                <w:i/>
                <w:iCs/>
                <w:sz w:val="16"/>
                <w:szCs w:val="16"/>
                <w:lang w:eastAsia="tr-TR"/>
              </w:rPr>
              <w:t>ource: Sigma Magazine, World Insurance in 201</w:t>
            </w:r>
            <w:r w:rsidR="00A05BC1">
              <w:rPr>
                <w:rFonts w:ascii="Century" w:hAnsi="Century" w:cs="Arial TUR"/>
                <w:i/>
                <w:iCs/>
                <w:sz w:val="16"/>
                <w:szCs w:val="16"/>
                <w:lang w:eastAsia="tr-TR"/>
              </w:rPr>
              <w:t>8</w:t>
            </w:r>
            <w:r w:rsidRPr="00253D94">
              <w:rPr>
                <w:rFonts w:ascii="Century" w:hAnsi="Century" w:cs="Arial TUR"/>
                <w:i/>
                <w:iCs/>
                <w:sz w:val="16"/>
                <w:szCs w:val="16"/>
                <w:lang w:eastAsia="tr-TR"/>
              </w:rPr>
              <w:t xml:space="preserve">, No: </w:t>
            </w:r>
            <w:r w:rsidR="00581FCD" w:rsidRPr="00253D94">
              <w:rPr>
                <w:rFonts w:ascii="Century" w:hAnsi="Century" w:cs="Arial TUR"/>
                <w:i/>
                <w:iCs/>
                <w:sz w:val="16"/>
                <w:szCs w:val="16"/>
                <w:lang w:eastAsia="tr-TR"/>
              </w:rPr>
              <w:t>3</w:t>
            </w:r>
            <w:r w:rsidRPr="00253D94">
              <w:rPr>
                <w:rFonts w:ascii="Century" w:hAnsi="Century" w:cs="Arial TUR"/>
                <w:i/>
                <w:iCs/>
                <w:sz w:val="16"/>
                <w:szCs w:val="16"/>
                <w:lang w:eastAsia="tr-TR"/>
              </w:rPr>
              <w:t>/201</w:t>
            </w:r>
            <w:r w:rsidR="00A05BC1">
              <w:rPr>
                <w:rFonts w:ascii="Century" w:hAnsi="Century" w:cs="Arial TUR"/>
                <w:i/>
                <w:iCs/>
                <w:sz w:val="16"/>
                <w:szCs w:val="16"/>
                <w:lang w:eastAsia="tr-TR"/>
              </w:rPr>
              <w:t>9</w:t>
            </w:r>
          </w:p>
        </w:tc>
      </w:tr>
      <w:tr w:rsidR="008E518D" w:rsidRPr="00B10D90" w:rsidTr="00441D50">
        <w:trPr>
          <w:gridAfter w:val="2"/>
          <w:wAfter w:w="38" w:type="dxa"/>
        </w:trPr>
        <w:tc>
          <w:tcPr>
            <w:tcW w:w="4817" w:type="dxa"/>
            <w:gridSpan w:val="2"/>
          </w:tcPr>
          <w:p w:rsidR="008E518D" w:rsidRPr="00027F34" w:rsidRDefault="008E518D" w:rsidP="00027F34">
            <w:pPr>
              <w:jc w:val="both"/>
              <w:rPr>
                <w:rFonts w:ascii="Century" w:hAnsi="Century"/>
                <w:color w:val="000080"/>
                <w:sz w:val="22"/>
                <w:szCs w:val="22"/>
                <w:highlight w:val="yellow"/>
              </w:rPr>
            </w:pPr>
          </w:p>
        </w:tc>
        <w:tc>
          <w:tcPr>
            <w:tcW w:w="318" w:type="dxa"/>
            <w:gridSpan w:val="7"/>
          </w:tcPr>
          <w:p w:rsidR="008E518D" w:rsidRPr="00B10D90" w:rsidRDefault="008E518D" w:rsidP="00CD35C2">
            <w:pPr>
              <w:jc w:val="both"/>
              <w:rPr>
                <w:rFonts w:ascii="Century" w:hAnsi="Century"/>
                <w:sz w:val="22"/>
                <w:szCs w:val="22"/>
                <w:highlight w:val="yellow"/>
              </w:rPr>
            </w:pPr>
          </w:p>
        </w:tc>
        <w:tc>
          <w:tcPr>
            <w:tcW w:w="4685" w:type="dxa"/>
            <w:gridSpan w:val="5"/>
          </w:tcPr>
          <w:p w:rsidR="008E518D" w:rsidRPr="00B10D90" w:rsidRDefault="008E518D" w:rsidP="008E518D">
            <w:pPr>
              <w:jc w:val="both"/>
              <w:rPr>
                <w:rFonts w:ascii="Century" w:hAnsi="Century"/>
                <w:b/>
                <w:color w:val="003366"/>
                <w:sz w:val="22"/>
                <w:szCs w:val="22"/>
                <w:highlight w:val="yellow"/>
              </w:rPr>
            </w:pPr>
          </w:p>
        </w:tc>
      </w:tr>
      <w:tr w:rsidR="00C85053" w:rsidRPr="00B10D90" w:rsidTr="00441D50">
        <w:trPr>
          <w:gridAfter w:val="2"/>
          <w:wAfter w:w="38" w:type="dxa"/>
        </w:trPr>
        <w:tc>
          <w:tcPr>
            <w:tcW w:w="4817" w:type="dxa"/>
            <w:gridSpan w:val="2"/>
          </w:tcPr>
          <w:p w:rsidR="00093B6B" w:rsidRPr="00253D94" w:rsidRDefault="00D84482" w:rsidP="00093B6B">
            <w:pPr>
              <w:jc w:val="both"/>
              <w:rPr>
                <w:rFonts w:ascii="Century" w:hAnsi="Century"/>
                <w:sz w:val="22"/>
                <w:szCs w:val="22"/>
                <w:lang w:eastAsia="tr-TR"/>
              </w:rPr>
            </w:pPr>
            <w:r w:rsidRPr="00253D94">
              <w:rPr>
                <w:rFonts w:ascii="Century" w:hAnsi="Century"/>
                <w:sz w:val="22"/>
                <w:szCs w:val="22"/>
                <w:lang w:eastAsia="tr-TR"/>
              </w:rPr>
              <w:t>Ülkemiz s</w:t>
            </w:r>
            <w:r w:rsidR="00397752" w:rsidRPr="00253D94">
              <w:rPr>
                <w:rFonts w:ascii="Century" w:hAnsi="Century"/>
                <w:sz w:val="22"/>
                <w:szCs w:val="22"/>
                <w:lang w:eastAsia="tr-TR"/>
              </w:rPr>
              <w:t>igortacılık sektörü</w:t>
            </w:r>
            <w:r w:rsidRPr="00253D94">
              <w:rPr>
                <w:rFonts w:ascii="Century" w:hAnsi="Century"/>
                <w:sz w:val="22"/>
                <w:szCs w:val="22"/>
                <w:lang w:eastAsia="tr-TR"/>
              </w:rPr>
              <w:t>nde 201</w:t>
            </w:r>
            <w:r w:rsidR="00874014">
              <w:rPr>
                <w:rFonts w:ascii="Century" w:hAnsi="Century"/>
                <w:sz w:val="22"/>
                <w:szCs w:val="22"/>
                <w:lang w:eastAsia="tr-TR"/>
              </w:rPr>
              <w:t>8</w:t>
            </w:r>
            <w:r w:rsidR="00A148DB" w:rsidRPr="00253D94">
              <w:rPr>
                <w:rFonts w:ascii="Century" w:hAnsi="Century"/>
                <w:sz w:val="22"/>
                <w:szCs w:val="22"/>
                <w:lang w:eastAsia="tr-TR"/>
              </w:rPr>
              <w:t xml:space="preserve"> yılında hayat </w:t>
            </w:r>
            <w:r w:rsidR="00874014">
              <w:rPr>
                <w:rFonts w:ascii="Century" w:hAnsi="Century"/>
                <w:sz w:val="22"/>
                <w:szCs w:val="22"/>
                <w:lang w:eastAsia="tr-TR"/>
              </w:rPr>
              <w:t xml:space="preserve">ve hayat dışı </w:t>
            </w:r>
            <w:r w:rsidR="00A148DB" w:rsidRPr="00253D94">
              <w:rPr>
                <w:rFonts w:ascii="Century" w:hAnsi="Century"/>
                <w:sz w:val="22"/>
                <w:szCs w:val="22"/>
                <w:lang w:eastAsia="tr-TR"/>
              </w:rPr>
              <w:t>alan</w:t>
            </w:r>
            <w:r w:rsidR="00874014">
              <w:rPr>
                <w:rFonts w:ascii="Century" w:hAnsi="Century"/>
                <w:sz w:val="22"/>
                <w:szCs w:val="22"/>
                <w:lang w:eastAsia="tr-TR"/>
              </w:rPr>
              <w:t>lar</w:t>
            </w:r>
            <w:r w:rsidR="00A148DB" w:rsidRPr="00253D94">
              <w:rPr>
                <w:rFonts w:ascii="Century" w:hAnsi="Century"/>
                <w:sz w:val="22"/>
                <w:szCs w:val="22"/>
                <w:lang w:eastAsia="tr-TR"/>
              </w:rPr>
              <w:t>ında gelişmekte olan piyasaların altında reel büyüme gerçekleşmiş</w:t>
            </w:r>
            <w:r w:rsidR="0016150B" w:rsidRPr="00253D94">
              <w:rPr>
                <w:rFonts w:ascii="Century" w:hAnsi="Century"/>
                <w:sz w:val="22"/>
                <w:szCs w:val="22"/>
                <w:lang w:eastAsia="tr-TR"/>
              </w:rPr>
              <w:t xml:space="preserve">tir. </w:t>
            </w:r>
            <w:r w:rsidR="0016150B" w:rsidRPr="00AA446F">
              <w:rPr>
                <w:rFonts w:ascii="Century" w:hAnsi="Century"/>
                <w:sz w:val="22"/>
                <w:szCs w:val="22"/>
                <w:lang w:eastAsia="tr-TR"/>
              </w:rPr>
              <w:t>201</w:t>
            </w:r>
            <w:r w:rsidR="00874014" w:rsidRPr="00AA446F">
              <w:rPr>
                <w:rFonts w:ascii="Century" w:hAnsi="Century"/>
                <w:sz w:val="22"/>
                <w:szCs w:val="22"/>
                <w:lang w:eastAsia="tr-TR"/>
              </w:rPr>
              <w:t>8</w:t>
            </w:r>
            <w:r w:rsidR="00A148DB" w:rsidRPr="00AA446F">
              <w:rPr>
                <w:rFonts w:ascii="Century" w:hAnsi="Century"/>
                <w:sz w:val="22"/>
                <w:szCs w:val="22"/>
                <w:lang w:eastAsia="tr-TR"/>
              </w:rPr>
              <w:t xml:space="preserve"> yılında Hayat dışı dallarda %0</w:t>
            </w:r>
            <w:proofErr w:type="gramStart"/>
            <w:r w:rsidR="00A148DB" w:rsidRPr="00AA446F">
              <w:rPr>
                <w:rFonts w:ascii="Century" w:hAnsi="Century"/>
                <w:sz w:val="22"/>
                <w:szCs w:val="22"/>
                <w:lang w:eastAsia="tr-TR"/>
              </w:rPr>
              <w:t>,</w:t>
            </w:r>
            <w:r w:rsidR="00AA446F" w:rsidRPr="00AA446F">
              <w:rPr>
                <w:rFonts w:ascii="Century" w:hAnsi="Century"/>
                <w:sz w:val="22"/>
                <w:szCs w:val="22"/>
                <w:lang w:eastAsia="tr-TR"/>
              </w:rPr>
              <w:t>5</w:t>
            </w:r>
            <w:proofErr w:type="gramEnd"/>
            <w:r w:rsidR="00A148DB" w:rsidRPr="00AA446F">
              <w:rPr>
                <w:rFonts w:ascii="Century" w:hAnsi="Century"/>
                <w:sz w:val="22"/>
                <w:szCs w:val="22"/>
                <w:lang w:eastAsia="tr-TR"/>
              </w:rPr>
              <w:t xml:space="preserve"> </w:t>
            </w:r>
            <w:r w:rsidR="0016150B" w:rsidRPr="00AA446F">
              <w:rPr>
                <w:rFonts w:ascii="Century" w:hAnsi="Century"/>
                <w:sz w:val="22"/>
                <w:szCs w:val="22"/>
                <w:lang w:eastAsia="tr-TR"/>
              </w:rPr>
              <w:t xml:space="preserve">oranında bir reel büyüme yaşanırken, </w:t>
            </w:r>
            <w:r w:rsidR="006A46D6" w:rsidRPr="00AA446F">
              <w:rPr>
                <w:rFonts w:ascii="Century" w:hAnsi="Century"/>
                <w:sz w:val="22"/>
                <w:szCs w:val="22"/>
                <w:lang w:eastAsia="tr-TR"/>
              </w:rPr>
              <w:t xml:space="preserve">hayat alanında </w:t>
            </w:r>
            <w:r w:rsidR="00D74E16" w:rsidRPr="00AA446F">
              <w:rPr>
                <w:rFonts w:ascii="Century" w:hAnsi="Century"/>
                <w:sz w:val="22"/>
                <w:szCs w:val="22"/>
                <w:lang w:eastAsia="tr-TR"/>
              </w:rPr>
              <w:t>prim üretimi %</w:t>
            </w:r>
            <w:r w:rsidR="00874014" w:rsidRPr="00AA446F">
              <w:rPr>
                <w:rFonts w:ascii="Century" w:hAnsi="Century"/>
                <w:sz w:val="22"/>
                <w:szCs w:val="22"/>
                <w:lang w:eastAsia="tr-TR"/>
              </w:rPr>
              <w:t>12,3</w:t>
            </w:r>
            <w:r w:rsidR="00D74E16" w:rsidRPr="00AA446F">
              <w:rPr>
                <w:rFonts w:ascii="Century" w:hAnsi="Century"/>
                <w:sz w:val="22"/>
                <w:szCs w:val="22"/>
                <w:lang w:eastAsia="tr-TR"/>
              </w:rPr>
              <w:t xml:space="preserve"> oranında a</w:t>
            </w:r>
            <w:r w:rsidR="00874014" w:rsidRPr="00AA446F">
              <w:rPr>
                <w:rFonts w:ascii="Century" w:hAnsi="Century"/>
                <w:sz w:val="22"/>
                <w:szCs w:val="22"/>
                <w:lang w:eastAsia="tr-TR"/>
              </w:rPr>
              <w:t>zal</w:t>
            </w:r>
            <w:r w:rsidR="00D74E16" w:rsidRPr="00AA446F">
              <w:rPr>
                <w:rFonts w:ascii="Century" w:hAnsi="Century"/>
                <w:sz w:val="22"/>
                <w:szCs w:val="22"/>
                <w:lang w:eastAsia="tr-TR"/>
              </w:rPr>
              <w:t>mıştır.</w:t>
            </w:r>
            <w:r w:rsidR="00D74E16" w:rsidRPr="00253D94">
              <w:rPr>
                <w:rFonts w:ascii="Century" w:hAnsi="Century"/>
                <w:sz w:val="22"/>
                <w:szCs w:val="22"/>
                <w:lang w:eastAsia="tr-TR"/>
              </w:rPr>
              <w:t xml:space="preserve"> </w:t>
            </w:r>
          </w:p>
          <w:p w:rsidR="00093B6B" w:rsidRDefault="00093B6B" w:rsidP="00093B6B">
            <w:pPr>
              <w:jc w:val="both"/>
              <w:rPr>
                <w:rFonts w:ascii="Century" w:hAnsi="Century"/>
                <w:sz w:val="22"/>
                <w:szCs w:val="22"/>
                <w:lang w:eastAsia="tr-TR"/>
              </w:rPr>
            </w:pPr>
          </w:p>
          <w:p w:rsidR="00AA446F" w:rsidRPr="00253D94" w:rsidRDefault="00AA446F" w:rsidP="00093B6B">
            <w:pPr>
              <w:jc w:val="both"/>
              <w:rPr>
                <w:rFonts w:ascii="Century" w:hAnsi="Century"/>
                <w:sz w:val="22"/>
                <w:szCs w:val="22"/>
                <w:lang w:eastAsia="tr-TR"/>
              </w:rPr>
            </w:pPr>
          </w:p>
          <w:p w:rsidR="00C85053" w:rsidRPr="00253D94" w:rsidRDefault="006850D7" w:rsidP="00093B6B">
            <w:pPr>
              <w:jc w:val="both"/>
              <w:rPr>
                <w:rFonts w:ascii="Century" w:hAnsi="Century"/>
                <w:sz w:val="22"/>
                <w:szCs w:val="22"/>
              </w:rPr>
            </w:pPr>
            <w:r w:rsidRPr="00253D94">
              <w:rPr>
                <w:rFonts w:ascii="Century" w:hAnsi="Century"/>
                <w:sz w:val="22"/>
                <w:szCs w:val="22"/>
                <w:lang w:eastAsia="tr-TR"/>
              </w:rPr>
              <w:t xml:space="preserve">Aşağıdaki grafiklerde, Türkiye ile </w:t>
            </w:r>
            <w:r w:rsidR="006A46D6" w:rsidRPr="00253D94">
              <w:rPr>
                <w:rFonts w:ascii="Century" w:hAnsi="Century"/>
                <w:sz w:val="22"/>
                <w:szCs w:val="22"/>
                <w:lang w:eastAsia="tr-TR"/>
              </w:rPr>
              <w:t>gelişmiş</w:t>
            </w:r>
            <w:r w:rsidRPr="00253D94">
              <w:rPr>
                <w:rFonts w:ascii="Century" w:hAnsi="Century"/>
                <w:sz w:val="22"/>
                <w:szCs w:val="22"/>
                <w:lang w:eastAsia="tr-TR"/>
              </w:rPr>
              <w:t xml:space="preserve"> ve gelişmekte olan piyasalardaki reel prim artış oranları gösterilmiştir.</w:t>
            </w:r>
          </w:p>
        </w:tc>
        <w:tc>
          <w:tcPr>
            <w:tcW w:w="318" w:type="dxa"/>
            <w:gridSpan w:val="7"/>
          </w:tcPr>
          <w:p w:rsidR="00C85053" w:rsidRPr="00253D94" w:rsidRDefault="00C85053" w:rsidP="008D17FE">
            <w:pPr>
              <w:rPr>
                <w:rFonts w:ascii="Century" w:hAnsi="Century"/>
                <w:sz w:val="22"/>
                <w:szCs w:val="22"/>
              </w:rPr>
            </w:pPr>
          </w:p>
        </w:tc>
        <w:tc>
          <w:tcPr>
            <w:tcW w:w="4685" w:type="dxa"/>
            <w:gridSpan w:val="5"/>
            <w:shd w:val="clear" w:color="auto" w:fill="auto"/>
          </w:tcPr>
          <w:p w:rsidR="00093B6B" w:rsidRPr="00253D94" w:rsidRDefault="00F71022" w:rsidP="00093B6B">
            <w:pPr>
              <w:jc w:val="both"/>
              <w:rPr>
                <w:rFonts w:ascii="Century" w:hAnsi="Century"/>
                <w:color w:val="333333"/>
                <w:sz w:val="22"/>
              </w:rPr>
            </w:pPr>
            <w:r>
              <w:rPr>
                <w:rFonts w:ascii="Century" w:hAnsi="Century"/>
                <w:color w:val="333333"/>
                <w:sz w:val="22"/>
              </w:rPr>
              <w:t>T</w:t>
            </w:r>
            <w:r w:rsidR="000B737A" w:rsidRPr="00253D94">
              <w:rPr>
                <w:rFonts w:ascii="Century" w:hAnsi="Century"/>
                <w:color w:val="333333"/>
                <w:sz w:val="22"/>
              </w:rPr>
              <w:t>he i</w:t>
            </w:r>
            <w:r w:rsidR="00231053" w:rsidRPr="00253D94">
              <w:rPr>
                <w:rFonts w:ascii="Century" w:hAnsi="Century"/>
                <w:color w:val="333333"/>
                <w:sz w:val="22"/>
              </w:rPr>
              <w:t xml:space="preserve">nsurance sector in Turkey </w:t>
            </w:r>
            <w:r w:rsidR="000B737A" w:rsidRPr="00253D94">
              <w:rPr>
                <w:rFonts w:ascii="Century" w:hAnsi="Century"/>
                <w:color w:val="333333"/>
                <w:sz w:val="22"/>
              </w:rPr>
              <w:t xml:space="preserve">has </w:t>
            </w:r>
            <w:r w:rsidR="00351372" w:rsidRPr="00253D94">
              <w:rPr>
                <w:rFonts w:ascii="Century" w:hAnsi="Century"/>
                <w:color w:val="333333"/>
                <w:sz w:val="22"/>
                <w:szCs w:val="22"/>
                <w:lang w:eastAsia="tr-TR"/>
              </w:rPr>
              <w:t>experienced</w:t>
            </w:r>
            <w:r w:rsidR="00231053" w:rsidRPr="00253D94">
              <w:rPr>
                <w:rFonts w:ascii="Century" w:hAnsi="Century"/>
                <w:color w:val="333333"/>
                <w:sz w:val="22"/>
                <w:szCs w:val="22"/>
                <w:lang w:eastAsia="tr-TR"/>
              </w:rPr>
              <w:t xml:space="preserve"> </w:t>
            </w:r>
            <w:r>
              <w:rPr>
                <w:rFonts w:ascii="Century" w:hAnsi="Century"/>
                <w:color w:val="333333"/>
                <w:sz w:val="22"/>
                <w:szCs w:val="22"/>
                <w:lang w:eastAsia="tr-TR"/>
              </w:rPr>
              <w:t>b</w:t>
            </w:r>
            <w:r>
              <w:rPr>
                <w:rFonts w:ascii="Century" w:hAnsi="Century"/>
                <w:color w:val="333333"/>
                <w:sz w:val="22"/>
              </w:rPr>
              <w:t xml:space="preserve">oth </w:t>
            </w:r>
            <w:r w:rsidR="000B737A" w:rsidRPr="00253D94">
              <w:rPr>
                <w:rFonts w:ascii="Century" w:hAnsi="Century"/>
                <w:color w:val="333333"/>
                <w:sz w:val="22"/>
              </w:rPr>
              <w:t xml:space="preserve">the growth in </w:t>
            </w:r>
            <w:r>
              <w:rPr>
                <w:rFonts w:ascii="Century" w:hAnsi="Century"/>
                <w:color w:val="333333"/>
                <w:sz w:val="22"/>
              </w:rPr>
              <w:t xml:space="preserve">life and </w:t>
            </w:r>
            <w:proofErr w:type="gramStart"/>
            <w:r w:rsidR="000B737A" w:rsidRPr="00253D94">
              <w:rPr>
                <w:rFonts w:ascii="Century" w:hAnsi="Century"/>
                <w:color w:val="333333"/>
                <w:sz w:val="22"/>
              </w:rPr>
              <w:t>non-life branches is</w:t>
            </w:r>
            <w:proofErr w:type="gramEnd"/>
            <w:r w:rsidR="000B737A" w:rsidRPr="00253D94">
              <w:rPr>
                <w:rFonts w:ascii="Century" w:hAnsi="Century"/>
                <w:color w:val="333333"/>
                <w:sz w:val="22"/>
              </w:rPr>
              <w:t xml:space="preserve"> below the emerging markets</w:t>
            </w:r>
            <w:r w:rsidR="00093B6B" w:rsidRPr="00253D94">
              <w:rPr>
                <w:rFonts w:ascii="Century" w:hAnsi="Century"/>
                <w:color w:val="333333"/>
                <w:sz w:val="22"/>
              </w:rPr>
              <w:t>.</w:t>
            </w:r>
            <w:r w:rsidR="00231053" w:rsidRPr="00253D94">
              <w:rPr>
                <w:rFonts w:ascii="Century" w:hAnsi="Century"/>
                <w:color w:val="333333"/>
                <w:sz w:val="22"/>
              </w:rPr>
              <w:t xml:space="preserve"> The real premium volume </w:t>
            </w:r>
            <w:r w:rsidR="005076EA" w:rsidRPr="00253D94">
              <w:rPr>
                <w:rFonts w:ascii="Century" w:hAnsi="Century"/>
                <w:color w:val="333333"/>
                <w:sz w:val="22"/>
              </w:rPr>
              <w:t xml:space="preserve">in non-life </w:t>
            </w:r>
            <w:r w:rsidR="00351372" w:rsidRPr="00253D94">
              <w:rPr>
                <w:rFonts w:ascii="Century" w:hAnsi="Century"/>
                <w:color w:val="333333"/>
                <w:sz w:val="22"/>
              </w:rPr>
              <w:t xml:space="preserve">branches </w:t>
            </w:r>
            <w:r w:rsidR="00231053" w:rsidRPr="00253D94">
              <w:rPr>
                <w:rFonts w:ascii="Century" w:hAnsi="Century"/>
                <w:color w:val="333333"/>
                <w:sz w:val="22"/>
              </w:rPr>
              <w:t xml:space="preserve">increased by </w:t>
            </w:r>
            <w:r w:rsidR="00A148DB" w:rsidRPr="00253D94">
              <w:rPr>
                <w:rFonts w:ascii="Century" w:hAnsi="Century"/>
                <w:color w:val="333333"/>
                <w:sz w:val="22"/>
              </w:rPr>
              <w:t>0</w:t>
            </w:r>
            <w:r w:rsidR="005076EA" w:rsidRPr="00253D94">
              <w:rPr>
                <w:rFonts w:ascii="Century" w:hAnsi="Century"/>
                <w:color w:val="333333"/>
                <w:sz w:val="22"/>
              </w:rPr>
              <w:t>.</w:t>
            </w:r>
            <w:r w:rsidR="00AA446F">
              <w:rPr>
                <w:rFonts w:ascii="Century" w:hAnsi="Century"/>
                <w:color w:val="333333"/>
                <w:sz w:val="22"/>
              </w:rPr>
              <w:t>5</w:t>
            </w:r>
            <w:r w:rsidR="00B57179" w:rsidRPr="00253D94">
              <w:rPr>
                <w:rFonts w:ascii="Century" w:hAnsi="Century"/>
                <w:bCs/>
                <w:color w:val="333333"/>
                <w:sz w:val="22"/>
                <w:szCs w:val="22"/>
              </w:rPr>
              <w:t>%</w:t>
            </w:r>
            <w:r w:rsidR="005076EA" w:rsidRPr="00253D94">
              <w:rPr>
                <w:rFonts w:ascii="Century" w:hAnsi="Century"/>
                <w:color w:val="333333"/>
                <w:sz w:val="22"/>
              </w:rPr>
              <w:t xml:space="preserve"> in Turkey in 201</w:t>
            </w:r>
            <w:r w:rsidR="00AA446F">
              <w:rPr>
                <w:rFonts w:ascii="Century" w:hAnsi="Century"/>
                <w:color w:val="333333"/>
                <w:sz w:val="22"/>
              </w:rPr>
              <w:t>8</w:t>
            </w:r>
            <w:r w:rsidR="00231053" w:rsidRPr="00253D94">
              <w:rPr>
                <w:rFonts w:ascii="Century" w:hAnsi="Century"/>
                <w:color w:val="333333"/>
                <w:sz w:val="22"/>
              </w:rPr>
              <w:t xml:space="preserve"> while life premium volume </w:t>
            </w:r>
            <w:r w:rsidR="00DA2FB9" w:rsidRPr="00253D94">
              <w:rPr>
                <w:rFonts w:ascii="Century" w:hAnsi="Century"/>
                <w:color w:val="333333"/>
                <w:sz w:val="22"/>
              </w:rPr>
              <w:t xml:space="preserve">has </w:t>
            </w:r>
            <w:r w:rsidR="00AA446F">
              <w:rPr>
                <w:rFonts w:ascii="Century" w:hAnsi="Century"/>
                <w:color w:val="333333"/>
                <w:sz w:val="22"/>
              </w:rPr>
              <w:t>fallen</w:t>
            </w:r>
            <w:r w:rsidR="005076EA" w:rsidRPr="00253D94">
              <w:rPr>
                <w:rFonts w:ascii="Century" w:hAnsi="Century"/>
                <w:color w:val="333333"/>
                <w:sz w:val="22"/>
              </w:rPr>
              <w:t xml:space="preserve"> </w:t>
            </w:r>
            <w:r w:rsidR="00231053" w:rsidRPr="00253D94">
              <w:rPr>
                <w:rFonts w:ascii="Century" w:hAnsi="Century"/>
                <w:color w:val="333333"/>
                <w:sz w:val="22"/>
              </w:rPr>
              <w:t xml:space="preserve">by </w:t>
            </w:r>
            <w:r w:rsidR="00AA446F">
              <w:rPr>
                <w:rFonts w:ascii="Century" w:hAnsi="Century"/>
                <w:color w:val="333333"/>
                <w:sz w:val="22"/>
              </w:rPr>
              <w:t>12</w:t>
            </w:r>
            <w:r w:rsidR="00351372" w:rsidRPr="00253D94">
              <w:rPr>
                <w:rFonts w:ascii="Century" w:hAnsi="Century"/>
                <w:color w:val="333333"/>
                <w:sz w:val="22"/>
              </w:rPr>
              <w:t>.</w:t>
            </w:r>
            <w:r w:rsidR="00AA446F">
              <w:rPr>
                <w:rFonts w:ascii="Century" w:hAnsi="Century"/>
                <w:color w:val="333333"/>
                <w:sz w:val="22"/>
              </w:rPr>
              <w:t>3</w:t>
            </w:r>
            <w:r w:rsidR="00B57179" w:rsidRPr="00253D94">
              <w:rPr>
                <w:rFonts w:ascii="Century" w:hAnsi="Century"/>
                <w:bCs/>
                <w:color w:val="333333"/>
                <w:sz w:val="22"/>
                <w:szCs w:val="22"/>
              </w:rPr>
              <w:t>%</w:t>
            </w:r>
            <w:r w:rsidR="00231053" w:rsidRPr="00253D94">
              <w:rPr>
                <w:rFonts w:ascii="Century" w:hAnsi="Century"/>
                <w:color w:val="333333"/>
                <w:sz w:val="22"/>
                <w:szCs w:val="22"/>
                <w:lang w:eastAsia="tr-TR"/>
              </w:rPr>
              <w:t>.</w:t>
            </w:r>
            <w:r w:rsidR="00231053" w:rsidRPr="00253D94">
              <w:rPr>
                <w:rFonts w:ascii="Century" w:hAnsi="Century"/>
                <w:color w:val="333333"/>
                <w:sz w:val="22"/>
              </w:rPr>
              <w:t xml:space="preserve"> </w:t>
            </w:r>
          </w:p>
          <w:p w:rsidR="00351372" w:rsidRPr="00253D94" w:rsidRDefault="00351372" w:rsidP="00351372">
            <w:pPr>
              <w:jc w:val="both"/>
              <w:rPr>
                <w:rFonts w:ascii="Century" w:hAnsi="Century"/>
                <w:color w:val="333333"/>
                <w:sz w:val="22"/>
              </w:rPr>
            </w:pPr>
          </w:p>
          <w:p w:rsidR="00C85053" w:rsidRPr="00253D94" w:rsidRDefault="00231053" w:rsidP="00DA2FB9">
            <w:pPr>
              <w:jc w:val="both"/>
              <w:rPr>
                <w:rFonts w:ascii="Century" w:hAnsi="Century"/>
                <w:color w:val="333333"/>
                <w:sz w:val="22"/>
                <w:szCs w:val="22"/>
              </w:rPr>
            </w:pPr>
            <w:r w:rsidRPr="00253D94">
              <w:rPr>
                <w:rFonts w:ascii="Century" w:hAnsi="Century"/>
                <w:color w:val="333333"/>
                <w:sz w:val="22"/>
              </w:rPr>
              <w:t>The graph</w:t>
            </w:r>
            <w:r w:rsidRPr="00253D94">
              <w:rPr>
                <w:rFonts w:ascii="Century" w:hAnsi="Century"/>
                <w:color w:val="333333"/>
                <w:sz w:val="22"/>
                <w:szCs w:val="22"/>
                <w:lang w:eastAsia="tr-TR"/>
              </w:rPr>
              <w:t xml:space="preserve"> below</w:t>
            </w:r>
            <w:r w:rsidRPr="00253D94">
              <w:rPr>
                <w:rFonts w:ascii="Century" w:hAnsi="Century"/>
                <w:color w:val="333333"/>
                <w:sz w:val="22"/>
              </w:rPr>
              <w:t xml:space="preserve"> show</w:t>
            </w:r>
            <w:r w:rsidR="00DA2FB9" w:rsidRPr="00253D94">
              <w:rPr>
                <w:rFonts w:ascii="Century" w:hAnsi="Century"/>
                <w:color w:val="333333"/>
                <w:sz w:val="22"/>
              </w:rPr>
              <w:t>s</w:t>
            </w:r>
            <w:r w:rsidRPr="00253D94">
              <w:rPr>
                <w:rFonts w:ascii="Century" w:hAnsi="Century"/>
                <w:color w:val="333333"/>
                <w:sz w:val="22"/>
              </w:rPr>
              <w:t xml:space="preserve"> the growth rates for life and non-life insurance business as advanced and emerging markets </w:t>
            </w:r>
            <w:r w:rsidR="00DA2FB9" w:rsidRPr="00253D94">
              <w:rPr>
                <w:rFonts w:ascii="Century" w:hAnsi="Century"/>
                <w:color w:val="333333"/>
                <w:sz w:val="22"/>
              </w:rPr>
              <w:t xml:space="preserve">in comparaison with </w:t>
            </w:r>
            <w:r w:rsidRPr="00253D94">
              <w:rPr>
                <w:rFonts w:ascii="Century" w:hAnsi="Century"/>
                <w:color w:val="333333"/>
                <w:sz w:val="22"/>
              </w:rPr>
              <w:t>Turkey over the last five years.</w:t>
            </w:r>
          </w:p>
        </w:tc>
      </w:tr>
      <w:tr w:rsidR="00C85053" w:rsidRPr="00B10D90" w:rsidTr="00441D50">
        <w:trPr>
          <w:gridAfter w:val="2"/>
          <w:wAfter w:w="38" w:type="dxa"/>
        </w:trPr>
        <w:tc>
          <w:tcPr>
            <w:tcW w:w="4817" w:type="dxa"/>
            <w:gridSpan w:val="2"/>
          </w:tcPr>
          <w:p w:rsidR="00C85053" w:rsidRPr="00B10D90" w:rsidRDefault="00C85053" w:rsidP="000D044D">
            <w:pPr>
              <w:rPr>
                <w:rFonts w:ascii="Century" w:hAnsi="Century"/>
                <w:b/>
                <w:color w:val="000080"/>
                <w:sz w:val="20"/>
                <w:szCs w:val="20"/>
                <w:highlight w:val="yellow"/>
              </w:rPr>
            </w:pPr>
          </w:p>
        </w:tc>
        <w:tc>
          <w:tcPr>
            <w:tcW w:w="318" w:type="dxa"/>
            <w:gridSpan w:val="7"/>
          </w:tcPr>
          <w:p w:rsidR="00C85053" w:rsidRPr="00B10D90" w:rsidRDefault="00C85053" w:rsidP="008D17FE">
            <w:pPr>
              <w:rPr>
                <w:rFonts w:ascii="Century" w:hAnsi="Century"/>
                <w:sz w:val="22"/>
                <w:szCs w:val="22"/>
                <w:highlight w:val="yellow"/>
              </w:rPr>
            </w:pPr>
          </w:p>
        </w:tc>
        <w:tc>
          <w:tcPr>
            <w:tcW w:w="4685" w:type="dxa"/>
            <w:gridSpan w:val="5"/>
          </w:tcPr>
          <w:p w:rsidR="00C85053" w:rsidRPr="00B10D90" w:rsidRDefault="00C85053" w:rsidP="000D044D">
            <w:pPr>
              <w:rPr>
                <w:rFonts w:ascii="Century" w:hAnsi="Century"/>
                <w:b/>
                <w:color w:val="000080"/>
                <w:sz w:val="20"/>
                <w:szCs w:val="20"/>
                <w:highlight w:val="yellow"/>
              </w:rPr>
            </w:pPr>
          </w:p>
        </w:tc>
      </w:tr>
      <w:tr w:rsidR="00C85053" w:rsidRPr="00B10D90" w:rsidTr="00441D50">
        <w:trPr>
          <w:gridAfter w:val="2"/>
          <w:wAfter w:w="38" w:type="dxa"/>
        </w:trPr>
        <w:tc>
          <w:tcPr>
            <w:tcW w:w="4817" w:type="dxa"/>
            <w:gridSpan w:val="2"/>
          </w:tcPr>
          <w:p w:rsidR="00C85053" w:rsidRPr="00253D94" w:rsidRDefault="00CD53DB" w:rsidP="00056033">
            <w:pPr>
              <w:jc w:val="center"/>
              <w:rPr>
                <w:rFonts w:ascii="Century" w:hAnsi="Century"/>
                <w:b/>
                <w:color w:val="000080"/>
                <w:sz w:val="20"/>
                <w:szCs w:val="20"/>
              </w:rPr>
            </w:pPr>
            <w:r w:rsidRPr="00253D94">
              <w:rPr>
                <w:rFonts w:ascii="Century" w:hAnsi="Century"/>
                <w:b/>
                <w:color w:val="000080"/>
                <w:sz w:val="20"/>
                <w:szCs w:val="20"/>
              </w:rPr>
              <w:t>Grafik 1.</w:t>
            </w:r>
            <w:r w:rsidR="005D0DBF" w:rsidRPr="00253D94">
              <w:rPr>
                <w:rFonts w:ascii="Century" w:hAnsi="Century"/>
                <w:b/>
                <w:color w:val="000080"/>
                <w:sz w:val="20"/>
                <w:szCs w:val="20"/>
              </w:rPr>
              <w:t>3</w:t>
            </w:r>
            <w:r w:rsidRPr="00253D94">
              <w:rPr>
                <w:rFonts w:ascii="Century" w:hAnsi="Century"/>
                <w:b/>
                <w:color w:val="000080"/>
                <w:sz w:val="20"/>
                <w:szCs w:val="20"/>
              </w:rPr>
              <w:t>.1</w:t>
            </w:r>
            <w:r w:rsidR="00C85053" w:rsidRPr="00253D94">
              <w:rPr>
                <w:rFonts w:ascii="Century" w:hAnsi="Century"/>
                <w:b/>
                <w:color w:val="000080"/>
                <w:sz w:val="20"/>
                <w:szCs w:val="20"/>
              </w:rPr>
              <w:t xml:space="preserve">: </w:t>
            </w:r>
            <w:r w:rsidR="00DE2671" w:rsidRPr="00253D94">
              <w:rPr>
                <w:rFonts w:ascii="Century" w:hAnsi="Century"/>
                <w:b/>
                <w:color w:val="000080"/>
                <w:sz w:val="20"/>
                <w:szCs w:val="20"/>
              </w:rPr>
              <w:t xml:space="preserve">Direkt </w:t>
            </w:r>
            <w:r w:rsidR="00C85053" w:rsidRPr="00253D94">
              <w:rPr>
                <w:rFonts w:ascii="Century" w:hAnsi="Century"/>
                <w:b/>
                <w:color w:val="000080"/>
                <w:sz w:val="20"/>
                <w:szCs w:val="20"/>
              </w:rPr>
              <w:t xml:space="preserve">Prim </w:t>
            </w:r>
            <w:r w:rsidR="00DE2671" w:rsidRPr="00253D94">
              <w:rPr>
                <w:rFonts w:ascii="Century" w:hAnsi="Century"/>
                <w:b/>
                <w:color w:val="000080"/>
                <w:sz w:val="20"/>
                <w:szCs w:val="20"/>
              </w:rPr>
              <w:t xml:space="preserve">Reel </w:t>
            </w:r>
            <w:r w:rsidR="00C85053" w:rsidRPr="00253D94">
              <w:rPr>
                <w:rFonts w:ascii="Century" w:hAnsi="Century"/>
                <w:b/>
                <w:color w:val="000080"/>
                <w:sz w:val="20"/>
                <w:szCs w:val="20"/>
              </w:rPr>
              <w:t>Artış Oranları</w:t>
            </w:r>
          </w:p>
          <w:p w:rsidR="00C85053" w:rsidRPr="00253D94" w:rsidRDefault="00C85053" w:rsidP="00056033">
            <w:pPr>
              <w:jc w:val="center"/>
              <w:rPr>
                <w:rFonts w:ascii="Century" w:hAnsi="Century"/>
                <w:color w:val="999999"/>
                <w:sz w:val="20"/>
                <w:szCs w:val="20"/>
              </w:rPr>
            </w:pPr>
            <w:r w:rsidRPr="00253D94">
              <w:rPr>
                <w:rFonts w:ascii="Century" w:hAnsi="Century"/>
                <w:i/>
                <w:color w:val="000080"/>
                <w:sz w:val="20"/>
                <w:szCs w:val="20"/>
              </w:rPr>
              <w:t xml:space="preserve">Real Growth Rates of </w:t>
            </w:r>
            <w:r w:rsidR="00DE2671" w:rsidRPr="00253D94">
              <w:rPr>
                <w:rFonts w:ascii="Century" w:hAnsi="Century"/>
                <w:i/>
                <w:color w:val="000080"/>
                <w:sz w:val="20"/>
                <w:szCs w:val="20"/>
              </w:rPr>
              <w:t xml:space="preserve">Direct </w:t>
            </w:r>
            <w:r w:rsidR="009B0CF9" w:rsidRPr="00253D94">
              <w:rPr>
                <w:rFonts w:ascii="Century" w:hAnsi="Century"/>
                <w:i/>
                <w:color w:val="000080"/>
                <w:sz w:val="20"/>
                <w:szCs w:val="20"/>
              </w:rPr>
              <w:t xml:space="preserve">Gross </w:t>
            </w:r>
            <w:r w:rsidRPr="00253D94">
              <w:rPr>
                <w:rFonts w:ascii="Century" w:hAnsi="Century"/>
                <w:i/>
                <w:color w:val="000080"/>
                <w:sz w:val="20"/>
                <w:szCs w:val="20"/>
              </w:rPr>
              <w:t>Premium</w:t>
            </w:r>
          </w:p>
          <w:p w:rsidR="00C85053" w:rsidRPr="00253D94" w:rsidRDefault="00C85053" w:rsidP="00056033">
            <w:pPr>
              <w:jc w:val="center"/>
              <w:rPr>
                <w:rFonts w:ascii="Century" w:hAnsi="Century"/>
                <w:i/>
                <w:color w:val="002060"/>
                <w:sz w:val="20"/>
                <w:szCs w:val="20"/>
              </w:rPr>
            </w:pPr>
            <w:r w:rsidRPr="00253D94">
              <w:rPr>
                <w:rFonts w:ascii="Century" w:hAnsi="Century"/>
                <w:b/>
                <w:color w:val="002060"/>
                <w:sz w:val="20"/>
                <w:szCs w:val="20"/>
              </w:rPr>
              <w:t xml:space="preserve">Hayat Dışı – </w:t>
            </w:r>
            <w:r w:rsidRPr="00253D94">
              <w:rPr>
                <w:rFonts w:ascii="Century" w:hAnsi="Century"/>
                <w:i/>
                <w:color w:val="002060"/>
                <w:sz w:val="20"/>
                <w:szCs w:val="20"/>
              </w:rPr>
              <w:t xml:space="preserve">Non-Life </w:t>
            </w:r>
            <w:r w:rsidR="009B0CF9" w:rsidRPr="00253D94">
              <w:rPr>
                <w:rFonts w:ascii="Century" w:hAnsi="Century"/>
                <w:i/>
                <w:color w:val="002060"/>
                <w:sz w:val="20"/>
                <w:szCs w:val="20"/>
              </w:rPr>
              <w:t>Insurance</w:t>
            </w:r>
          </w:p>
          <w:p w:rsidR="00C85053" w:rsidRPr="00253D94" w:rsidRDefault="00AA446F" w:rsidP="00056033">
            <w:pPr>
              <w:jc w:val="both"/>
              <w:rPr>
                <w:rFonts w:ascii="Century" w:hAnsi="Century"/>
                <w:sz w:val="22"/>
                <w:szCs w:val="22"/>
              </w:rPr>
            </w:pPr>
            <w:r>
              <w:rPr>
                <w:rFonts w:ascii="Century" w:hAnsi="Century"/>
                <w:noProof/>
                <w:sz w:val="22"/>
                <w:szCs w:val="22"/>
              </w:rPr>
              <w:drawing>
                <wp:inline distT="0" distB="0" distL="0" distR="0" wp14:anchorId="6AF533D0" wp14:editId="5BD1A234">
                  <wp:extent cx="2913797" cy="1937982"/>
                  <wp:effectExtent l="0" t="0" r="127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3797" cy="1937982"/>
                          </a:xfrm>
                          <a:prstGeom prst="rect">
                            <a:avLst/>
                          </a:prstGeom>
                          <a:noFill/>
                          <a:ln>
                            <a:noFill/>
                          </a:ln>
                        </pic:spPr>
                      </pic:pic>
                    </a:graphicData>
                  </a:graphic>
                </wp:inline>
              </w:drawing>
            </w:r>
          </w:p>
        </w:tc>
        <w:tc>
          <w:tcPr>
            <w:tcW w:w="318" w:type="dxa"/>
            <w:gridSpan w:val="7"/>
          </w:tcPr>
          <w:p w:rsidR="00C85053" w:rsidRPr="00253D94" w:rsidRDefault="00C85053" w:rsidP="008D17FE">
            <w:pPr>
              <w:rPr>
                <w:rFonts w:ascii="Century" w:hAnsi="Century"/>
                <w:sz w:val="22"/>
                <w:szCs w:val="22"/>
              </w:rPr>
            </w:pPr>
          </w:p>
        </w:tc>
        <w:tc>
          <w:tcPr>
            <w:tcW w:w="4685" w:type="dxa"/>
            <w:gridSpan w:val="5"/>
          </w:tcPr>
          <w:p w:rsidR="00C85053" w:rsidRPr="00253D94" w:rsidRDefault="00CD53DB" w:rsidP="00056033">
            <w:pPr>
              <w:jc w:val="center"/>
              <w:rPr>
                <w:rFonts w:ascii="Century" w:hAnsi="Century"/>
                <w:b/>
                <w:color w:val="000080"/>
                <w:sz w:val="20"/>
                <w:szCs w:val="20"/>
              </w:rPr>
            </w:pPr>
            <w:r w:rsidRPr="00253D94">
              <w:rPr>
                <w:rFonts w:ascii="Century" w:hAnsi="Century"/>
                <w:b/>
                <w:color w:val="000080"/>
                <w:sz w:val="20"/>
                <w:szCs w:val="20"/>
              </w:rPr>
              <w:t>Grafik 1.</w:t>
            </w:r>
            <w:r w:rsidR="005D0DBF" w:rsidRPr="00253D94">
              <w:rPr>
                <w:rFonts w:ascii="Century" w:hAnsi="Century"/>
                <w:b/>
                <w:color w:val="000080"/>
                <w:sz w:val="20"/>
                <w:szCs w:val="20"/>
              </w:rPr>
              <w:t>3</w:t>
            </w:r>
            <w:r w:rsidR="00CA1524" w:rsidRPr="00253D94">
              <w:rPr>
                <w:rFonts w:ascii="Century" w:hAnsi="Century"/>
                <w:b/>
                <w:color w:val="000080"/>
                <w:sz w:val="20"/>
                <w:szCs w:val="20"/>
              </w:rPr>
              <w:t>.1</w:t>
            </w:r>
            <w:r w:rsidR="00C85053" w:rsidRPr="00253D94">
              <w:rPr>
                <w:rFonts w:ascii="Century" w:hAnsi="Century"/>
                <w:b/>
                <w:color w:val="000080"/>
                <w:sz w:val="20"/>
                <w:szCs w:val="20"/>
              </w:rPr>
              <w:t xml:space="preserve">: </w:t>
            </w:r>
            <w:r w:rsidR="00DE2671" w:rsidRPr="00253D94">
              <w:rPr>
                <w:rFonts w:ascii="Century" w:hAnsi="Century"/>
                <w:b/>
                <w:color w:val="000080"/>
                <w:sz w:val="20"/>
                <w:szCs w:val="20"/>
              </w:rPr>
              <w:t xml:space="preserve">Direkt Prim </w:t>
            </w:r>
            <w:r w:rsidR="00C85053" w:rsidRPr="00253D94">
              <w:rPr>
                <w:rFonts w:ascii="Century" w:hAnsi="Century"/>
                <w:b/>
                <w:color w:val="000080"/>
                <w:sz w:val="20"/>
                <w:szCs w:val="20"/>
              </w:rPr>
              <w:t xml:space="preserve">Reel </w:t>
            </w:r>
            <w:r w:rsidR="00DE2671" w:rsidRPr="00253D94">
              <w:rPr>
                <w:rFonts w:ascii="Century" w:hAnsi="Century"/>
                <w:b/>
                <w:color w:val="000080"/>
                <w:sz w:val="20"/>
                <w:szCs w:val="20"/>
              </w:rPr>
              <w:t>A</w:t>
            </w:r>
            <w:r w:rsidR="00C85053" w:rsidRPr="00253D94">
              <w:rPr>
                <w:rFonts w:ascii="Century" w:hAnsi="Century"/>
                <w:b/>
                <w:color w:val="000080"/>
                <w:sz w:val="20"/>
                <w:szCs w:val="20"/>
              </w:rPr>
              <w:t>rtış Oranları</w:t>
            </w:r>
          </w:p>
          <w:p w:rsidR="00C85053" w:rsidRPr="00253D94" w:rsidRDefault="00C85053" w:rsidP="00056033">
            <w:pPr>
              <w:jc w:val="center"/>
              <w:rPr>
                <w:rFonts w:ascii="Century" w:hAnsi="Century"/>
                <w:color w:val="000080"/>
                <w:sz w:val="20"/>
                <w:szCs w:val="20"/>
              </w:rPr>
            </w:pPr>
            <w:r w:rsidRPr="00253D94">
              <w:rPr>
                <w:rFonts w:ascii="Century" w:hAnsi="Century"/>
                <w:i/>
                <w:color w:val="000080"/>
                <w:sz w:val="20"/>
                <w:szCs w:val="20"/>
              </w:rPr>
              <w:t>Real Growth Rates of</w:t>
            </w:r>
            <w:r w:rsidR="00DE2671" w:rsidRPr="00253D94">
              <w:rPr>
                <w:rFonts w:ascii="Century" w:hAnsi="Century"/>
                <w:i/>
                <w:color w:val="000080"/>
                <w:sz w:val="20"/>
                <w:szCs w:val="20"/>
              </w:rPr>
              <w:t xml:space="preserve"> Direct</w:t>
            </w:r>
            <w:r w:rsidRPr="00253D94">
              <w:rPr>
                <w:rFonts w:ascii="Century" w:hAnsi="Century"/>
                <w:i/>
                <w:color w:val="000080"/>
                <w:sz w:val="20"/>
                <w:szCs w:val="20"/>
              </w:rPr>
              <w:t xml:space="preserve"> </w:t>
            </w:r>
            <w:r w:rsidR="009B0CF9" w:rsidRPr="00253D94">
              <w:rPr>
                <w:rFonts w:ascii="Century" w:hAnsi="Century"/>
                <w:i/>
                <w:color w:val="000080"/>
                <w:sz w:val="20"/>
                <w:szCs w:val="20"/>
              </w:rPr>
              <w:t xml:space="preserve">Gross </w:t>
            </w:r>
            <w:r w:rsidRPr="00253D94">
              <w:rPr>
                <w:rFonts w:ascii="Century" w:hAnsi="Century"/>
                <w:i/>
                <w:color w:val="000080"/>
                <w:sz w:val="20"/>
                <w:szCs w:val="20"/>
              </w:rPr>
              <w:t>Premium</w:t>
            </w:r>
          </w:p>
          <w:p w:rsidR="00C85053" w:rsidRPr="00253D94" w:rsidRDefault="00C85053" w:rsidP="00056033">
            <w:pPr>
              <w:jc w:val="center"/>
              <w:rPr>
                <w:rFonts w:ascii="Century" w:hAnsi="Century"/>
                <w:i/>
                <w:color w:val="002060"/>
                <w:sz w:val="20"/>
                <w:szCs w:val="20"/>
              </w:rPr>
            </w:pPr>
            <w:r w:rsidRPr="00253D94">
              <w:rPr>
                <w:rFonts w:ascii="Century" w:hAnsi="Century"/>
                <w:b/>
                <w:color w:val="002060"/>
                <w:sz w:val="20"/>
                <w:szCs w:val="20"/>
              </w:rPr>
              <w:t xml:space="preserve">Hayat – </w:t>
            </w:r>
            <w:r w:rsidRPr="00253D94">
              <w:rPr>
                <w:rFonts w:ascii="Century" w:hAnsi="Century"/>
                <w:i/>
                <w:color w:val="002060"/>
                <w:sz w:val="20"/>
                <w:szCs w:val="20"/>
              </w:rPr>
              <w:t xml:space="preserve">Life </w:t>
            </w:r>
            <w:r w:rsidR="009B0CF9" w:rsidRPr="00253D94">
              <w:rPr>
                <w:rFonts w:ascii="Century" w:hAnsi="Century"/>
                <w:i/>
                <w:color w:val="002060"/>
                <w:sz w:val="20"/>
                <w:szCs w:val="20"/>
              </w:rPr>
              <w:t>Insurance</w:t>
            </w:r>
          </w:p>
          <w:p w:rsidR="00C85053" w:rsidRPr="00253D94" w:rsidRDefault="00874014" w:rsidP="00056033">
            <w:pPr>
              <w:jc w:val="both"/>
              <w:rPr>
                <w:rFonts w:ascii="Century" w:hAnsi="Century" w:cs="Arial"/>
                <w:color w:val="333333"/>
                <w:sz w:val="22"/>
                <w:szCs w:val="22"/>
              </w:rPr>
            </w:pPr>
            <w:r>
              <w:rPr>
                <w:rFonts w:ascii="Century" w:hAnsi="Century" w:cs="Arial"/>
                <w:noProof/>
                <w:color w:val="333333"/>
                <w:sz w:val="22"/>
                <w:szCs w:val="22"/>
              </w:rPr>
              <w:drawing>
                <wp:inline distT="0" distB="0" distL="0" distR="0" wp14:anchorId="5B2F2CAC" wp14:editId="3BD1B473">
                  <wp:extent cx="3002507" cy="1835624"/>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2207" cy="1835441"/>
                          </a:xfrm>
                          <a:prstGeom prst="rect">
                            <a:avLst/>
                          </a:prstGeom>
                          <a:noFill/>
                          <a:ln>
                            <a:noFill/>
                          </a:ln>
                        </pic:spPr>
                      </pic:pic>
                    </a:graphicData>
                  </a:graphic>
                </wp:inline>
              </w:drawing>
            </w:r>
          </w:p>
        </w:tc>
      </w:tr>
      <w:tr w:rsidR="00C85053" w:rsidRPr="00B10D90" w:rsidTr="00441D50">
        <w:trPr>
          <w:gridAfter w:val="2"/>
          <w:wAfter w:w="38" w:type="dxa"/>
        </w:trPr>
        <w:tc>
          <w:tcPr>
            <w:tcW w:w="4817" w:type="dxa"/>
            <w:gridSpan w:val="2"/>
          </w:tcPr>
          <w:p w:rsidR="00507D32" w:rsidRPr="00040AD8" w:rsidRDefault="000C5CC9" w:rsidP="00A0570B">
            <w:pPr>
              <w:jc w:val="both"/>
              <w:rPr>
                <w:rFonts w:ascii="Century" w:hAnsi="Century"/>
                <w:sz w:val="22"/>
                <w:szCs w:val="22"/>
                <w:lang w:eastAsia="tr-TR"/>
              </w:rPr>
            </w:pPr>
            <w:r w:rsidRPr="00040AD8">
              <w:rPr>
                <w:rFonts w:ascii="Century" w:hAnsi="Century"/>
                <w:sz w:val="22"/>
                <w:szCs w:val="22"/>
                <w:lang w:eastAsia="tr-TR"/>
              </w:rPr>
              <w:lastRenderedPageBreak/>
              <w:t xml:space="preserve">Dünya toplam prim üretiminde </w:t>
            </w:r>
            <w:r w:rsidR="00A0570B" w:rsidRPr="00040AD8">
              <w:rPr>
                <w:rFonts w:ascii="Century" w:hAnsi="Century"/>
                <w:sz w:val="22"/>
                <w:szCs w:val="22"/>
                <w:lang w:eastAsia="tr-TR"/>
              </w:rPr>
              <w:t>201</w:t>
            </w:r>
            <w:r w:rsidR="00040AD8" w:rsidRPr="00040AD8">
              <w:rPr>
                <w:rFonts w:ascii="Century" w:hAnsi="Century"/>
                <w:sz w:val="22"/>
                <w:szCs w:val="22"/>
                <w:lang w:eastAsia="tr-TR"/>
              </w:rPr>
              <w:t>8</w:t>
            </w:r>
            <w:r w:rsidR="00A0570B" w:rsidRPr="00040AD8">
              <w:rPr>
                <w:rFonts w:ascii="Century" w:hAnsi="Century"/>
                <w:sz w:val="22"/>
                <w:szCs w:val="22"/>
                <w:lang w:eastAsia="tr-TR"/>
              </w:rPr>
              <w:t xml:space="preserve"> yılında </w:t>
            </w:r>
            <w:r w:rsidR="005274E8" w:rsidRPr="00040AD8">
              <w:rPr>
                <w:rFonts w:ascii="Century" w:hAnsi="Century"/>
                <w:sz w:val="22"/>
                <w:szCs w:val="22"/>
                <w:lang w:eastAsia="tr-TR"/>
              </w:rPr>
              <w:t>geliş</w:t>
            </w:r>
            <w:r w:rsidR="00813B2F" w:rsidRPr="00040AD8">
              <w:rPr>
                <w:rFonts w:ascii="Century" w:hAnsi="Century"/>
                <w:sz w:val="22"/>
                <w:szCs w:val="22"/>
                <w:lang w:eastAsia="tr-TR"/>
              </w:rPr>
              <w:t xml:space="preserve">miş </w:t>
            </w:r>
            <w:r w:rsidR="005274E8" w:rsidRPr="00040AD8">
              <w:rPr>
                <w:rFonts w:ascii="Century" w:hAnsi="Century"/>
                <w:sz w:val="22"/>
                <w:szCs w:val="22"/>
                <w:lang w:eastAsia="tr-TR"/>
              </w:rPr>
              <w:t>piyasalar</w:t>
            </w:r>
            <w:r w:rsidR="00813B2F" w:rsidRPr="00040AD8">
              <w:rPr>
                <w:rFonts w:ascii="Century" w:hAnsi="Century"/>
                <w:sz w:val="22"/>
                <w:szCs w:val="22"/>
                <w:lang w:eastAsia="tr-TR"/>
              </w:rPr>
              <w:t xml:space="preserve"> %</w:t>
            </w:r>
            <w:r w:rsidR="00040AD8" w:rsidRPr="00040AD8">
              <w:rPr>
                <w:rFonts w:ascii="Century" w:hAnsi="Century"/>
                <w:sz w:val="22"/>
                <w:szCs w:val="22"/>
                <w:lang w:eastAsia="tr-TR"/>
              </w:rPr>
              <w:t>79</w:t>
            </w:r>
            <w:r w:rsidR="00A0570B" w:rsidRPr="00040AD8">
              <w:rPr>
                <w:rFonts w:ascii="Century" w:hAnsi="Century"/>
                <w:sz w:val="22"/>
                <w:szCs w:val="22"/>
                <w:lang w:eastAsia="tr-TR"/>
              </w:rPr>
              <w:t xml:space="preserve">, </w:t>
            </w:r>
            <w:r w:rsidR="00813B2F" w:rsidRPr="00040AD8">
              <w:rPr>
                <w:rFonts w:ascii="Century" w:hAnsi="Century"/>
                <w:sz w:val="22"/>
                <w:szCs w:val="22"/>
                <w:lang w:eastAsia="tr-TR"/>
              </w:rPr>
              <w:t xml:space="preserve">gelişmekte olan </w:t>
            </w:r>
            <w:r w:rsidR="005274E8" w:rsidRPr="00040AD8">
              <w:rPr>
                <w:rFonts w:ascii="Century" w:hAnsi="Century"/>
                <w:sz w:val="22"/>
                <w:szCs w:val="22"/>
                <w:lang w:eastAsia="tr-TR"/>
              </w:rPr>
              <w:t>piyasala</w:t>
            </w:r>
            <w:r w:rsidR="00813B2F" w:rsidRPr="00040AD8">
              <w:rPr>
                <w:rFonts w:ascii="Century" w:hAnsi="Century"/>
                <w:sz w:val="22"/>
                <w:szCs w:val="22"/>
                <w:lang w:eastAsia="tr-TR"/>
              </w:rPr>
              <w:t>r ise %</w:t>
            </w:r>
            <w:r w:rsidR="009D1FBD" w:rsidRPr="00040AD8">
              <w:rPr>
                <w:rFonts w:ascii="Century" w:hAnsi="Century"/>
                <w:sz w:val="22"/>
                <w:szCs w:val="22"/>
                <w:lang w:eastAsia="tr-TR"/>
              </w:rPr>
              <w:t>2</w:t>
            </w:r>
            <w:r w:rsidR="00040AD8" w:rsidRPr="00040AD8">
              <w:rPr>
                <w:rFonts w:ascii="Century" w:hAnsi="Century"/>
                <w:sz w:val="22"/>
                <w:szCs w:val="22"/>
                <w:lang w:eastAsia="tr-TR"/>
              </w:rPr>
              <w:t>1</w:t>
            </w:r>
            <w:r w:rsidR="00A0570B" w:rsidRPr="00040AD8">
              <w:rPr>
                <w:rFonts w:ascii="Century" w:hAnsi="Century"/>
                <w:sz w:val="22"/>
                <w:szCs w:val="22"/>
                <w:lang w:eastAsia="tr-TR"/>
              </w:rPr>
              <w:t xml:space="preserve"> oranında bir paya sahip</w:t>
            </w:r>
            <w:r w:rsidRPr="00040AD8">
              <w:rPr>
                <w:rFonts w:ascii="Century" w:hAnsi="Century"/>
                <w:sz w:val="22"/>
                <w:szCs w:val="22"/>
                <w:lang w:eastAsia="tr-TR"/>
              </w:rPr>
              <w:t>tir.</w:t>
            </w:r>
            <w:r w:rsidR="00A0570B" w:rsidRPr="00040AD8">
              <w:rPr>
                <w:rFonts w:ascii="Century" w:hAnsi="Century"/>
                <w:sz w:val="22"/>
                <w:szCs w:val="22"/>
                <w:lang w:eastAsia="tr-TR"/>
              </w:rPr>
              <w:t xml:space="preserve"> </w:t>
            </w:r>
            <w:r w:rsidR="00AD7C08" w:rsidRPr="00040AD8">
              <w:rPr>
                <w:rFonts w:ascii="Century" w:hAnsi="Century"/>
                <w:sz w:val="22"/>
                <w:szCs w:val="22"/>
                <w:lang w:eastAsia="tr-TR"/>
              </w:rPr>
              <w:t xml:space="preserve">Ancak, </w:t>
            </w:r>
            <w:r w:rsidR="00093B6B" w:rsidRPr="00040AD8">
              <w:rPr>
                <w:rFonts w:ascii="Century" w:hAnsi="Century"/>
                <w:sz w:val="22"/>
                <w:szCs w:val="22"/>
                <w:lang w:eastAsia="tr-TR"/>
              </w:rPr>
              <w:t xml:space="preserve">prim artış oranı daha yüksek olduğundan </w:t>
            </w:r>
            <w:r w:rsidR="00AD7C08" w:rsidRPr="00040AD8">
              <w:rPr>
                <w:rFonts w:ascii="Century" w:hAnsi="Century"/>
                <w:sz w:val="22"/>
                <w:szCs w:val="22"/>
                <w:lang w:eastAsia="tr-TR"/>
              </w:rPr>
              <w:t>g</w:t>
            </w:r>
            <w:r w:rsidR="00A0570B" w:rsidRPr="00040AD8">
              <w:rPr>
                <w:rFonts w:ascii="Century" w:hAnsi="Century"/>
                <w:sz w:val="22"/>
                <w:szCs w:val="22"/>
                <w:lang w:eastAsia="tr-TR"/>
              </w:rPr>
              <w:t>elişmek</w:t>
            </w:r>
            <w:r w:rsidRPr="00040AD8">
              <w:rPr>
                <w:rFonts w:ascii="Century" w:hAnsi="Century"/>
                <w:sz w:val="22"/>
                <w:szCs w:val="22"/>
                <w:lang w:eastAsia="tr-TR"/>
              </w:rPr>
              <w:t xml:space="preserve">te olan </w:t>
            </w:r>
            <w:r w:rsidR="006A46D6" w:rsidRPr="00040AD8">
              <w:rPr>
                <w:rFonts w:ascii="Century" w:hAnsi="Century"/>
                <w:sz w:val="22"/>
                <w:szCs w:val="22"/>
                <w:lang w:eastAsia="tr-TR"/>
              </w:rPr>
              <w:t>piyasalar</w:t>
            </w:r>
            <w:r w:rsidR="006C5E18" w:rsidRPr="00040AD8">
              <w:rPr>
                <w:rFonts w:ascii="Century" w:hAnsi="Century"/>
                <w:sz w:val="22"/>
                <w:szCs w:val="22"/>
                <w:lang w:eastAsia="tr-TR"/>
              </w:rPr>
              <w:t xml:space="preserve">ın </w:t>
            </w:r>
            <w:r w:rsidRPr="00040AD8">
              <w:rPr>
                <w:rFonts w:ascii="Century" w:hAnsi="Century"/>
                <w:sz w:val="22"/>
                <w:szCs w:val="22"/>
                <w:lang w:eastAsia="tr-TR"/>
              </w:rPr>
              <w:t xml:space="preserve">toplam </w:t>
            </w:r>
            <w:r w:rsidR="00A67EE8" w:rsidRPr="00040AD8">
              <w:rPr>
                <w:rFonts w:ascii="Century" w:hAnsi="Century"/>
                <w:sz w:val="22"/>
                <w:szCs w:val="22"/>
                <w:lang w:eastAsia="tr-TR"/>
              </w:rPr>
              <w:t>üretim</w:t>
            </w:r>
            <w:r w:rsidRPr="00040AD8">
              <w:rPr>
                <w:rFonts w:ascii="Century" w:hAnsi="Century"/>
                <w:sz w:val="22"/>
                <w:szCs w:val="22"/>
                <w:lang w:eastAsia="tr-TR"/>
              </w:rPr>
              <w:t>de</w:t>
            </w:r>
            <w:r w:rsidR="00A67EE8" w:rsidRPr="00040AD8">
              <w:rPr>
                <w:rFonts w:ascii="Century" w:hAnsi="Century"/>
                <w:sz w:val="22"/>
                <w:szCs w:val="22"/>
                <w:lang w:eastAsia="tr-TR"/>
              </w:rPr>
              <w:t>ki pay</w:t>
            </w:r>
            <w:r w:rsidR="006C5E18" w:rsidRPr="00040AD8">
              <w:rPr>
                <w:rFonts w:ascii="Century" w:hAnsi="Century"/>
                <w:sz w:val="22"/>
                <w:szCs w:val="22"/>
                <w:lang w:eastAsia="tr-TR"/>
              </w:rPr>
              <w:t xml:space="preserve">ı </w:t>
            </w:r>
            <w:r w:rsidR="00A67EE8" w:rsidRPr="00040AD8">
              <w:rPr>
                <w:rFonts w:ascii="Century" w:hAnsi="Century"/>
                <w:sz w:val="22"/>
                <w:szCs w:val="22"/>
                <w:lang w:eastAsia="tr-TR"/>
              </w:rPr>
              <w:t xml:space="preserve">yıllar </w:t>
            </w:r>
            <w:r w:rsidR="00354E2E" w:rsidRPr="00040AD8">
              <w:rPr>
                <w:rFonts w:ascii="Century" w:hAnsi="Century"/>
                <w:sz w:val="22"/>
                <w:szCs w:val="22"/>
                <w:lang w:eastAsia="tr-TR"/>
              </w:rPr>
              <w:t xml:space="preserve">itibarıyla </w:t>
            </w:r>
            <w:r w:rsidRPr="00040AD8">
              <w:rPr>
                <w:rFonts w:ascii="Century" w:hAnsi="Century"/>
                <w:sz w:val="22"/>
                <w:szCs w:val="22"/>
                <w:lang w:eastAsia="tr-TR"/>
              </w:rPr>
              <w:t xml:space="preserve">artmaktadır. </w:t>
            </w:r>
            <w:r w:rsidR="00AD7C08" w:rsidRPr="00040AD8">
              <w:rPr>
                <w:rFonts w:ascii="Century" w:hAnsi="Century"/>
                <w:sz w:val="22"/>
                <w:szCs w:val="22"/>
                <w:lang w:eastAsia="tr-TR"/>
              </w:rPr>
              <w:t>2009 yılında %13 olan g</w:t>
            </w:r>
            <w:r w:rsidR="00A67EE8" w:rsidRPr="00040AD8">
              <w:rPr>
                <w:rFonts w:ascii="Century" w:hAnsi="Century"/>
                <w:sz w:val="22"/>
                <w:szCs w:val="22"/>
                <w:lang w:eastAsia="tr-TR"/>
              </w:rPr>
              <w:t xml:space="preserve">elişmekte olan </w:t>
            </w:r>
            <w:r w:rsidR="005274E8" w:rsidRPr="00040AD8">
              <w:rPr>
                <w:rFonts w:ascii="Century" w:hAnsi="Century"/>
                <w:sz w:val="22"/>
                <w:szCs w:val="22"/>
                <w:lang w:eastAsia="tr-TR"/>
              </w:rPr>
              <w:t>piyasaları</w:t>
            </w:r>
            <w:r w:rsidR="00A67EE8" w:rsidRPr="00040AD8">
              <w:rPr>
                <w:rFonts w:ascii="Century" w:hAnsi="Century"/>
                <w:sz w:val="22"/>
                <w:szCs w:val="22"/>
                <w:lang w:eastAsia="tr-TR"/>
              </w:rPr>
              <w:t xml:space="preserve">n </w:t>
            </w:r>
            <w:r w:rsidR="006C5E18" w:rsidRPr="00040AD8">
              <w:rPr>
                <w:rFonts w:ascii="Century" w:hAnsi="Century"/>
                <w:sz w:val="22"/>
                <w:szCs w:val="22"/>
                <w:lang w:eastAsia="tr-TR"/>
              </w:rPr>
              <w:t xml:space="preserve">global prim üretimindeki </w:t>
            </w:r>
            <w:r w:rsidR="005076EA" w:rsidRPr="00040AD8">
              <w:rPr>
                <w:rFonts w:ascii="Century" w:hAnsi="Century"/>
                <w:sz w:val="22"/>
                <w:szCs w:val="22"/>
                <w:lang w:eastAsia="tr-TR"/>
              </w:rPr>
              <w:t>payı 201</w:t>
            </w:r>
            <w:r w:rsidR="00040AD8" w:rsidRPr="00040AD8">
              <w:rPr>
                <w:rFonts w:ascii="Century" w:hAnsi="Century"/>
                <w:sz w:val="22"/>
                <w:szCs w:val="22"/>
                <w:lang w:eastAsia="tr-TR"/>
              </w:rPr>
              <w:t>8</w:t>
            </w:r>
            <w:r w:rsidR="00D74E16" w:rsidRPr="00040AD8">
              <w:rPr>
                <w:rFonts w:ascii="Century" w:hAnsi="Century"/>
                <w:sz w:val="22"/>
                <w:szCs w:val="22"/>
                <w:lang w:eastAsia="tr-TR"/>
              </w:rPr>
              <w:t xml:space="preserve"> yılı</w:t>
            </w:r>
            <w:r w:rsidR="00AD7C08" w:rsidRPr="00040AD8">
              <w:rPr>
                <w:rFonts w:ascii="Century" w:hAnsi="Century"/>
                <w:sz w:val="22"/>
                <w:szCs w:val="22"/>
                <w:lang w:eastAsia="tr-TR"/>
              </w:rPr>
              <w:t xml:space="preserve"> sonunda </w:t>
            </w:r>
            <w:r w:rsidR="009D1FBD" w:rsidRPr="00040AD8">
              <w:rPr>
                <w:rFonts w:ascii="Century" w:hAnsi="Century"/>
                <w:sz w:val="22"/>
                <w:szCs w:val="22"/>
                <w:lang w:eastAsia="tr-TR"/>
              </w:rPr>
              <w:t>%2</w:t>
            </w:r>
            <w:r w:rsidR="00040AD8" w:rsidRPr="00040AD8">
              <w:rPr>
                <w:rFonts w:ascii="Century" w:hAnsi="Century"/>
                <w:sz w:val="22"/>
                <w:szCs w:val="22"/>
                <w:lang w:eastAsia="tr-TR"/>
              </w:rPr>
              <w:t>1’</w:t>
            </w:r>
            <w:r w:rsidR="005076EA" w:rsidRPr="00040AD8">
              <w:rPr>
                <w:rFonts w:ascii="Century" w:hAnsi="Century"/>
                <w:sz w:val="22"/>
                <w:szCs w:val="22"/>
                <w:lang w:eastAsia="tr-TR"/>
              </w:rPr>
              <w:t>e</w:t>
            </w:r>
            <w:r w:rsidR="00D74E16" w:rsidRPr="00040AD8">
              <w:rPr>
                <w:rFonts w:ascii="Century" w:hAnsi="Century"/>
                <w:sz w:val="22"/>
                <w:szCs w:val="22"/>
                <w:lang w:eastAsia="tr-TR"/>
              </w:rPr>
              <w:t xml:space="preserve"> </w:t>
            </w:r>
            <w:r w:rsidR="00AD7C08" w:rsidRPr="00040AD8">
              <w:rPr>
                <w:rFonts w:ascii="Century" w:hAnsi="Century"/>
                <w:sz w:val="22"/>
                <w:szCs w:val="22"/>
                <w:lang w:eastAsia="tr-TR"/>
              </w:rPr>
              <w:t xml:space="preserve">ulaşmıştır. </w:t>
            </w:r>
          </w:p>
          <w:p w:rsidR="00A0570B" w:rsidRPr="00A12049" w:rsidRDefault="00A0570B" w:rsidP="00A0570B">
            <w:pPr>
              <w:jc w:val="both"/>
              <w:rPr>
                <w:highlight w:val="yellow"/>
                <w:lang w:eastAsia="tr-TR"/>
              </w:rPr>
            </w:pPr>
          </w:p>
          <w:p w:rsidR="00C85053" w:rsidRPr="00253D94" w:rsidRDefault="00A0570B" w:rsidP="00040AD8">
            <w:pPr>
              <w:jc w:val="both"/>
              <w:rPr>
                <w:rFonts w:ascii="Century" w:hAnsi="Century"/>
                <w:sz w:val="22"/>
                <w:szCs w:val="22"/>
              </w:rPr>
            </w:pPr>
            <w:r w:rsidRPr="00040AD8">
              <w:rPr>
                <w:rFonts w:ascii="Century" w:hAnsi="Century"/>
                <w:sz w:val="22"/>
                <w:szCs w:val="22"/>
                <w:lang w:eastAsia="tr-TR"/>
              </w:rPr>
              <w:t>Aşağıdaki tabloda 201</w:t>
            </w:r>
            <w:r w:rsidR="00040AD8" w:rsidRPr="00040AD8">
              <w:rPr>
                <w:rFonts w:ascii="Century" w:hAnsi="Century"/>
                <w:sz w:val="22"/>
                <w:szCs w:val="22"/>
                <w:lang w:eastAsia="tr-TR"/>
              </w:rPr>
              <w:t>8</w:t>
            </w:r>
            <w:r w:rsidRPr="00040AD8">
              <w:rPr>
                <w:rFonts w:ascii="Century" w:hAnsi="Century"/>
                <w:sz w:val="22"/>
                <w:szCs w:val="22"/>
                <w:lang w:eastAsia="tr-TR"/>
              </w:rPr>
              <w:t xml:space="preserve"> yılında toplam prim üretiminin hayat ve hayat dışı branşlar ile </w:t>
            </w:r>
            <w:r w:rsidR="005274E8" w:rsidRPr="00040AD8">
              <w:rPr>
                <w:rFonts w:ascii="Century" w:hAnsi="Century"/>
                <w:sz w:val="22"/>
                <w:szCs w:val="22"/>
                <w:lang w:eastAsia="tr-TR"/>
              </w:rPr>
              <w:t>kıtalar</w:t>
            </w:r>
            <w:r w:rsidRPr="00040AD8">
              <w:rPr>
                <w:rFonts w:ascii="Century" w:hAnsi="Century"/>
                <w:sz w:val="22"/>
                <w:szCs w:val="22"/>
                <w:lang w:eastAsia="tr-TR"/>
              </w:rPr>
              <w:t xml:space="preserve"> arasında</w:t>
            </w:r>
            <w:r w:rsidR="00ED33B8" w:rsidRPr="00040AD8">
              <w:rPr>
                <w:rFonts w:ascii="Century" w:hAnsi="Century"/>
                <w:sz w:val="22"/>
                <w:szCs w:val="22"/>
                <w:lang w:eastAsia="tr-TR"/>
              </w:rPr>
              <w:t>ki</w:t>
            </w:r>
            <w:r w:rsidRPr="00040AD8">
              <w:rPr>
                <w:rFonts w:ascii="Century" w:hAnsi="Century"/>
                <w:sz w:val="22"/>
                <w:szCs w:val="22"/>
                <w:lang w:eastAsia="tr-TR"/>
              </w:rPr>
              <w:t xml:space="preserve"> dağılımı gösterilmiştir.</w:t>
            </w:r>
          </w:p>
        </w:tc>
        <w:tc>
          <w:tcPr>
            <w:tcW w:w="318" w:type="dxa"/>
            <w:gridSpan w:val="7"/>
          </w:tcPr>
          <w:p w:rsidR="00C85053" w:rsidRPr="00253D94" w:rsidRDefault="00C85053" w:rsidP="008D17FE">
            <w:pPr>
              <w:rPr>
                <w:rFonts w:ascii="Century" w:hAnsi="Century"/>
                <w:sz w:val="22"/>
                <w:szCs w:val="22"/>
              </w:rPr>
            </w:pPr>
          </w:p>
        </w:tc>
        <w:tc>
          <w:tcPr>
            <w:tcW w:w="4685" w:type="dxa"/>
            <w:gridSpan w:val="5"/>
          </w:tcPr>
          <w:p w:rsidR="00484D76" w:rsidRPr="00253D94" w:rsidRDefault="005274E8" w:rsidP="00A0570B">
            <w:pPr>
              <w:jc w:val="both"/>
              <w:rPr>
                <w:rFonts w:ascii="Century" w:hAnsi="Century"/>
                <w:color w:val="333333"/>
                <w:sz w:val="22"/>
                <w:szCs w:val="22"/>
                <w:lang w:eastAsia="tr-TR"/>
              </w:rPr>
            </w:pPr>
            <w:r w:rsidRPr="00253D94">
              <w:rPr>
                <w:rFonts w:ascii="Century" w:hAnsi="Century"/>
                <w:color w:val="333333"/>
                <w:sz w:val="22"/>
                <w:szCs w:val="22"/>
                <w:lang w:eastAsia="tr-TR"/>
              </w:rPr>
              <w:t>Advanced markets</w:t>
            </w:r>
            <w:r w:rsidR="009D1FBD" w:rsidRPr="00253D94">
              <w:rPr>
                <w:rFonts w:ascii="Century" w:hAnsi="Century"/>
                <w:color w:val="333333"/>
                <w:sz w:val="22"/>
                <w:szCs w:val="22"/>
                <w:lang w:eastAsia="tr-TR"/>
              </w:rPr>
              <w:t xml:space="preserve"> generated 7</w:t>
            </w:r>
            <w:r w:rsidR="00040AD8">
              <w:rPr>
                <w:rFonts w:ascii="Century" w:hAnsi="Century"/>
                <w:color w:val="333333"/>
                <w:sz w:val="22"/>
                <w:szCs w:val="22"/>
                <w:lang w:eastAsia="tr-TR"/>
              </w:rPr>
              <w:t>9</w:t>
            </w:r>
            <w:r w:rsidR="00B57179" w:rsidRPr="00253D94">
              <w:rPr>
                <w:rFonts w:ascii="Century" w:hAnsi="Century"/>
                <w:bCs/>
                <w:color w:val="333333"/>
                <w:sz w:val="22"/>
                <w:szCs w:val="22"/>
              </w:rPr>
              <w:t>%</w:t>
            </w:r>
            <w:r w:rsidR="00A0570B" w:rsidRPr="00253D94">
              <w:rPr>
                <w:rFonts w:ascii="Century" w:hAnsi="Century"/>
                <w:color w:val="333333"/>
                <w:sz w:val="22"/>
                <w:szCs w:val="22"/>
                <w:lang w:eastAsia="tr-TR"/>
              </w:rPr>
              <w:t xml:space="preserve"> of </w:t>
            </w:r>
            <w:r w:rsidR="004208A0" w:rsidRPr="00253D94">
              <w:rPr>
                <w:rFonts w:ascii="Century" w:hAnsi="Century"/>
                <w:color w:val="333333"/>
                <w:sz w:val="22"/>
                <w:szCs w:val="22"/>
                <w:lang w:eastAsia="tr-TR"/>
              </w:rPr>
              <w:t xml:space="preserve">the world’s </w:t>
            </w:r>
            <w:r w:rsidR="002977CC" w:rsidRPr="00253D94">
              <w:rPr>
                <w:rFonts w:ascii="Century" w:hAnsi="Century"/>
                <w:color w:val="333333"/>
                <w:sz w:val="22"/>
                <w:szCs w:val="22"/>
                <w:lang w:eastAsia="tr-TR"/>
              </w:rPr>
              <w:t xml:space="preserve">gross </w:t>
            </w:r>
            <w:r w:rsidR="000B4EFD" w:rsidRPr="00253D94">
              <w:rPr>
                <w:rFonts w:ascii="Century" w:hAnsi="Century"/>
                <w:color w:val="333333"/>
                <w:sz w:val="22"/>
                <w:szCs w:val="22"/>
                <w:lang w:eastAsia="tr-TR"/>
              </w:rPr>
              <w:t xml:space="preserve">premium </w:t>
            </w:r>
            <w:r w:rsidR="004208A0" w:rsidRPr="00253D94">
              <w:rPr>
                <w:rFonts w:ascii="Century" w:hAnsi="Century"/>
                <w:color w:val="333333"/>
                <w:sz w:val="22"/>
                <w:szCs w:val="22"/>
                <w:lang w:eastAsia="tr-TR"/>
              </w:rPr>
              <w:t>in 201</w:t>
            </w:r>
            <w:r w:rsidR="00040AD8">
              <w:rPr>
                <w:rFonts w:ascii="Century" w:hAnsi="Century"/>
                <w:color w:val="333333"/>
                <w:sz w:val="22"/>
                <w:szCs w:val="22"/>
                <w:lang w:eastAsia="tr-TR"/>
              </w:rPr>
              <w:t>8</w:t>
            </w:r>
            <w:r w:rsidR="00A0570B" w:rsidRPr="00253D94">
              <w:rPr>
                <w:rFonts w:ascii="Century" w:hAnsi="Century"/>
                <w:color w:val="333333"/>
                <w:sz w:val="22"/>
                <w:szCs w:val="22"/>
                <w:lang w:eastAsia="tr-TR"/>
              </w:rPr>
              <w:t xml:space="preserve"> whereas emerging markets’ sh</w:t>
            </w:r>
            <w:r w:rsidR="004208A0" w:rsidRPr="00253D94">
              <w:rPr>
                <w:rFonts w:ascii="Century" w:hAnsi="Century"/>
                <w:color w:val="333333"/>
                <w:sz w:val="22"/>
                <w:szCs w:val="22"/>
                <w:lang w:eastAsia="tr-TR"/>
              </w:rPr>
              <w:t xml:space="preserve">are </w:t>
            </w:r>
            <w:r w:rsidR="006C5E18" w:rsidRPr="00253D94">
              <w:rPr>
                <w:rFonts w:ascii="Century" w:hAnsi="Century"/>
                <w:color w:val="333333"/>
                <w:sz w:val="22"/>
                <w:szCs w:val="22"/>
                <w:lang w:eastAsia="tr-TR"/>
              </w:rPr>
              <w:t>was</w:t>
            </w:r>
            <w:r w:rsidR="00C81485" w:rsidRPr="00253D94">
              <w:rPr>
                <w:rFonts w:ascii="Century" w:hAnsi="Century"/>
                <w:color w:val="333333"/>
                <w:sz w:val="22"/>
                <w:szCs w:val="22"/>
                <w:lang w:eastAsia="tr-TR"/>
              </w:rPr>
              <w:t xml:space="preserve"> </w:t>
            </w:r>
            <w:r w:rsidR="009D1FBD" w:rsidRPr="00253D94">
              <w:rPr>
                <w:rFonts w:ascii="Century" w:hAnsi="Century"/>
                <w:color w:val="333333"/>
                <w:sz w:val="22"/>
                <w:szCs w:val="22"/>
                <w:lang w:eastAsia="tr-TR"/>
              </w:rPr>
              <w:t>2</w:t>
            </w:r>
            <w:r w:rsidR="00040AD8">
              <w:rPr>
                <w:rFonts w:ascii="Century" w:hAnsi="Century"/>
                <w:color w:val="333333"/>
                <w:sz w:val="22"/>
                <w:szCs w:val="22"/>
                <w:lang w:eastAsia="tr-TR"/>
              </w:rPr>
              <w:t>1</w:t>
            </w:r>
            <w:r w:rsidR="00B57179" w:rsidRPr="00253D94">
              <w:rPr>
                <w:rFonts w:ascii="Century" w:hAnsi="Century"/>
                <w:bCs/>
                <w:color w:val="333333"/>
                <w:sz w:val="22"/>
                <w:szCs w:val="22"/>
              </w:rPr>
              <w:t>%</w:t>
            </w:r>
            <w:r w:rsidR="00A0570B" w:rsidRPr="00253D94">
              <w:rPr>
                <w:rFonts w:ascii="Century" w:hAnsi="Century"/>
                <w:color w:val="333333"/>
                <w:sz w:val="22"/>
                <w:szCs w:val="22"/>
                <w:lang w:eastAsia="tr-TR"/>
              </w:rPr>
              <w:t xml:space="preserve">. </w:t>
            </w:r>
            <w:r w:rsidR="00381E4A" w:rsidRPr="00253D94">
              <w:rPr>
                <w:rFonts w:ascii="Century" w:hAnsi="Century"/>
                <w:color w:val="333333"/>
                <w:sz w:val="22"/>
                <w:szCs w:val="22"/>
                <w:lang w:eastAsia="tr-TR"/>
              </w:rPr>
              <w:t xml:space="preserve">Due to </w:t>
            </w:r>
            <w:r w:rsidR="003D32E9" w:rsidRPr="00253D94">
              <w:rPr>
                <w:rFonts w:ascii="Century" w:hAnsi="Century"/>
                <w:color w:val="333333"/>
                <w:sz w:val="22"/>
                <w:szCs w:val="22"/>
                <w:lang w:eastAsia="tr-TR"/>
              </w:rPr>
              <w:t xml:space="preserve">having </w:t>
            </w:r>
            <w:r w:rsidR="00381E4A" w:rsidRPr="00253D94">
              <w:rPr>
                <w:rFonts w:ascii="Century" w:hAnsi="Century"/>
                <w:color w:val="333333"/>
                <w:sz w:val="22"/>
                <w:szCs w:val="22"/>
                <w:lang w:eastAsia="tr-TR"/>
              </w:rPr>
              <w:t>higher premium growth rate</w:t>
            </w:r>
            <w:r w:rsidR="002E1F5A" w:rsidRPr="00253D94">
              <w:rPr>
                <w:rFonts w:ascii="Century" w:hAnsi="Century"/>
                <w:color w:val="333333"/>
                <w:sz w:val="22"/>
                <w:szCs w:val="22"/>
                <w:lang w:eastAsia="tr-TR"/>
              </w:rPr>
              <w:t>s</w:t>
            </w:r>
            <w:r w:rsidR="00381E4A" w:rsidRPr="00253D94">
              <w:rPr>
                <w:rFonts w:ascii="Century" w:hAnsi="Century"/>
                <w:color w:val="333333"/>
                <w:sz w:val="22"/>
                <w:szCs w:val="22"/>
                <w:lang w:eastAsia="tr-TR"/>
              </w:rPr>
              <w:t xml:space="preserve"> </w:t>
            </w:r>
            <w:r w:rsidR="00A0570B" w:rsidRPr="00253D94">
              <w:rPr>
                <w:rFonts w:ascii="Century" w:hAnsi="Century"/>
                <w:color w:val="333333"/>
                <w:sz w:val="22"/>
                <w:szCs w:val="22"/>
                <w:lang w:eastAsia="tr-TR"/>
              </w:rPr>
              <w:t xml:space="preserve">than </w:t>
            </w:r>
            <w:r w:rsidR="000346A7" w:rsidRPr="00253D94">
              <w:rPr>
                <w:rFonts w:ascii="Century" w:hAnsi="Century"/>
                <w:color w:val="333333"/>
                <w:sz w:val="22"/>
                <w:szCs w:val="22"/>
                <w:lang w:eastAsia="tr-TR"/>
              </w:rPr>
              <w:t xml:space="preserve">developed </w:t>
            </w:r>
            <w:r w:rsidR="00A0570B" w:rsidRPr="00253D94">
              <w:rPr>
                <w:rFonts w:ascii="Century" w:hAnsi="Century"/>
                <w:color w:val="333333"/>
                <w:sz w:val="22"/>
                <w:szCs w:val="22"/>
                <w:lang w:eastAsia="tr-TR"/>
              </w:rPr>
              <w:t>countries, the share of emerging market</w:t>
            </w:r>
            <w:r w:rsidR="00A05C7F" w:rsidRPr="00253D94">
              <w:rPr>
                <w:rFonts w:ascii="Century" w:hAnsi="Century"/>
                <w:color w:val="333333"/>
                <w:sz w:val="22"/>
                <w:szCs w:val="22"/>
                <w:lang w:eastAsia="tr-TR"/>
              </w:rPr>
              <w:t>s</w:t>
            </w:r>
            <w:r w:rsidR="00A0570B" w:rsidRPr="00253D94">
              <w:rPr>
                <w:rFonts w:ascii="Century" w:hAnsi="Century"/>
                <w:color w:val="333333"/>
                <w:sz w:val="22"/>
                <w:szCs w:val="22"/>
                <w:lang w:eastAsia="tr-TR"/>
              </w:rPr>
              <w:t xml:space="preserve"> </w:t>
            </w:r>
            <w:r w:rsidR="000B4EFD" w:rsidRPr="00253D94">
              <w:rPr>
                <w:rFonts w:ascii="Century" w:hAnsi="Century"/>
                <w:color w:val="333333"/>
                <w:sz w:val="22"/>
                <w:szCs w:val="22"/>
                <w:lang w:eastAsia="tr-TR"/>
              </w:rPr>
              <w:t xml:space="preserve">has been </w:t>
            </w:r>
            <w:r w:rsidR="00C81485" w:rsidRPr="00253D94">
              <w:rPr>
                <w:rFonts w:ascii="Century" w:hAnsi="Century"/>
                <w:color w:val="333333"/>
                <w:sz w:val="22"/>
                <w:szCs w:val="22"/>
                <w:lang w:eastAsia="tr-TR"/>
              </w:rPr>
              <w:t>increas</w:t>
            </w:r>
            <w:r w:rsidR="000B4EFD" w:rsidRPr="00253D94">
              <w:rPr>
                <w:rFonts w:ascii="Century" w:hAnsi="Century"/>
                <w:color w:val="333333"/>
                <w:sz w:val="22"/>
                <w:szCs w:val="22"/>
                <w:lang w:eastAsia="tr-TR"/>
              </w:rPr>
              <w:t>ing</w:t>
            </w:r>
            <w:r w:rsidR="00FD0FD6" w:rsidRPr="00253D94">
              <w:rPr>
                <w:rFonts w:ascii="Century" w:hAnsi="Century"/>
                <w:color w:val="333333"/>
                <w:sz w:val="22"/>
                <w:szCs w:val="22"/>
                <w:lang w:eastAsia="tr-TR"/>
              </w:rPr>
              <w:t xml:space="preserve"> for years</w:t>
            </w:r>
            <w:r w:rsidR="00852EAB" w:rsidRPr="00253D94">
              <w:rPr>
                <w:rFonts w:ascii="Century" w:hAnsi="Century"/>
                <w:color w:val="333333"/>
                <w:sz w:val="22"/>
                <w:szCs w:val="22"/>
                <w:lang w:eastAsia="tr-TR"/>
              </w:rPr>
              <w:t>.</w:t>
            </w:r>
            <w:r w:rsidR="00C81485" w:rsidRPr="00253D94">
              <w:rPr>
                <w:rFonts w:ascii="Century" w:hAnsi="Century"/>
                <w:color w:val="333333"/>
                <w:sz w:val="22"/>
                <w:szCs w:val="22"/>
                <w:lang w:eastAsia="tr-TR"/>
              </w:rPr>
              <w:t xml:space="preserve"> </w:t>
            </w:r>
            <w:r w:rsidR="003D32E9" w:rsidRPr="00253D94">
              <w:rPr>
                <w:rFonts w:ascii="Century" w:hAnsi="Century"/>
                <w:color w:val="333333"/>
                <w:sz w:val="22"/>
                <w:szCs w:val="22"/>
                <w:lang w:eastAsia="tr-TR"/>
              </w:rPr>
              <w:t>With</w:t>
            </w:r>
            <w:r w:rsidR="000B4EFD" w:rsidRPr="00253D94">
              <w:rPr>
                <w:rFonts w:ascii="Century" w:hAnsi="Century"/>
                <w:color w:val="333333"/>
                <w:sz w:val="22"/>
                <w:szCs w:val="22"/>
                <w:lang w:eastAsia="tr-TR"/>
              </w:rPr>
              <w:t xml:space="preserve"> a share</w:t>
            </w:r>
            <w:r w:rsidR="00C81485" w:rsidRPr="00253D94">
              <w:rPr>
                <w:rFonts w:ascii="Century" w:hAnsi="Century"/>
                <w:color w:val="333333"/>
                <w:sz w:val="22"/>
                <w:szCs w:val="22"/>
                <w:lang w:eastAsia="tr-TR"/>
              </w:rPr>
              <w:t xml:space="preserve"> </w:t>
            </w:r>
            <w:r w:rsidR="000B4EFD" w:rsidRPr="00253D94">
              <w:rPr>
                <w:rFonts w:ascii="Century" w:hAnsi="Century"/>
                <w:color w:val="333333"/>
                <w:sz w:val="22"/>
                <w:szCs w:val="22"/>
                <w:lang w:eastAsia="tr-TR"/>
              </w:rPr>
              <w:t>of</w:t>
            </w:r>
            <w:r w:rsidR="00C81485" w:rsidRPr="00253D94">
              <w:rPr>
                <w:rFonts w:ascii="Century" w:hAnsi="Century"/>
                <w:color w:val="333333"/>
                <w:sz w:val="22"/>
                <w:szCs w:val="22"/>
                <w:lang w:eastAsia="tr-TR"/>
              </w:rPr>
              <w:t xml:space="preserve"> </w:t>
            </w:r>
            <w:r w:rsidR="00484D76" w:rsidRPr="00253D94">
              <w:rPr>
                <w:rFonts w:ascii="Century" w:hAnsi="Century"/>
                <w:color w:val="333333"/>
                <w:sz w:val="22"/>
                <w:szCs w:val="22"/>
                <w:lang w:eastAsia="tr-TR"/>
              </w:rPr>
              <w:t>13</w:t>
            </w:r>
            <w:r w:rsidR="00B57179" w:rsidRPr="00253D94">
              <w:rPr>
                <w:rFonts w:ascii="Century" w:hAnsi="Century"/>
                <w:bCs/>
                <w:color w:val="333333"/>
                <w:sz w:val="22"/>
                <w:szCs w:val="22"/>
              </w:rPr>
              <w:t>%</w:t>
            </w:r>
            <w:r w:rsidR="00484D76" w:rsidRPr="00253D94">
              <w:rPr>
                <w:rFonts w:ascii="Century" w:hAnsi="Century"/>
                <w:color w:val="333333"/>
                <w:sz w:val="22"/>
                <w:szCs w:val="22"/>
                <w:lang w:eastAsia="tr-TR"/>
              </w:rPr>
              <w:t xml:space="preserve"> in 2009</w:t>
            </w:r>
            <w:r w:rsidR="00C81485" w:rsidRPr="00253D94">
              <w:rPr>
                <w:rFonts w:ascii="Century" w:hAnsi="Century"/>
                <w:color w:val="333333"/>
                <w:sz w:val="22"/>
                <w:szCs w:val="22"/>
                <w:lang w:eastAsia="tr-TR"/>
              </w:rPr>
              <w:t xml:space="preserve">, </w:t>
            </w:r>
            <w:r w:rsidR="00484D76" w:rsidRPr="00253D94">
              <w:rPr>
                <w:rFonts w:ascii="Century" w:hAnsi="Century"/>
                <w:color w:val="333333"/>
                <w:sz w:val="22"/>
                <w:szCs w:val="22"/>
                <w:lang w:eastAsia="tr-TR"/>
              </w:rPr>
              <w:t>t</w:t>
            </w:r>
            <w:r w:rsidR="00A0570B" w:rsidRPr="00253D94">
              <w:rPr>
                <w:rFonts w:ascii="Century" w:hAnsi="Century"/>
                <w:color w:val="333333"/>
                <w:sz w:val="22"/>
                <w:szCs w:val="22"/>
                <w:lang w:eastAsia="tr-TR"/>
              </w:rPr>
              <w:t xml:space="preserve">he </w:t>
            </w:r>
            <w:r w:rsidRPr="00253D94">
              <w:rPr>
                <w:rFonts w:ascii="Century" w:hAnsi="Century"/>
                <w:color w:val="333333"/>
                <w:sz w:val="22"/>
                <w:szCs w:val="22"/>
                <w:lang w:eastAsia="tr-TR"/>
              </w:rPr>
              <w:t>emerging markets</w:t>
            </w:r>
            <w:r w:rsidR="00A0570B" w:rsidRPr="00253D94">
              <w:rPr>
                <w:rFonts w:ascii="Century" w:hAnsi="Century"/>
                <w:color w:val="333333"/>
                <w:sz w:val="22"/>
                <w:szCs w:val="22"/>
                <w:lang w:eastAsia="tr-TR"/>
              </w:rPr>
              <w:t xml:space="preserve"> </w:t>
            </w:r>
            <w:r w:rsidR="00484D76" w:rsidRPr="00253D94">
              <w:rPr>
                <w:rFonts w:ascii="Century" w:hAnsi="Century"/>
                <w:color w:val="333333"/>
                <w:sz w:val="22"/>
                <w:szCs w:val="22"/>
                <w:lang w:eastAsia="tr-TR"/>
              </w:rPr>
              <w:t>increased</w:t>
            </w:r>
            <w:r w:rsidR="00A0570B" w:rsidRPr="00253D94">
              <w:rPr>
                <w:rFonts w:ascii="Century" w:hAnsi="Century"/>
                <w:color w:val="333333"/>
                <w:sz w:val="22"/>
                <w:szCs w:val="22"/>
                <w:lang w:eastAsia="tr-TR"/>
              </w:rPr>
              <w:t xml:space="preserve"> </w:t>
            </w:r>
            <w:r w:rsidR="000B4EFD" w:rsidRPr="00253D94">
              <w:rPr>
                <w:rFonts w:ascii="Century" w:hAnsi="Century"/>
                <w:color w:val="333333"/>
                <w:sz w:val="22"/>
                <w:szCs w:val="22"/>
                <w:lang w:eastAsia="tr-TR"/>
              </w:rPr>
              <w:t xml:space="preserve">their share </w:t>
            </w:r>
            <w:r w:rsidR="00AD7C08" w:rsidRPr="00253D94">
              <w:rPr>
                <w:rFonts w:ascii="Century" w:hAnsi="Century"/>
                <w:color w:val="333333"/>
                <w:sz w:val="22"/>
                <w:szCs w:val="22"/>
                <w:lang w:eastAsia="tr-TR"/>
              </w:rPr>
              <w:t xml:space="preserve">from year to year and reached </w:t>
            </w:r>
            <w:r w:rsidR="000B4EFD" w:rsidRPr="00253D94">
              <w:rPr>
                <w:rFonts w:ascii="Century" w:hAnsi="Century"/>
                <w:color w:val="333333"/>
                <w:sz w:val="22"/>
                <w:szCs w:val="22"/>
                <w:lang w:eastAsia="tr-TR"/>
              </w:rPr>
              <w:t>to</w:t>
            </w:r>
            <w:r w:rsidR="009D1FBD" w:rsidRPr="00253D94">
              <w:rPr>
                <w:rFonts w:ascii="Century" w:hAnsi="Century"/>
                <w:color w:val="333333"/>
                <w:sz w:val="22"/>
                <w:szCs w:val="22"/>
                <w:lang w:eastAsia="tr-TR"/>
              </w:rPr>
              <w:t xml:space="preserve"> 2</w:t>
            </w:r>
            <w:r w:rsidR="00040AD8">
              <w:rPr>
                <w:rFonts w:ascii="Century" w:hAnsi="Century"/>
                <w:color w:val="333333"/>
                <w:sz w:val="22"/>
                <w:szCs w:val="22"/>
                <w:lang w:eastAsia="tr-TR"/>
              </w:rPr>
              <w:t>1</w:t>
            </w:r>
            <w:r w:rsidR="00B57179" w:rsidRPr="00253D94">
              <w:rPr>
                <w:rFonts w:ascii="Century" w:hAnsi="Century"/>
                <w:bCs/>
                <w:color w:val="333333"/>
                <w:sz w:val="22"/>
                <w:szCs w:val="22"/>
              </w:rPr>
              <w:t>%</w:t>
            </w:r>
            <w:r w:rsidR="00A0570B" w:rsidRPr="00253D94">
              <w:rPr>
                <w:rFonts w:ascii="Century" w:hAnsi="Century"/>
                <w:color w:val="333333"/>
                <w:sz w:val="22"/>
                <w:szCs w:val="22"/>
                <w:lang w:eastAsia="tr-TR"/>
              </w:rPr>
              <w:t xml:space="preserve"> in 201</w:t>
            </w:r>
            <w:r w:rsidR="00040AD8">
              <w:rPr>
                <w:rFonts w:ascii="Century" w:hAnsi="Century"/>
                <w:color w:val="333333"/>
                <w:sz w:val="22"/>
                <w:szCs w:val="22"/>
                <w:lang w:eastAsia="tr-TR"/>
              </w:rPr>
              <w:t>8</w:t>
            </w:r>
            <w:r w:rsidR="00484D76" w:rsidRPr="00253D94">
              <w:rPr>
                <w:rFonts w:ascii="Century" w:hAnsi="Century"/>
                <w:color w:val="333333"/>
                <w:sz w:val="22"/>
                <w:szCs w:val="22"/>
                <w:lang w:eastAsia="tr-TR"/>
              </w:rPr>
              <w:t xml:space="preserve">. </w:t>
            </w:r>
          </w:p>
          <w:p w:rsidR="00484D76" w:rsidRDefault="00484D76" w:rsidP="00A0570B">
            <w:pPr>
              <w:jc w:val="both"/>
              <w:rPr>
                <w:rFonts w:ascii="Century" w:hAnsi="Century"/>
                <w:color w:val="333333"/>
                <w:sz w:val="22"/>
                <w:szCs w:val="22"/>
                <w:lang w:eastAsia="tr-TR"/>
              </w:rPr>
            </w:pPr>
          </w:p>
          <w:p w:rsidR="005B31A7" w:rsidRPr="00253D94" w:rsidRDefault="005B31A7" w:rsidP="00A0570B">
            <w:pPr>
              <w:jc w:val="both"/>
              <w:rPr>
                <w:rFonts w:ascii="Century" w:hAnsi="Century"/>
                <w:color w:val="333333"/>
                <w:sz w:val="22"/>
                <w:szCs w:val="22"/>
                <w:lang w:eastAsia="tr-TR"/>
              </w:rPr>
            </w:pPr>
          </w:p>
          <w:p w:rsidR="00C85053" w:rsidRPr="00253D94" w:rsidRDefault="00A0570B" w:rsidP="00040AD8">
            <w:pPr>
              <w:jc w:val="both"/>
              <w:rPr>
                <w:lang w:eastAsia="tr-TR"/>
              </w:rPr>
            </w:pPr>
            <w:r w:rsidRPr="00253D94">
              <w:rPr>
                <w:rFonts w:ascii="Century" w:hAnsi="Century"/>
                <w:color w:val="333333"/>
                <w:sz w:val="22"/>
                <w:szCs w:val="22"/>
                <w:lang w:eastAsia="tr-TR"/>
              </w:rPr>
              <w:t xml:space="preserve">The following table </w:t>
            </w:r>
            <w:r w:rsidR="00DA2FB9" w:rsidRPr="00253D94">
              <w:rPr>
                <w:rFonts w:ascii="Century" w:hAnsi="Century"/>
                <w:color w:val="333333"/>
                <w:sz w:val="22"/>
                <w:szCs w:val="22"/>
                <w:lang w:eastAsia="tr-TR"/>
              </w:rPr>
              <w:t>re</w:t>
            </w:r>
            <w:r w:rsidRPr="00253D94">
              <w:rPr>
                <w:rFonts w:ascii="Century" w:hAnsi="Century"/>
                <w:color w:val="333333"/>
                <w:sz w:val="22"/>
                <w:szCs w:val="22"/>
                <w:lang w:eastAsia="tr-TR"/>
              </w:rPr>
              <w:t xml:space="preserve">presents premium </w:t>
            </w:r>
            <w:r w:rsidR="00921A79" w:rsidRPr="00253D94">
              <w:rPr>
                <w:rFonts w:ascii="Century" w:hAnsi="Century"/>
                <w:color w:val="333333"/>
                <w:sz w:val="22"/>
                <w:szCs w:val="22"/>
                <w:lang w:eastAsia="tr-TR"/>
              </w:rPr>
              <w:t>volume</w:t>
            </w:r>
            <w:r w:rsidRPr="00253D94">
              <w:rPr>
                <w:rFonts w:ascii="Century" w:hAnsi="Century"/>
                <w:color w:val="333333"/>
                <w:sz w:val="22"/>
                <w:szCs w:val="22"/>
                <w:lang w:eastAsia="tr-TR"/>
              </w:rPr>
              <w:t xml:space="preserve"> for life and non-life </w:t>
            </w:r>
            <w:r w:rsidR="005E39BA" w:rsidRPr="00253D94">
              <w:rPr>
                <w:rFonts w:ascii="Century" w:hAnsi="Century"/>
                <w:color w:val="333333"/>
                <w:sz w:val="22"/>
                <w:szCs w:val="22"/>
                <w:lang w:eastAsia="tr-TR"/>
              </w:rPr>
              <w:t xml:space="preserve">insurance </w:t>
            </w:r>
            <w:r w:rsidR="00921A79" w:rsidRPr="00253D94">
              <w:rPr>
                <w:rFonts w:ascii="Century" w:hAnsi="Century"/>
                <w:color w:val="333333"/>
                <w:sz w:val="22"/>
                <w:szCs w:val="22"/>
                <w:lang w:eastAsia="tr-TR"/>
              </w:rPr>
              <w:t xml:space="preserve">business </w:t>
            </w:r>
            <w:r w:rsidR="005E39BA" w:rsidRPr="00253D94">
              <w:rPr>
                <w:rFonts w:ascii="Century" w:hAnsi="Century"/>
                <w:color w:val="333333"/>
                <w:sz w:val="22"/>
                <w:szCs w:val="22"/>
                <w:lang w:eastAsia="tr-TR"/>
              </w:rPr>
              <w:t xml:space="preserve">according to the regions </w:t>
            </w:r>
            <w:r w:rsidR="00790E01" w:rsidRPr="00253D94">
              <w:rPr>
                <w:rFonts w:ascii="Century" w:hAnsi="Century"/>
                <w:color w:val="333333"/>
                <w:sz w:val="22"/>
                <w:szCs w:val="22"/>
                <w:lang w:eastAsia="tr-TR"/>
              </w:rPr>
              <w:t>in 201</w:t>
            </w:r>
            <w:r w:rsidR="00040AD8">
              <w:rPr>
                <w:rFonts w:ascii="Century" w:hAnsi="Century"/>
                <w:color w:val="333333"/>
                <w:sz w:val="22"/>
                <w:szCs w:val="22"/>
                <w:lang w:eastAsia="tr-TR"/>
              </w:rPr>
              <w:t>8</w:t>
            </w:r>
            <w:r w:rsidRPr="00253D94">
              <w:rPr>
                <w:rFonts w:ascii="Century" w:hAnsi="Century"/>
                <w:color w:val="333333"/>
                <w:sz w:val="22"/>
                <w:szCs w:val="22"/>
                <w:lang w:eastAsia="tr-TR"/>
              </w:rPr>
              <w:t>.</w:t>
            </w:r>
          </w:p>
        </w:tc>
      </w:tr>
      <w:tr w:rsidR="00C85053" w:rsidRPr="00B10D90" w:rsidTr="00441D50">
        <w:trPr>
          <w:gridAfter w:val="2"/>
          <w:wAfter w:w="38" w:type="dxa"/>
        </w:trPr>
        <w:tc>
          <w:tcPr>
            <w:tcW w:w="4817" w:type="dxa"/>
            <w:gridSpan w:val="2"/>
          </w:tcPr>
          <w:p w:rsidR="00C85053" w:rsidRPr="00B10D90" w:rsidRDefault="00C85053" w:rsidP="00AF54EB">
            <w:pPr>
              <w:jc w:val="both"/>
              <w:rPr>
                <w:rFonts w:ascii="Century" w:hAnsi="Century"/>
                <w:sz w:val="22"/>
                <w:szCs w:val="22"/>
                <w:highlight w:val="yellow"/>
              </w:rPr>
            </w:pPr>
          </w:p>
        </w:tc>
        <w:tc>
          <w:tcPr>
            <w:tcW w:w="318" w:type="dxa"/>
            <w:gridSpan w:val="7"/>
          </w:tcPr>
          <w:p w:rsidR="00C85053" w:rsidRPr="00B10D90" w:rsidRDefault="00C85053" w:rsidP="008D17FE">
            <w:pPr>
              <w:rPr>
                <w:rFonts w:ascii="Century" w:hAnsi="Century"/>
                <w:sz w:val="22"/>
                <w:szCs w:val="22"/>
                <w:highlight w:val="yellow"/>
              </w:rPr>
            </w:pPr>
          </w:p>
        </w:tc>
        <w:tc>
          <w:tcPr>
            <w:tcW w:w="4685" w:type="dxa"/>
            <w:gridSpan w:val="5"/>
          </w:tcPr>
          <w:p w:rsidR="00C85053" w:rsidRPr="00B10D90" w:rsidRDefault="00C85053" w:rsidP="0042087D">
            <w:pPr>
              <w:jc w:val="both"/>
              <w:rPr>
                <w:rFonts w:ascii="Century" w:hAnsi="Century" w:cs="Arial"/>
                <w:color w:val="333333"/>
                <w:sz w:val="22"/>
                <w:szCs w:val="22"/>
                <w:highlight w:val="yellow"/>
              </w:rPr>
            </w:pPr>
          </w:p>
        </w:tc>
      </w:tr>
      <w:tr w:rsidR="00C85053" w:rsidRPr="00B10D90" w:rsidTr="00441D50">
        <w:trPr>
          <w:gridAfter w:val="2"/>
          <w:wAfter w:w="38" w:type="dxa"/>
          <w:trHeight w:val="181"/>
        </w:trPr>
        <w:tc>
          <w:tcPr>
            <w:tcW w:w="9820" w:type="dxa"/>
            <w:gridSpan w:val="14"/>
          </w:tcPr>
          <w:p w:rsidR="00C85053" w:rsidRDefault="00CD53DB" w:rsidP="009B5202">
            <w:pPr>
              <w:pStyle w:val="Caption"/>
              <w:jc w:val="center"/>
              <w:rPr>
                <w:rFonts w:ascii="Century" w:hAnsi="Century"/>
                <w:b w:val="0"/>
                <w:bCs w:val="0"/>
                <w:i/>
                <w:iCs/>
                <w:color w:val="000080"/>
              </w:rPr>
            </w:pPr>
            <w:bookmarkStart w:id="173" w:name="_Toc170665522"/>
            <w:r w:rsidRPr="00253D94">
              <w:rPr>
                <w:rFonts w:ascii="Century" w:hAnsi="Century"/>
                <w:color w:val="000080"/>
              </w:rPr>
              <w:t>Tablo 1.</w:t>
            </w:r>
            <w:r w:rsidR="005D0DBF" w:rsidRPr="00253D94">
              <w:rPr>
                <w:rFonts w:ascii="Century" w:hAnsi="Century"/>
                <w:color w:val="000080"/>
              </w:rPr>
              <w:t>3</w:t>
            </w:r>
            <w:r w:rsidRPr="00253D94">
              <w:rPr>
                <w:rFonts w:ascii="Century" w:hAnsi="Century"/>
                <w:color w:val="000080"/>
              </w:rPr>
              <w:t>.2</w:t>
            </w:r>
            <w:r w:rsidR="00A0570B" w:rsidRPr="00253D94">
              <w:rPr>
                <w:rFonts w:ascii="Century" w:hAnsi="Century"/>
                <w:color w:val="000080"/>
              </w:rPr>
              <w:t>: 201</w:t>
            </w:r>
            <w:r w:rsidR="00C90B9E">
              <w:rPr>
                <w:rFonts w:ascii="Century" w:hAnsi="Century"/>
                <w:color w:val="000080"/>
              </w:rPr>
              <w:t>8</w:t>
            </w:r>
            <w:r w:rsidR="00DE2671" w:rsidRPr="00253D94">
              <w:rPr>
                <w:rFonts w:ascii="Century" w:hAnsi="Century"/>
                <w:color w:val="000080"/>
              </w:rPr>
              <w:t xml:space="preserve"> Yılı Dünya</w:t>
            </w:r>
            <w:r w:rsidR="00C85053" w:rsidRPr="00253D94">
              <w:rPr>
                <w:rFonts w:ascii="Century" w:hAnsi="Century"/>
                <w:color w:val="000080"/>
              </w:rPr>
              <w:t xml:space="preserve"> </w:t>
            </w:r>
            <w:r w:rsidR="00C85053" w:rsidRPr="00253D94">
              <w:rPr>
                <w:rFonts w:ascii="Century" w:hAnsi="Century"/>
                <w:bCs w:val="0"/>
                <w:color w:val="000080"/>
              </w:rPr>
              <w:t xml:space="preserve">Prim Üretimi </w:t>
            </w:r>
            <w:r w:rsidR="00DE2671" w:rsidRPr="00253D94">
              <w:rPr>
                <w:rFonts w:ascii="Century" w:hAnsi="Century"/>
                <w:bCs w:val="0"/>
                <w:color w:val="000080"/>
              </w:rPr>
              <w:t xml:space="preserve">Dağılımı </w:t>
            </w:r>
            <w:r w:rsidR="00C85053" w:rsidRPr="00253D94">
              <w:rPr>
                <w:rFonts w:ascii="Century" w:hAnsi="Century"/>
                <w:bCs w:val="0"/>
                <w:i/>
                <w:iCs/>
                <w:color w:val="000080"/>
              </w:rPr>
              <w:t xml:space="preserve">– </w:t>
            </w:r>
            <w:r w:rsidR="00C85053" w:rsidRPr="00253D94">
              <w:rPr>
                <w:rFonts w:ascii="Century" w:hAnsi="Century"/>
                <w:b w:val="0"/>
                <w:bCs w:val="0"/>
                <w:i/>
                <w:iCs/>
                <w:color w:val="000080"/>
              </w:rPr>
              <w:t xml:space="preserve">Global Premium Production in </w:t>
            </w:r>
            <w:bookmarkEnd w:id="173"/>
            <w:r w:rsidR="0005752A" w:rsidRPr="00253D94">
              <w:rPr>
                <w:rFonts w:ascii="Century" w:hAnsi="Century"/>
                <w:b w:val="0"/>
                <w:bCs w:val="0"/>
                <w:i/>
                <w:iCs/>
                <w:color w:val="000080"/>
              </w:rPr>
              <w:t>201</w:t>
            </w:r>
            <w:r w:rsidR="00C90B9E">
              <w:rPr>
                <w:rFonts w:ascii="Century" w:hAnsi="Century"/>
                <w:b w:val="0"/>
                <w:bCs w:val="0"/>
                <w:i/>
                <w:iCs/>
                <w:color w:val="000080"/>
              </w:rPr>
              <w:t>8</w:t>
            </w:r>
          </w:p>
          <w:p w:rsidR="006768F2" w:rsidRDefault="006768F2" w:rsidP="006768F2">
            <w:r>
              <w:rPr>
                <w:noProof/>
              </w:rPr>
              <w:drawing>
                <wp:inline distT="0" distB="0" distL="0" distR="0">
                  <wp:extent cx="6100549" cy="201986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0445" cy="2019835"/>
                          </a:xfrm>
                          <a:prstGeom prst="rect">
                            <a:avLst/>
                          </a:prstGeom>
                          <a:noFill/>
                          <a:ln>
                            <a:noFill/>
                          </a:ln>
                        </pic:spPr>
                      </pic:pic>
                    </a:graphicData>
                  </a:graphic>
                </wp:inline>
              </w:drawing>
            </w:r>
          </w:p>
          <w:p w:rsidR="00C85053" w:rsidRPr="00253D94" w:rsidRDefault="00DC62A8" w:rsidP="006768F2">
            <w:pPr>
              <w:jc w:val="center"/>
              <w:rPr>
                <w:rFonts w:ascii="Century" w:hAnsi="Century"/>
                <w:sz w:val="22"/>
                <w:szCs w:val="22"/>
              </w:rPr>
            </w:pPr>
            <w:r w:rsidRPr="00253D94">
              <w:rPr>
                <w:rFonts w:ascii="Century" w:hAnsi="Century" w:cs="Arial TUR"/>
                <w:sz w:val="16"/>
                <w:szCs w:val="16"/>
                <w:lang w:eastAsia="tr-TR"/>
              </w:rPr>
              <w:t>Kaynak: Sigma Dergisi, 201</w:t>
            </w:r>
            <w:r w:rsidR="006768F2">
              <w:rPr>
                <w:rFonts w:ascii="Century" w:hAnsi="Century" w:cs="Arial TUR"/>
                <w:sz w:val="16"/>
                <w:szCs w:val="16"/>
                <w:lang w:eastAsia="tr-TR"/>
              </w:rPr>
              <w:t>8</w:t>
            </w:r>
            <w:r w:rsidR="00C85053" w:rsidRPr="00253D94">
              <w:rPr>
                <w:rFonts w:ascii="Century" w:hAnsi="Century" w:cs="Arial TUR"/>
                <w:sz w:val="16"/>
                <w:szCs w:val="16"/>
                <w:lang w:eastAsia="tr-TR"/>
              </w:rPr>
              <w:t xml:space="preserve"> Dünya Sigortacılığı</w:t>
            </w:r>
            <w:r w:rsidR="00C85053" w:rsidRPr="00253D94">
              <w:rPr>
                <w:rFonts w:ascii="Century" w:hAnsi="Century" w:cs="Arial TUR"/>
                <w:i/>
                <w:sz w:val="16"/>
                <w:szCs w:val="16"/>
                <w:lang w:eastAsia="tr-TR"/>
              </w:rPr>
              <w:t>, S</w:t>
            </w:r>
            <w:r w:rsidR="00C85053" w:rsidRPr="00253D94">
              <w:rPr>
                <w:rFonts w:ascii="Century" w:hAnsi="Century" w:cs="Arial TUR"/>
                <w:i/>
                <w:iCs/>
                <w:sz w:val="16"/>
                <w:szCs w:val="16"/>
                <w:lang w:eastAsia="tr-TR"/>
              </w:rPr>
              <w:t>ource: Sigma M</w:t>
            </w:r>
            <w:r w:rsidRPr="00253D94">
              <w:rPr>
                <w:rFonts w:ascii="Century" w:hAnsi="Century" w:cs="Arial TUR"/>
                <w:i/>
                <w:iCs/>
                <w:sz w:val="16"/>
                <w:szCs w:val="16"/>
                <w:lang w:eastAsia="tr-TR"/>
              </w:rPr>
              <w:t>agazine, World Insurance in 201</w:t>
            </w:r>
            <w:r w:rsidR="006768F2">
              <w:rPr>
                <w:rFonts w:ascii="Century" w:hAnsi="Century" w:cs="Arial TUR"/>
                <w:i/>
                <w:iCs/>
                <w:sz w:val="16"/>
                <w:szCs w:val="16"/>
                <w:lang w:eastAsia="tr-TR"/>
              </w:rPr>
              <w:t>8</w:t>
            </w:r>
            <w:r w:rsidRPr="00253D94">
              <w:rPr>
                <w:rFonts w:ascii="Century" w:hAnsi="Century" w:cs="Arial TUR"/>
                <w:i/>
                <w:iCs/>
                <w:sz w:val="16"/>
                <w:szCs w:val="16"/>
                <w:lang w:eastAsia="tr-TR"/>
              </w:rPr>
              <w:t xml:space="preserve">, No: </w:t>
            </w:r>
            <w:r w:rsidR="00EA21EC" w:rsidRPr="00253D94">
              <w:rPr>
                <w:rFonts w:ascii="Century" w:hAnsi="Century" w:cs="Arial TUR"/>
                <w:i/>
                <w:iCs/>
                <w:sz w:val="16"/>
                <w:szCs w:val="16"/>
                <w:lang w:eastAsia="tr-TR"/>
              </w:rPr>
              <w:t>3</w:t>
            </w:r>
            <w:r w:rsidRPr="00253D94">
              <w:rPr>
                <w:rFonts w:ascii="Century" w:hAnsi="Century" w:cs="Arial TUR"/>
                <w:i/>
                <w:iCs/>
                <w:sz w:val="16"/>
                <w:szCs w:val="16"/>
                <w:lang w:eastAsia="tr-TR"/>
              </w:rPr>
              <w:t>/201</w:t>
            </w:r>
            <w:r w:rsidR="006768F2">
              <w:rPr>
                <w:rFonts w:ascii="Century" w:hAnsi="Century" w:cs="Arial TUR"/>
                <w:i/>
                <w:iCs/>
                <w:sz w:val="16"/>
                <w:szCs w:val="16"/>
                <w:lang w:eastAsia="tr-TR"/>
              </w:rPr>
              <w:t>9</w:t>
            </w:r>
          </w:p>
        </w:tc>
      </w:tr>
      <w:tr w:rsidR="00C85053" w:rsidRPr="00B10D90" w:rsidTr="00441D50">
        <w:trPr>
          <w:gridAfter w:val="2"/>
          <w:wAfter w:w="38" w:type="dxa"/>
          <w:trHeight w:val="181"/>
        </w:trPr>
        <w:tc>
          <w:tcPr>
            <w:tcW w:w="4817" w:type="dxa"/>
            <w:gridSpan w:val="2"/>
          </w:tcPr>
          <w:p w:rsidR="00C85053" w:rsidRPr="00B10D90" w:rsidRDefault="00C85053" w:rsidP="00AA1926">
            <w:pPr>
              <w:jc w:val="both"/>
              <w:rPr>
                <w:rFonts w:ascii="Century" w:hAnsi="Century"/>
                <w:sz w:val="22"/>
                <w:szCs w:val="22"/>
                <w:highlight w:val="yellow"/>
              </w:rPr>
            </w:pPr>
          </w:p>
        </w:tc>
        <w:tc>
          <w:tcPr>
            <w:tcW w:w="318" w:type="dxa"/>
            <w:gridSpan w:val="7"/>
          </w:tcPr>
          <w:p w:rsidR="00C85053" w:rsidRPr="00B10D90" w:rsidRDefault="00C85053" w:rsidP="008D17FE">
            <w:pPr>
              <w:rPr>
                <w:rFonts w:ascii="Century" w:hAnsi="Century"/>
                <w:sz w:val="22"/>
                <w:szCs w:val="22"/>
                <w:highlight w:val="yellow"/>
              </w:rPr>
            </w:pPr>
          </w:p>
        </w:tc>
        <w:tc>
          <w:tcPr>
            <w:tcW w:w="4685" w:type="dxa"/>
            <w:gridSpan w:val="5"/>
          </w:tcPr>
          <w:p w:rsidR="00C85053" w:rsidRPr="00B10D90" w:rsidRDefault="00C85053" w:rsidP="00AA1926">
            <w:pPr>
              <w:jc w:val="both"/>
              <w:rPr>
                <w:rFonts w:ascii="Century" w:hAnsi="Century" w:cs="Arial"/>
                <w:color w:val="595959"/>
                <w:sz w:val="22"/>
                <w:szCs w:val="22"/>
                <w:highlight w:val="yellow"/>
              </w:rPr>
            </w:pPr>
          </w:p>
        </w:tc>
      </w:tr>
      <w:tr w:rsidR="00C85053" w:rsidRPr="00B10D90" w:rsidTr="00441D50">
        <w:trPr>
          <w:gridAfter w:val="2"/>
          <w:wAfter w:w="38" w:type="dxa"/>
          <w:trHeight w:val="181"/>
        </w:trPr>
        <w:tc>
          <w:tcPr>
            <w:tcW w:w="4817" w:type="dxa"/>
            <w:gridSpan w:val="2"/>
          </w:tcPr>
          <w:p w:rsidR="00C85053" w:rsidRPr="00253D94" w:rsidRDefault="002F68D9" w:rsidP="00040AD8">
            <w:pPr>
              <w:jc w:val="both"/>
              <w:rPr>
                <w:rFonts w:ascii="Century" w:hAnsi="Century"/>
                <w:sz w:val="22"/>
                <w:szCs w:val="22"/>
              </w:rPr>
            </w:pPr>
            <w:r w:rsidRPr="00253D94">
              <w:rPr>
                <w:rFonts w:ascii="Century" w:hAnsi="Century"/>
                <w:sz w:val="22"/>
                <w:szCs w:val="22"/>
                <w:lang w:eastAsia="tr-TR"/>
              </w:rPr>
              <w:t>201</w:t>
            </w:r>
            <w:r w:rsidR="00040AD8">
              <w:rPr>
                <w:rFonts w:ascii="Century" w:hAnsi="Century"/>
                <w:sz w:val="22"/>
                <w:szCs w:val="22"/>
                <w:lang w:eastAsia="tr-TR"/>
              </w:rPr>
              <w:t>8</w:t>
            </w:r>
            <w:r w:rsidRPr="00253D94">
              <w:rPr>
                <w:rFonts w:ascii="Century" w:hAnsi="Century"/>
                <w:sz w:val="22"/>
                <w:szCs w:val="22"/>
                <w:lang w:eastAsia="tr-TR"/>
              </w:rPr>
              <w:t xml:space="preserve"> yılında d</w:t>
            </w:r>
            <w:r w:rsidR="00DC62A8" w:rsidRPr="00253D94">
              <w:rPr>
                <w:rFonts w:ascii="Century" w:hAnsi="Century"/>
                <w:sz w:val="22"/>
                <w:szCs w:val="22"/>
                <w:lang w:eastAsia="tr-TR"/>
              </w:rPr>
              <w:t>ünyada 6</w:t>
            </w:r>
            <w:r w:rsidR="00040AD8">
              <w:rPr>
                <w:rFonts w:ascii="Century" w:hAnsi="Century"/>
                <w:sz w:val="22"/>
                <w:szCs w:val="22"/>
                <w:lang w:eastAsia="tr-TR"/>
              </w:rPr>
              <w:t>82</w:t>
            </w:r>
            <w:r w:rsidR="00DC62A8" w:rsidRPr="00253D94">
              <w:rPr>
                <w:rFonts w:ascii="Century" w:hAnsi="Century"/>
                <w:sz w:val="22"/>
                <w:szCs w:val="22"/>
                <w:lang w:eastAsia="tr-TR"/>
              </w:rPr>
              <w:t xml:space="preserve"> ABD Doları olan kişi ba</w:t>
            </w:r>
            <w:r w:rsidR="006C5E18" w:rsidRPr="00253D94">
              <w:rPr>
                <w:rFonts w:ascii="Century" w:hAnsi="Century"/>
                <w:sz w:val="22"/>
                <w:szCs w:val="22"/>
                <w:lang w:eastAsia="tr-TR"/>
              </w:rPr>
              <w:t>şı</w:t>
            </w:r>
            <w:r w:rsidR="0035624F" w:rsidRPr="00253D94">
              <w:rPr>
                <w:rFonts w:ascii="Century" w:hAnsi="Century"/>
                <w:sz w:val="22"/>
                <w:szCs w:val="22"/>
                <w:lang w:eastAsia="tr-TR"/>
              </w:rPr>
              <w:t xml:space="preserve"> prim üretimi ülkemizde </w:t>
            </w:r>
            <w:r w:rsidR="00A50CC3" w:rsidRPr="00253D94">
              <w:rPr>
                <w:rFonts w:ascii="Century" w:hAnsi="Century"/>
                <w:sz w:val="22"/>
                <w:szCs w:val="22"/>
                <w:lang w:eastAsia="tr-TR"/>
              </w:rPr>
              <w:t>1</w:t>
            </w:r>
            <w:r w:rsidR="00040AD8">
              <w:rPr>
                <w:rFonts w:ascii="Century" w:hAnsi="Century"/>
                <w:sz w:val="22"/>
                <w:szCs w:val="22"/>
                <w:lang w:eastAsia="tr-TR"/>
              </w:rPr>
              <w:t>28</w:t>
            </w:r>
            <w:r w:rsidR="00DC62A8" w:rsidRPr="00253D94">
              <w:rPr>
                <w:rFonts w:ascii="Century" w:hAnsi="Century"/>
                <w:sz w:val="22"/>
                <w:szCs w:val="22"/>
                <w:lang w:eastAsia="tr-TR"/>
              </w:rPr>
              <w:t xml:space="preserve"> ABD Do</w:t>
            </w:r>
            <w:r w:rsidR="007437DB" w:rsidRPr="00253D94">
              <w:rPr>
                <w:rFonts w:ascii="Century" w:hAnsi="Century"/>
                <w:sz w:val="22"/>
                <w:szCs w:val="22"/>
                <w:lang w:eastAsia="tr-TR"/>
              </w:rPr>
              <w:t>ları</w:t>
            </w:r>
            <w:r w:rsidR="00AD7C08" w:rsidRPr="00253D94">
              <w:rPr>
                <w:rFonts w:ascii="Century" w:hAnsi="Century"/>
                <w:sz w:val="22"/>
                <w:szCs w:val="22"/>
                <w:lang w:eastAsia="tr-TR"/>
              </w:rPr>
              <w:t xml:space="preserve"> olarak gerçekleşmiştir. </w:t>
            </w:r>
            <w:r w:rsidR="00E77D2A" w:rsidRPr="00253D94">
              <w:rPr>
                <w:rFonts w:ascii="Century" w:hAnsi="Century"/>
                <w:sz w:val="22"/>
                <w:szCs w:val="22"/>
                <w:lang w:val="tr-TR" w:eastAsia="tr-TR"/>
              </w:rPr>
              <w:t>Direkt p</w:t>
            </w:r>
            <w:r w:rsidR="007437DB" w:rsidRPr="00253D94">
              <w:rPr>
                <w:rFonts w:ascii="Century" w:hAnsi="Century"/>
                <w:sz w:val="22"/>
                <w:szCs w:val="22"/>
                <w:lang w:val="tr-TR" w:eastAsia="tr-TR"/>
              </w:rPr>
              <w:t>rimin</w:t>
            </w:r>
            <w:r w:rsidR="007437DB" w:rsidRPr="00253D94">
              <w:rPr>
                <w:rFonts w:ascii="Century" w:hAnsi="Century"/>
                <w:sz w:val="22"/>
                <w:szCs w:val="22"/>
                <w:lang w:eastAsia="tr-TR"/>
              </w:rPr>
              <w:t xml:space="preserve"> GSY</w:t>
            </w:r>
            <w:r w:rsidR="00DC62A8" w:rsidRPr="00253D94">
              <w:rPr>
                <w:rFonts w:ascii="Century" w:hAnsi="Century"/>
                <w:sz w:val="22"/>
                <w:szCs w:val="22"/>
                <w:lang w:eastAsia="tr-TR"/>
              </w:rPr>
              <w:t>H’y</w:t>
            </w:r>
            <w:r w:rsidR="007437DB" w:rsidRPr="00253D94">
              <w:rPr>
                <w:rFonts w:ascii="Century" w:hAnsi="Century"/>
                <w:sz w:val="22"/>
                <w:szCs w:val="22"/>
                <w:lang w:eastAsia="tr-TR"/>
              </w:rPr>
              <w:t>e</w:t>
            </w:r>
            <w:r w:rsidR="00813B2F" w:rsidRPr="00253D94">
              <w:rPr>
                <w:rFonts w:ascii="Century" w:hAnsi="Century"/>
                <w:sz w:val="22"/>
                <w:szCs w:val="22"/>
                <w:lang w:eastAsia="tr-TR"/>
              </w:rPr>
              <w:t xml:space="preserve"> oranı </w:t>
            </w:r>
            <w:r w:rsidR="00FD0FD6" w:rsidRPr="00253D94">
              <w:rPr>
                <w:rFonts w:ascii="Century" w:hAnsi="Century"/>
                <w:sz w:val="22"/>
                <w:szCs w:val="22"/>
                <w:lang w:eastAsia="tr-TR"/>
              </w:rPr>
              <w:t xml:space="preserve">ise </w:t>
            </w:r>
            <w:r w:rsidR="00813B2F" w:rsidRPr="00253D94">
              <w:rPr>
                <w:rFonts w:ascii="Century" w:hAnsi="Century"/>
                <w:sz w:val="22"/>
                <w:szCs w:val="22"/>
                <w:lang w:eastAsia="tr-TR"/>
              </w:rPr>
              <w:t xml:space="preserve">ülkemizde </w:t>
            </w:r>
            <w:r w:rsidR="00FD0FD6" w:rsidRPr="00253D94">
              <w:rPr>
                <w:rFonts w:ascii="Century" w:hAnsi="Century"/>
                <w:sz w:val="22"/>
                <w:szCs w:val="22"/>
                <w:lang w:eastAsia="tr-TR"/>
              </w:rPr>
              <w:t>%1,</w:t>
            </w:r>
            <w:r w:rsidR="00040AD8">
              <w:rPr>
                <w:rFonts w:ascii="Century" w:hAnsi="Century"/>
                <w:sz w:val="22"/>
                <w:szCs w:val="22"/>
                <w:lang w:eastAsia="tr-TR"/>
              </w:rPr>
              <w:t>36</w:t>
            </w:r>
            <w:r w:rsidR="00FD0FD6" w:rsidRPr="00253D94">
              <w:rPr>
                <w:rFonts w:ascii="Century" w:hAnsi="Century"/>
                <w:sz w:val="22"/>
                <w:szCs w:val="22"/>
                <w:lang w:eastAsia="tr-TR"/>
              </w:rPr>
              <w:t xml:space="preserve"> iken, dünyada</w:t>
            </w:r>
            <w:r w:rsidR="00DC62A8" w:rsidRPr="00253D94">
              <w:rPr>
                <w:rFonts w:ascii="Century" w:hAnsi="Century"/>
                <w:sz w:val="22"/>
                <w:szCs w:val="22"/>
                <w:lang w:eastAsia="tr-TR"/>
              </w:rPr>
              <w:t xml:space="preserve"> %6,</w:t>
            </w:r>
            <w:r w:rsidR="00040AD8">
              <w:rPr>
                <w:rFonts w:ascii="Century" w:hAnsi="Century"/>
                <w:sz w:val="22"/>
                <w:szCs w:val="22"/>
                <w:lang w:eastAsia="tr-TR"/>
              </w:rPr>
              <w:t>09</w:t>
            </w:r>
            <w:r w:rsidR="00FD0FD6" w:rsidRPr="00253D94">
              <w:rPr>
                <w:rFonts w:ascii="Century" w:hAnsi="Century"/>
                <w:sz w:val="22"/>
                <w:szCs w:val="22"/>
                <w:lang w:eastAsia="tr-TR"/>
              </w:rPr>
              <w:t xml:space="preserve"> düzeyindedir.</w:t>
            </w:r>
            <w:r w:rsidR="00DC62A8" w:rsidRPr="00253D94">
              <w:rPr>
                <w:rFonts w:ascii="Century" w:hAnsi="Century"/>
                <w:sz w:val="22"/>
                <w:szCs w:val="22"/>
                <w:lang w:eastAsia="tr-TR"/>
              </w:rPr>
              <w:t xml:space="preserve"> </w:t>
            </w:r>
          </w:p>
        </w:tc>
        <w:tc>
          <w:tcPr>
            <w:tcW w:w="318" w:type="dxa"/>
            <w:gridSpan w:val="7"/>
          </w:tcPr>
          <w:p w:rsidR="00C85053" w:rsidRPr="00253D94" w:rsidRDefault="00C85053" w:rsidP="008D17FE">
            <w:pPr>
              <w:rPr>
                <w:rFonts w:ascii="Century" w:hAnsi="Century"/>
                <w:sz w:val="22"/>
                <w:szCs w:val="22"/>
              </w:rPr>
            </w:pPr>
          </w:p>
        </w:tc>
        <w:tc>
          <w:tcPr>
            <w:tcW w:w="4685" w:type="dxa"/>
            <w:gridSpan w:val="5"/>
          </w:tcPr>
          <w:p w:rsidR="00C85053" w:rsidRPr="00253D94" w:rsidRDefault="00A05C7F" w:rsidP="00040AD8">
            <w:pPr>
              <w:jc w:val="both"/>
              <w:rPr>
                <w:lang w:eastAsia="tr-TR"/>
              </w:rPr>
            </w:pPr>
            <w:r w:rsidRPr="00253D94">
              <w:rPr>
                <w:rFonts w:ascii="Century" w:hAnsi="Century"/>
                <w:color w:val="333333"/>
                <w:sz w:val="22"/>
                <w:szCs w:val="22"/>
                <w:lang w:eastAsia="tr-TR"/>
              </w:rPr>
              <w:t xml:space="preserve">The </w:t>
            </w:r>
            <w:r w:rsidR="00494146" w:rsidRPr="00253D94">
              <w:rPr>
                <w:rFonts w:ascii="Century" w:hAnsi="Century"/>
                <w:color w:val="333333"/>
                <w:sz w:val="22"/>
                <w:szCs w:val="22"/>
                <w:lang w:eastAsia="tr-TR"/>
              </w:rPr>
              <w:t xml:space="preserve">world’s </w:t>
            </w:r>
            <w:r w:rsidRPr="00253D94">
              <w:rPr>
                <w:rFonts w:ascii="Century" w:hAnsi="Century"/>
                <w:color w:val="333333"/>
                <w:sz w:val="22"/>
                <w:szCs w:val="22"/>
                <w:lang w:eastAsia="tr-TR"/>
              </w:rPr>
              <w:t>p</w:t>
            </w:r>
            <w:r w:rsidR="00DC62A8" w:rsidRPr="00253D94">
              <w:rPr>
                <w:rFonts w:ascii="Century" w:hAnsi="Century"/>
                <w:color w:val="333333"/>
                <w:sz w:val="22"/>
                <w:szCs w:val="22"/>
                <w:lang w:eastAsia="tr-TR"/>
              </w:rPr>
              <w:t xml:space="preserve">remium per capita </w:t>
            </w:r>
            <w:r w:rsidR="000B4EFD" w:rsidRPr="00253D94">
              <w:rPr>
                <w:rFonts w:ascii="Century" w:hAnsi="Century"/>
                <w:color w:val="333333"/>
                <w:sz w:val="22"/>
                <w:szCs w:val="22"/>
                <w:lang w:eastAsia="tr-TR"/>
              </w:rPr>
              <w:t>was</w:t>
            </w:r>
            <w:r w:rsidR="00945B3E" w:rsidRPr="00253D94">
              <w:rPr>
                <w:rFonts w:ascii="Century" w:hAnsi="Century"/>
                <w:color w:val="333333"/>
                <w:sz w:val="22"/>
                <w:szCs w:val="22"/>
                <w:lang w:eastAsia="tr-TR"/>
              </w:rPr>
              <w:t xml:space="preserve"> $</w:t>
            </w:r>
            <w:r w:rsidR="00730D20" w:rsidRPr="00253D94">
              <w:rPr>
                <w:rFonts w:ascii="Century" w:hAnsi="Century"/>
                <w:color w:val="333333"/>
                <w:sz w:val="22"/>
                <w:szCs w:val="22"/>
                <w:lang w:eastAsia="tr-TR"/>
              </w:rPr>
              <w:t>6</w:t>
            </w:r>
            <w:r w:rsidR="00040AD8">
              <w:rPr>
                <w:rFonts w:ascii="Century" w:hAnsi="Century"/>
                <w:color w:val="333333"/>
                <w:sz w:val="22"/>
                <w:szCs w:val="22"/>
                <w:lang w:eastAsia="tr-TR"/>
              </w:rPr>
              <w:t>82</w:t>
            </w:r>
            <w:r w:rsidR="00C923AE" w:rsidRPr="00253D94">
              <w:rPr>
                <w:rFonts w:ascii="Century" w:hAnsi="Century"/>
                <w:color w:val="333333"/>
                <w:sz w:val="22"/>
                <w:szCs w:val="22"/>
                <w:lang w:eastAsia="tr-TR"/>
              </w:rPr>
              <w:t xml:space="preserve"> in the </w:t>
            </w:r>
            <w:r w:rsidR="002163E8" w:rsidRPr="00253D94">
              <w:rPr>
                <w:rFonts w:ascii="Century" w:hAnsi="Century"/>
                <w:color w:val="333333"/>
                <w:sz w:val="22"/>
                <w:szCs w:val="22"/>
                <w:lang w:eastAsia="tr-TR"/>
              </w:rPr>
              <w:t>w</w:t>
            </w:r>
            <w:r w:rsidR="00C923AE" w:rsidRPr="00253D94">
              <w:rPr>
                <w:rFonts w:ascii="Century" w:hAnsi="Century"/>
                <w:color w:val="333333"/>
                <w:sz w:val="22"/>
                <w:szCs w:val="22"/>
                <w:lang w:eastAsia="tr-TR"/>
              </w:rPr>
              <w:t>orld</w:t>
            </w:r>
            <w:r w:rsidR="002163E8" w:rsidRPr="00253D94">
              <w:rPr>
                <w:rFonts w:ascii="Century" w:hAnsi="Century"/>
                <w:color w:val="333333"/>
                <w:sz w:val="22"/>
                <w:szCs w:val="22"/>
                <w:lang w:eastAsia="tr-TR"/>
              </w:rPr>
              <w:t xml:space="preserve"> in 201</w:t>
            </w:r>
            <w:r w:rsidR="00040AD8">
              <w:rPr>
                <w:rFonts w:ascii="Century" w:hAnsi="Century"/>
                <w:color w:val="333333"/>
                <w:sz w:val="22"/>
                <w:szCs w:val="22"/>
                <w:lang w:eastAsia="tr-TR"/>
              </w:rPr>
              <w:t>8</w:t>
            </w:r>
            <w:r w:rsidR="00494146" w:rsidRPr="00253D94">
              <w:rPr>
                <w:rFonts w:ascii="Century" w:hAnsi="Century"/>
                <w:color w:val="333333"/>
                <w:sz w:val="22"/>
                <w:szCs w:val="22"/>
                <w:lang w:eastAsia="tr-TR"/>
              </w:rPr>
              <w:t>,</w:t>
            </w:r>
            <w:r w:rsidR="00DC62A8" w:rsidRPr="00253D94">
              <w:rPr>
                <w:rFonts w:ascii="Century" w:hAnsi="Century"/>
                <w:color w:val="333333"/>
                <w:sz w:val="22"/>
                <w:szCs w:val="22"/>
                <w:lang w:eastAsia="tr-TR"/>
              </w:rPr>
              <w:t xml:space="preserve"> </w:t>
            </w:r>
            <w:r w:rsidR="00A71F90" w:rsidRPr="00253D94">
              <w:rPr>
                <w:rFonts w:ascii="Century" w:hAnsi="Century"/>
                <w:color w:val="333333"/>
                <w:sz w:val="22"/>
                <w:szCs w:val="22"/>
                <w:lang w:eastAsia="tr-TR"/>
              </w:rPr>
              <w:t>while it was $</w:t>
            </w:r>
            <w:r w:rsidR="001E34DA" w:rsidRPr="00253D94">
              <w:rPr>
                <w:rFonts w:ascii="Century" w:hAnsi="Century"/>
                <w:color w:val="333333"/>
                <w:sz w:val="22"/>
                <w:szCs w:val="22"/>
                <w:lang w:eastAsia="tr-TR"/>
              </w:rPr>
              <w:t>1</w:t>
            </w:r>
            <w:r w:rsidR="00040AD8">
              <w:rPr>
                <w:rFonts w:ascii="Century" w:hAnsi="Century"/>
                <w:color w:val="333333"/>
                <w:sz w:val="22"/>
                <w:szCs w:val="22"/>
                <w:lang w:eastAsia="tr-TR"/>
              </w:rPr>
              <w:t>28</w:t>
            </w:r>
            <w:r w:rsidR="00A94C62" w:rsidRPr="00253D94">
              <w:rPr>
                <w:rFonts w:ascii="Century" w:hAnsi="Century"/>
                <w:color w:val="333333"/>
                <w:sz w:val="22"/>
                <w:szCs w:val="22"/>
                <w:lang w:eastAsia="tr-TR"/>
              </w:rPr>
              <w:t xml:space="preserve"> in Turkey</w:t>
            </w:r>
            <w:r w:rsidR="00DC62A8" w:rsidRPr="00253D94">
              <w:rPr>
                <w:rFonts w:ascii="Century" w:hAnsi="Century"/>
                <w:color w:val="333333"/>
                <w:sz w:val="22"/>
                <w:szCs w:val="22"/>
                <w:lang w:eastAsia="tr-TR"/>
              </w:rPr>
              <w:t xml:space="preserve">. </w:t>
            </w:r>
            <w:r w:rsidR="005B41D4" w:rsidRPr="00253D94">
              <w:rPr>
                <w:rFonts w:ascii="Century" w:hAnsi="Century"/>
                <w:color w:val="333333"/>
                <w:sz w:val="22"/>
                <w:szCs w:val="22"/>
                <w:lang w:eastAsia="tr-TR"/>
              </w:rPr>
              <w:t>T</w:t>
            </w:r>
            <w:r w:rsidR="00DC62A8" w:rsidRPr="00253D94">
              <w:rPr>
                <w:rFonts w:ascii="Century" w:hAnsi="Century"/>
                <w:color w:val="333333"/>
                <w:sz w:val="22"/>
                <w:szCs w:val="22"/>
                <w:lang w:eastAsia="tr-TR"/>
              </w:rPr>
              <w:t xml:space="preserve">he </w:t>
            </w:r>
            <w:r w:rsidR="00BD1525" w:rsidRPr="00253D94">
              <w:rPr>
                <w:rFonts w:ascii="Century" w:hAnsi="Century"/>
                <w:color w:val="333333"/>
                <w:sz w:val="22"/>
                <w:szCs w:val="22"/>
                <w:lang w:eastAsia="tr-TR"/>
              </w:rPr>
              <w:t xml:space="preserve">rate </w:t>
            </w:r>
            <w:r w:rsidR="00DC62A8" w:rsidRPr="00253D94">
              <w:rPr>
                <w:rFonts w:ascii="Century" w:hAnsi="Century"/>
                <w:color w:val="333333"/>
                <w:sz w:val="22"/>
                <w:szCs w:val="22"/>
                <w:lang w:eastAsia="tr-TR"/>
              </w:rPr>
              <w:t xml:space="preserve">of </w:t>
            </w:r>
            <w:r w:rsidR="00BD1525" w:rsidRPr="00253D94">
              <w:rPr>
                <w:rFonts w:ascii="Century" w:hAnsi="Century"/>
                <w:color w:val="333333"/>
                <w:sz w:val="22"/>
                <w:szCs w:val="22"/>
                <w:lang w:eastAsia="tr-TR"/>
              </w:rPr>
              <w:t xml:space="preserve">direct </w:t>
            </w:r>
            <w:r w:rsidR="00DC62A8" w:rsidRPr="00253D94">
              <w:rPr>
                <w:rFonts w:ascii="Century" w:hAnsi="Century"/>
                <w:color w:val="333333"/>
                <w:sz w:val="22"/>
                <w:szCs w:val="22"/>
                <w:lang w:eastAsia="tr-TR"/>
              </w:rPr>
              <w:t xml:space="preserve">premium </w:t>
            </w:r>
            <w:r w:rsidR="00BD1525" w:rsidRPr="00253D94">
              <w:rPr>
                <w:rFonts w:ascii="Century" w:hAnsi="Century"/>
                <w:color w:val="333333"/>
                <w:sz w:val="22"/>
                <w:szCs w:val="22"/>
                <w:lang w:eastAsia="tr-TR"/>
              </w:rPr>
              <w:t>over</w:t>
            </w:r>
            <w:r w:rsidR="00DC62A8" w:rsidRPr="00253D94">
              <w:rPr>
                <w:rFonts w:ascii="Century" w:hAnsi="Century"/>
                <w:color w:val="333333"/>
                <w:sz w:val="22"/>
                <w:szCs w:val="22"/>
                <w:lang w:eastAsia="tr-TR"/>
              </w:rPr>
              <w:t xml:space="preserve"> </w:t>
            </w:r>
            <w:r w:rsidR="00921A79" w:rsidRPr="00253D94">
              <w:rPr>
                <w:rFonts w:ascii="Century" w:hAnsi="Century"/>
                <w:color w:val="333333"/>
                <w:sz w:val="22"/>
                <w:szCs w:val="22"/>
                <w:lang w:eastAsia="tr-TR"/>
              </w:rPr>
              <w:t xml:space="preserve">the </w:t>
            </w:r>
            <w:r w:rsidR="00DC62A8" w:rsidRPr="00253D94">
              <w:rPr>
                <w:rFonts w:ascii="Century" w:hAnsi="Century"/>
                <w:color w:val="333333"/>
                <w:sz w:val="22"/>
                <w:szCs w:val="22"/>
                <w:lang w:eastAsia="tr-TR"/>
              </w:rPr>
              <w:t xml:space="preserve">GDP </w:t>
            </w:r>
            <w:r w:rsidR="00C81485" w:rsidRPr="00253D94">
              <w:rPr>
                <w:rFonts w:ascii="Century" w:hAnsi="Century"/>
                <w:color w:val="333333"/>
                <w:sz w:val="22"/>
                <w:szCs w:val="22"/>
                <w:lang w:eastAsia="tr-TR"/>
              </w:rPr>
              <w:t>was</w:t>
            </w:r>
            <w:r w:rsidR="00DC62A8" w:rsidRPr="00253D94">
              <w:rPr>
                <w:rFonts w:ascii="Century" w:hAnsi="Century"/>
                <w:color w:val="333333"/>
                <w:sz w:val="22"/>
                <w:szCs w:val="22"/>
                <w:lang w:eastAsia="tr-TR"/>
              </w:rPr>
              <w:t xml:space="preserve"> </w:t>
            </w:r>
            <w:r w:rsidR="00FD0FD6" w:rsidRPr="00253D94">
              <w:rPr>
                <w:rFonts w:ascii="Century" w:hAnsi="Century"/>
                <w:color w:val="333333"/>
                <w:sz w:val="22"/>
                <w:szCs w:val="22"/>
                <w:lang w:eastAsia="tr-TR"/>
              </w:rPr>
              <w:t>1.</w:t>
            </w:r>
            <w:r w:rsidR="00040AD8">
              <w:rPr>
                <w:rFonts w:ascii="Century" w:hAnsi="Century"/>
                <w:color w:val="333333"/>
                <w:sz w:val="22"/>
                <w:szCs w:val="22"/>
                <w:lang w:eastAsia="tr-TR"/>
              </w:rPr>
              <w:t>36</w:t>
            </w:r>
            <w:r w:rsidR="00B57179" w:rsidRPr="00253D94">
              <w:rPr>
                <w:rFonts w:ascii="Century" w:hAnsi="Century"/>
                <w:bCs/>
                <w:color w:val="333333"/>
                <w:sz w:val="22"/>
                <w:szCs w:val="22"/>
              </w:rPr>
              <w:t>%</w:t>
            </w:r>
            <w:r w:rsidR="00FD0FD6" w:rsidRPr="00253D94">
              <w:rPr>
                <w:rFonts w:ascii="Century" w:hAnsi="Century"/>
                <w:color w:val="333333"/>
                <w:sz w:val="22"/>
                <w:szCs w:val="22"/>
                <w:lang w:eastAsia="tr-TR"/>
              </w:rPr>
              <w:t xml:space="preserve"> </w:t>
            </w:r>
            <w:r w:rsidR="00921A79" w:rsidRPr="00253D94">
              <w:rPr>
                <w:rFonts w:ascii="Century" w:hAnsi="Century"/>
                <w:color w:val="333333"/>
                <w:sz w:val="22"/>
                <w:szCs w:val="22"/>
                <w:lang w:eastAsia="tr-TR"/>
              </w:rPr>
              <w:t>in Turkey</w:t>
            </w:r>
            <w:r w:rsidR="000B06CE" w:rsidRPr="00253D94">
              <w:rPr>
                <w:rFonts w:ascii="Century" w:hAnsi="Century"/>
                <w:color w:val="333333"/>
                <w:sz w:val="22"/>
                <w:szCs w:val="22"/>
                <w:lang w:eastAsia="tr-TR"/>
              </w:rPr>
              <w:t xml:space="preserve"> and</w:t>
            </w:r>
            <w:r w:rsidR="00FD0FD6" w:rsidRPr="00253D94">
              <w:rPr>
                <w:rFonts w:ascii="Century" w:hAnsi="Century"/>
                <w:color w:val="333333"/>
                <w:sz w:val="22"/>
                <w:szCs w:val="22"/>
                <w:lang w:eastAsia="tr-TR"/>
              </w:rPr>
              <w:t xml:space="preserve"> </w:t>
            </w:r>
            <w:r w:rsidR="00DC62A8" w:rsidRPr="00253D94">
              <w:rPr>
                <w:rFonts w:ascii="Century" w:hAnsi="Century"/>
                <w:color w:val="333333"/>
                <w:sz w:val="22"/>
                <w:szCs w:val="22"/>
                <w:lang w:eastAsia="tr-TR"/>
              </w:rPr>
              <w:t>6.</w:t>
            </w:r>
            <w:r w:rsidR="00040AD8">
              <w:rPr>
                <w:rFonts w:ascii="Century" w:hAnsi="Century"/>
                <w:color w:val="333333"/>
                <w:sz w:val="22"/>
                <w:szCs w:val="22"/>
                <w:lang w:eastAsia="tr-TR"/>
              </w:rPr>
              <w:t>09</w:t>
            </w:r>
            <w:r w:rsidR="00B57179" w:rsidRPr="00253D94">
              <w:rPr>
                <w:rFonts w:ascii="Century" w:hAnsi="Century"/>
                <w:bCs/>
                <w:color w:val="333333"/>
                <w:sz w:val="22"/>
                <w:szCs w:val="22"/>
              </w:rPr>
              <w:t>%</w:t>
            </w:r>
            <w:r w:rsidR="00DC62A8" w:rsidRPr="00253D94">
              <w:rPr>
                <w:rFonts w:ascii="Century" w:hAnsi="Century"/>
                <w:color w:val="333333"/>
                <w:sz w:val="22"/>
                <w:szCs w:val="22"/>
                <w:lang w:eastAsia="tr-TR"/>
              </w:rPr>
              <w:t xml:space="preserve"> globally</w:t>
            </w:r>
            <w:r w:rsidR="00AD7C08" w:rsidRPr="00253D94">
              <w:rPr>
                <w:rFonts w:ascii="Century" w:hAnsi="Century"/>
                <w:color w:val="333333"/>
                <w:sz w:val="22"/>
                <w:szCs w:val="22"/>
                <w:lang w:eastAsia="tr-TR"/>
              </w:rPr>
              <w:t xml:space="preserve"> in 201</w:t>
            </w:r>
            <w:r w:rsidR="00040AD8">
              <w:rPr>
                <w:rFonts w:ascii="Century" w:hAnsi="Century"/>
                <w:color w:val="333333"/>
                <w:sz w:val="22"/>
                <w:szCs w:val="22"/>
                <w:lang w:eastAsia="tr-TR"/>
              </w:rPr>
              <w:t>8</w:t>
            </w:r>
            <w:r w:rsidR="002F68D9" w:rsidRPr="00253D94">
              <w:rPr>
                <w:rFonts w:ascii="Century" w:hAnsi="Century"/>
                <w:color w:val="333333"/>
                <w:sz w:val="22"/>
                <w:szCs w:val="22"/>
                <w:lang w:eastAsia="tr-TR"/>
              </w:rPr>
              <w:t>.</w:t>
            </w:r>
          </w:p>
        </w:tc>
      </w:tr>
      <w:tr w:rsidR="00C85053" w:rsidRPr="00B10D90" w:rsidTr="00441D50">
        <w:trPr>
          <w:gridAfter w:val="2"/>
          <w:wAfter w:w="38" w:type="dxa"/>
          <w:trHeight w:val="181"/>
        </w:trPr>
        <w:tc>
          <w:tcPr>
            <w:tcW w:w="4817" w:type="dxa"/>
            <w:gridSpan w:val="2"/>
          </w:tcPr>
          <w:p w:rsidR="00C85053" w:rsidRPr="00B10D90" w:rsidRDefault="00C85053" w:rsidP="00B90A7F">
            <w:pPr>
              <w:jc w:val="both"/>
              <w:rPr>
                <w:rFonts w:ascii="Century" w:hAnsi="Century"/>
                <w:sz w:val="22"/>
                <w:szCs w:val="22"/>
                <w:highlight w:val="yellow"/>
              </w:rPr>
            </w:pPr>
          </w:p>
        </w:tc>
        <w:tc>
          <w:tcPr>
            <w:tcW w:w="318" w:type="dxa"/>
            <w:gridSpan w:val="7"/>
          </w:tcPr>
          <w:p w:rsidR="00C85053" w:rsidRPr="00B10D90" w:rsidRDefault="00C85053" w:rsidP="008D17FE">
            <w:pPr>
              <w:rPr>
                <w:rFonts w:ascii="Century" w:hAnsi="Century"/>
                <w:sz w:val="22"/>
                <w:szCs w:val="22"/>
                <w:highlight w:val="yellow"/>
              </w:rPr>
            </w:pPr>
          </w:p>
        </w:tc>
        <w:tc>
          <w:tcPr>
            <w:tcW w:w="4685" w:type="dxa"/>
            <w:gridSpan w:val="5"/>
          </w:tcPr>
          <w:p w:rsidR="00C85053" w:rsidRPr="00B10D90" w:rsidRDefault="00C85053" w:rsidP="006207FC">
            <w:pPr>
              <w:jc w:val="both"/>
              <w:rPr>
                <w:rFonts w:ascii="Century" w:hAnsi="Century" w:cs="Arial"/>
                <w:color w:val="333333"/>
                <w:sz w:val="22"/>
                <w:szCs w:val="22"/>
                <w:highlight w:val="yellow"/>
              </w:rPr>
            </w:pPr>
          </w:p>
        </w:tc>
      </w:tr>
      <w:tr w:rsidR="00C85053" w:rsidRPr="00B10D90" w:rsidTr="00441D50">
        <w:trPr>
          <w:gridAfter w:val="2"/>
          <w:wAfter w:w="38" w:type="dxa"/>
          <w:trHeight w:val="181"/>
        </w:trPr>
        <w:tc>
          <w:tcPr>
            <w:tcW w:w="9820" w:type="dxa"/>
            <w:gridSpan w:val="14"/>
          </w:tcPr>
          <w:p w:rsidR="00623548" w:rsidRPr="00253D94" w:rsidRDefault="00C52ABC" w:rsidP="00623548">
            <w:pPr>
              <w:pStyle w:val="Caption"/>
              <w:jc w:val="center"/>
              <w:rPr>
                <w:rFonts w:ascii="Century" w:hAnsi="Century"/>
                <w:color w:val="000080"/>
              </w:rPr>
            </w:pPr>
            <w:bookmarkStart w:id="174" w:name="_Toc170665523"/>
            <w:r>
              <w:rPr>
                <w:rFonts w:ascii="Century" w:hAnsi="Century"/>
                <w:color w:val="000080"/>
              </w:rPr>
              <w:t xml:space="preserve">Tablo 1.3.3: </w:t>
            </w:r>
            <w:r w:rsidR="00623548" w:rsidRPr="00253D94">
              <w:rPr>
                <w:rFonts w:ascii="Century" w:hAnsi="Century"/>
                <w:color w:val="000080"/>
              </w:rPr>
              <w:t>201</w:t>
            </w:r>
            <w:r w:rsidR="00C90B9E">
              <w:rPr>
                <w:rFonts w:ascii="Century" w:hAnsi="Century"/>
                <w:color w:val="000080"/>
              </w:rPr>
              <w:t>8</w:t>
            </w:r>
            <w:r w:rsidR="00623548" w:rsidRPr="00253D94">
              <w:rPr>
                <w:rFonts w:ascii="Century" w:hAnsi="Century"/>
                <w:color w:val="000080"/>
              </w:rPr>
              <w:t xml:space="preserve"> Yılı </w:t>
            </w:r>
            <w:r w:rsidR="00623548" w:rsidRPr="00253D94">
              <w:rPr>
                <w:rFonts w:ascii="Century" w:hAnsi="Century"/>
                <w:bCs w:val="0"/>
                <w:color w:val="000080"/>
              </w:rPr>
              <w:t xml:space="preserve">Kişi Başı Prim Üretimi </w:t>
            </w:r>
            <w:r w:rsidR="00623548" w:rsidRPr="00253D94">
              <w:rPr>
                <w:rFonts w:ascii="Century" w:hAnsi="Century"/>
                <w:color w:val="000080"/>
              </w:rPr>
              <w:t>ve Direkt Prim Üretimi/GSYH Oranı</w:t>
            </w:r>
          </w:p>
          <w:p w:rsidR="00623548" w:rsidRDefault="00623548" w:rsidP="00623548">
            <w:pPr>
              <w:pStyle w:val="Caption"/>
              <w:jc w:val="center"/>
              <w:rPr>
                <w:rFonts w:ascii="Century" w:hAnsi="Century"/>
                <w:b w:val="0"/>
                <w:i/>
                <w:iCs/>
                <w:color w:val="000080"/>
              </w:rPr>
            </w:pPr>
            <w:r w:rsidRPr="00253D94">
              <w:rPr>
                <w:rFonts w:ascii="Century" w:hAnsi="Century"/>
                <w:b w:val="0"/>
                <w:i/>
                <w:iCs/>
                <w:color w:val="000080"/>
              </w:rPr>
              <w:t xml:space="preserve">Premium Per Capita and Percentage of Total Volume to GDP in </w:t>
            </w:r>
            <w:bookmarkEnd w:id="174"/>
            <w:r w:rsidR="0005752A" w:rsidRPr="00253D94">
              <w:rPr>
                <w:rFonts w:ascii="Century" w:hAnsi="Century"/>
                <w:b w:val="0"/>
                <w:i/>
                <w:iCs/>
                <w:color w:val="000080"/>
              </w:rPr>
              <w:t>201</w:t>
            </w:r>
            <w:r w:rsidR="00C90B9E">
              <w:rPr>
                <w:rFonts w:ascii="Century" w:hAnsi="Century"/>
                <w:b w:val="0"/>
                <w:i/>
                <w:iCs/>
                <w:color w:val="000080"/>
              </w:rPr>
              <w:t>8</w:t>
            </w:r>
          </w:p>
          <w:p w:rsidR="00C90B9E" w:rsidRDefault="00040AD8" w:rsidP="00C90B9E">
            <w:r>
              <w:rPr>
                <w:noProof/>
              </w:rPr>
              <w:drawing>
                <wp:inline distT="0" distB="0" distL="0" distR="0">
                  <wp:extent cx="5991367" cy="13033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948" cy="1303487"/>
                          </a:xfrm>
                          <a:prstGeom prst="rect">
                            <a:avLst/>
                          </a:prstGeom>
                          <a:noFill/>
                          <a:ln>
                            <a:noFill/>
                          </a:ln>
                        </pic:spPr>
                      </pic:pic>
                    </a:graphicData>
                  </a:graphic>
                </wp:inline>
              </w:drawing>
            </w:r>
          </w:p>
          <w:p w:rsidR="00C85053" w:rsidRPr="00253D94" w:rsidRDefault="006752D2" w:rsidP="00E70013">
            <w:pPr>
              <w:jc w:val="both"/>
              <w:rPr>
                <w:rFonts w:ascii="Century" w:hAnsi="Century" w:cs="Arial"/>
                <w:color w:val="333333"/>
                <w:sz w:val="22"/>
                <w:szCs w:val="22"/>
              </w:rPr>
            </w:pPr>
            <w:r w:rsidRPr="00253D94">
              <w:rPr>
                <w:rFonts w:ascii="Century" w:hAnsi="Century" w:cs="Arial TUR"/>
                <w:sz w:val="16"/>
                <w:szCs w:val="16"/>
                <w:lang w:eastAsia="tr-TR"/>
              </w:rPr>
              <w:t xml:space="preserve">        </w:t>
            </w:r>
            <w:r w:rsidR="00623548" w:rsidRPr="00253D94">
              <w:rPr>
                <w:rFonts w:ascii="Century" w:hAnsi="Century" w:cs="Arial TUR"/>
                <w:sz w:val="16"/>
                <w:szCs w:val="16"/>
                <w:lang w:eastAsia="tr-TR"/>
              </w:rPr>
              <w:t>Kaynak: Sigma Dergisi, 201</w:t>
            </w:r>
            <w:r w:rsidR="00E70013">
              <w:rPr>
                <w:rFonts w:ascii="Century" w:hAnsi="Century" w:cs="Arial TUR"/>
                <w:sz w:val="16"/>
                <w:szCs w:val="16"/>
                <w:lang w:eastAsia="tr-TR"/>
              </w:rPr>
              <w:t>8</w:t>
            </w:r>
            <w:r w:rsidR="00623548" w:rsidRPr="00253D94">
              <w:rPr>
                <w:rFonts w:ascii="Century" w:hAnsi="Century" w:cs="Arial TUR"/>
                <w:sz w:val="16"/>
                <w:szCs w:val="16"/>
                <w:lang w:eastAsia="tr-TR"/>
              </w:rPr>
              <w:t xml:space="preserve"> Dünya Sigortacılığı</w:t>
            </w:r>
            <w:r w:rsidR="00623548" w:rsidRPr="00253D94">
              <w:rPr>
                <w:rFonts w:ascii="Century" w:hAnsi="Century" w:cs="Arial TUR"/>
                <w:i/>
                <w:sz w:val="16"/>
                <w:szCs w:val="16"/>
                <w:lang w:eastAsia="tr-TR"/>
              </w:rPr>
              <w:t>, S</w:t>
            </w:r>
            <w:r w:rsidR="00623548" w:rsidRPr="00253D94">
              <w:rPr>
                <w:rFonts w:ascii="Century" w:hAnsi="Century" w:cs="Arial TUR"/>
                <w:i/>
                <w:iCs/>
                <w:sz w:val="16"/>
                <w:szCs w:val="16"/>
                <w:lang w:eastAsia="tr-TR"/>
              </w:rPr>
              <w:t>ource: Sigma Magazine, World Insurance in 201</w:t>
            </w:r>
            <w:r w:rsidR="00E70013">
              <w:rPr>
                <w:rFonts w:ascii="Century" w:hAnsi="Century" w:cs="Arial TUR"/>
                <w:i/>
                <w:iCs/>
                <w:sz w:val="16"/>
                <w:szCs w:val="16"/>
                <w:lang w:eastAsia="tr-TR"/>
              </w:rPr>
              <w:t>8</w:t>
            </w:r>
            <w:r w:rsidR="00623548" w:rsidRPr="00253D94">
              <w:rPr>
                <w:rFonts w:ascii="Century" w:hAnsi="Century" w:cs="Arial TUR"/>
                <w:i/>
                <w:iCs/>
                <w:sz w:val="16"/>
                <w:szCs w:val="16"/>
                <w:lang w:eastAsia="tr-TR"/>
              </w:rPr>
              <w:t xml:space="preserve">, No: </w:t>
            </w:r>
            <w:r w:rsidR="005076EA" w:rsidRPr="00253D94">
              <w:rPr>
                <w:rFonts w:ascii="Century" w:hAnsi="Century" w:cs="Arial TUR"/>
                <w:i/>
                <w:iCs/>
                <w:sz w:val="16"/>
                <w:szCs w:val="16"/>
                <w:lang w:eastAsia="tr-TR"/>
              </w:rPr>
              <w:t>3</w:t>
            </w:r>
            <w:r w:rsidR="00623548" w:rsidRPr="00253D94">
              <w:rPr>
                <w:rFonts w:ascii="Century" w:hAnsi="Century" w:cs="Arial TUR"/>
                <w:i/>
                <w:iCs/>
                <w:sz w:val="16"/>
                <w:szCs w:val="16"/>
                <w:lang w:eastAsia="tr-TR"/>
              </w:rPr>
              <w:t>/201</w:t>
            </w:r>
            <w:r w:rsidR="00E70013">
              <w:rPr>
                <w:rFonts w:ascii="Century" w:hAnsi="Century" w:cs="Arial TUR"/>
                <w:i/>
                <w:iCs/>
                <w:sz w:val="16"/>
                <w:szCs w:val="16"/>
                <w:lang w:eastAsia="tr-TR"/>
              </w:rPr>
              <w:t>9</w:t>
            </w:r>
          </w:p>
        </w:tc>
      </w:tr>
      <w:tr w:rsidR="00C85053" w:rsidRPr="00B10D90" w:rsidTr="00441D50">
        <w:trPr>
          <w:gridAfter w:val="2"/>
          <w:wAfter w:w="38" w:type="dxa"/>
        </w:trPr>
        <w:tc>
          <w:tcPr>
            <w:tcW w:w="4917" w:type="dxa"/>
            <w:gridSpan w:val="6"/>
          </w:tcPr>
          <w:p w:rsidR="00CD53DB" w:rsidRPr="0090495F" w:rsidRDefault="00CD53DB" w:rsidP="00CD53DB">
            <w:pPr>
              <w:pStyle w:val="Style2"/>
              <w:numPr>
                <w:ilvl w:val="0"/>
                <w:numId w:val="1"/>
              </w:numPr>
              <w:tabs>
                <w:tab w:val="clear" w:pos="752"/>
              </w:tabs>
              <w:spacing w:before="0" w:after="0"/>
              <w:ind w:left="252" w:hanging="240"/>
              <w:jc w:val="both"/>
              <w:rPr>
                <w:color w:val="000080"/>
                <w:sz w:val="22"/>
                <w:szCs w:val="22"/>
              </w:rPr>
            </w:pPr>
            <w:bookmarkStart w:id="175" w:name="_Toc358380190"/>
            <w:bookmarkStart w:id="176" w:name="_Toc12957660"/>
            <w:r w:rsidRPr="0090495F">
              <w:rPr>
                <w:color w:val="000080"/>
                <w:sz w:val="22"/>
                <w:szCs w:val="22"/>
              </w:rPr>
              <w:lastRenderedPageBreak/>
              <w:t>YAPISAL GÖSTERGELER</w:t>
            </w:r>
            <w:bookmarkEnd w:id="175"/>
            <w:bookmarkEnd w:id="176"/>
          </w:p>
          <w:p w:rsidR="00C85053" w:rsidRPr="0090495F" w:rsidRDefault="00642411" w:rsidP="00642411">
            <w:pPr>
              <w:pStyle w:val="Heading2"/>
              <w:tabs>
                <w:tab w:val="clear" w:pos="717"/>
                <w:tab w:val="left" w:pos="394"/>
              </w:tabs>
              <w:ind w:left="0"/>
              <w:rPr>
                <w:rFonts w:ascii="Century" w:hAnsi="Century"/>
                <w:i w:val="0"/>
                <w:color w:val="000080"/>
                <w:sz w:val="22"/>
                <w:szCs w:val="22"/>
              </w:rPr>
            </w:pPr>
            <w:bookmarkStart w:id="177" w:name="_Toc327793331"/>
            <w:bookmarkStart w:id="178" w:name="_Toc358380191"/>
            <w:bookmarkStart w:id="179" w:name="_Toc12957661"/>
            <w:r>
              <w:rPr>
                <w:rFonts w:ascii="Century" w:hAnsi="Century"/>
                <w:i w:val="0"/>
                <w:color w:val="000080"/>
                <w:sz w:val="22"/>
                <w:szCs w:val="22"/>
              </w:rPr>
              <w:t xml:space="preserve"> </w:t>
            </w:r>
            <w:r w:rsidR="00C85053" w:rsidRPr="0090495F">
              <w:rPr>
                <w:rFonts w:ascii="Century" w:hAnsi="Century"/>
                <w:i w:val="0"/>
                <w:color w:val="000080"/>
                <w:sz w:val="22"/>
                <w:szCs w:val="22"/>
              </w:rPr>
              <w:t>Şirket Sayıları</w:t>
            </w:r>
            <w:bookmarkEnd w:id="177"/>
            <w:bookmarkEnd w:id="178"/>
            <w:bookmarkEnd w:id="179"/>
          </w:p>
          <w:p w:rsidR="00C85053" w:rsidRPr="0090495F" w:rsidRDefault="00C85053" w:rsidP="00EF2418">
            <w:pPr>
              <w:jc w:val="both"/>
              <w:rPr>
                <w:rFonts w:ascii="Century" w:hAnsi="Century"/>
                <w:sz w:val="22"/>
                <w:szCs w:val="22"/>
              </w:rPr>
            </w:pPr>
          </w:p>
          <w:p w:rsidR="00231053" w:rsidRPr="0090495F" w:rsidRDefault="00D47C3F" w:rsidP="00231053">
            <w:pPr>
              <w:jc w:val="both"/>
              <w:rPr>
                <w:rFonts w:ascii="Century" w:hAnsi="Century"/>
                <w:color w:val="000000"/>
                <w:sz w:val="22"/>
                <w:szCs w:val="22"/>
              </w:rPr>
            </w:pPr>
            <w:r w:rsidRPr="0090495F">
              <w:rPr>
                <w:rFonts w:ascii="Century" w:hAnsi="Century"/>
                <w:sz w:val="22"/>
                <w:szCs w:val="22"/>
              </w:rPr>
              <w:t>Türkiye’de 201</w:t>
            </w:r>
            <w:r w:rsidR="001F11FF" w:rsidRPr="0090495F">
              <w:rPr>
                <w:rFonts w:ascii="Century" w:hAnsi="Century"/>
                <w:sz w:val="22"/>
                <w:szCs w:val="22"/>
              </w:rPr>
              <w:t>8</w:t>
            </w:r>
            <w:r w:rsidR="00231053" w:rsidRPr="0090495F">
              <w:rPr>
                <w:rFonts w:ascii="Century" w:hAnsi="Century"/>
                <w:sz w:val="22"/>
                <w:szCs w:val="22"/>
              </w:rPr>
              <w:t xml:space="preserve"> yılı sonunda faaliyet gösteren 6</w:t>
            </w:r>
            <w:r w:rsidRPr="0090495F">
              <w:rPr>
                <w:rFonts w:ascii="Century" w:hAnsi="Century"/>
                <w:sz w:val="22"/>
                <w:szCs w:val="22"/>
              </w:rPr>
              <w:t>2</w:t>
            </w:r>
            <w:r w:rsidR="00231053" w:rsidRPr="0090495F">
              <w:rPr>
                <w:rFonts w:ascii="Century" w:hAnsi="Century"/>
                <w:sz w:val="22"/>
                <w:szCs w:val="22"/>
              </w:rPr>
              <w:t xml:space="preserve"> </w:t>
            </w:r>
            <w:r w:rsidR="00231053" w:rsidRPr="0090495F">
              <w:rPr>
                <w:rFonts w:ascii="Century" w:hAnsi="Century"/>
                <w:color w:val="000000"/>
                <w:sz w:val="22"/>
                <w:szCs w:val="22"/>
              </w:rPr>
              <w:t>sigorta, reasü</w:t>
            </w:r>
            <w:r w:rsidRPr="0090495F">
              <w:rPr>
                <w:rFonts w:ascii="Century" w:hAnsi="Century"/>
                <w:color w:val="000000"/>
                <w:sz w:val="22"/>
                <w:szCs w:val="22"/>
              </w:rPr>
              <w:t>rans ve emeklilik şirketinden 5</w:t>
            </w:r>
            <w:r w:rsidR="003249F7" w:rsidRPr="0090495F">
              <w:rPr>
                <w:rFonts w:ascii="Century" w:hAnsi="Century"/>
                <w:color w:val="000000"/>
                <w:sz w:val="22"/>
                <w:szCs w:val="22"/>
              </w:rPr>
              <w:t>9</w:t>
            </w:r>
            <w:r w:rsidR="00231053" w:rsidRPr="0090495F">
              <w:rPr>
                <w:rFonts w:ascii="Century" w:hAnsi="Century"/>
                <w:color w:val="000000"/>
                <w:sz w:val="22"/>
                <w:szCs w:val="22"/>
              </w:rPr>
              <w:t>’</w:t>
            </w:r>
            <w:r w:rsidR="003249F7" w:rsidRPr="0090495F">
              <w:rPr>
                <w:rFonts w:ascii="Century" w:hAnsi="Century"/>
                <w:color w:val="000000"/>
                <w:sz w:val="22"/>
                <w:szCs w:val="22"/>
              </w:rPr>
              <w:t>u</w:t>
            </w:r>
            <w:r w:rsidR="00231053" w:rsidRPr="0090495F">
              <w:rPr>
                <w:rFonts w:ascii="Century" w:hAnsi="Century"/>
                <w:color w:val="000000"/>
                <w:sz w:val="22"/>
                <w:szCs w:val="22"/>
              </w:rPr>
              <w:t xml:space="preserve"> anonim şirket, </w:t>
            </w:r>
            <w:r w:rsidRPr="0090495F">
              <w:rPr>
                <w:rFonts w:ascii="Century" w:hAnsi="Century"/>
                <w:color w:val="000000"/>
                <w:sz w:val="22"/>
                <w:szCs w:val="22"/>
              </w:rPr>
              <w:t>biri</w:t>
            </w:r>
            <w:r w:rsidR="00231053" w:rsidRPr="0090495F">
              <w:rPr>
                <w:rFonts w:ascii="Century" w:hAnsi="Century"/>
                <w:color w:val="000000"/>
                <w:sz w:val="22"/>
                <w:szCs w:val="22"/>
              </w:rPr>
              <w:t xml:space="preserve"> kooperatif şirket, ikisi yurtdışında kurulu bulunan şirketlerin şube</w:t>
            </w:r>
            <w:r w:rsidR="00A44560" w:rsidRPr="0090495F">
              <w:rPr>
                <w:rFonts w:ascii="Century" w:hAnsi="Century"/>
                <w:color w:val="000000"/>
                <w:sz w:val="22"/>
                <w:szCs w:val="22"/>
              </w:rPr>
              <w:t>si şeklinde örgütlenmiştir. 201</w:t>
            </w:r>
            <w:r w:rsidR="00265796" w:rsidRPr="0090495F">
              <w:rPr>
                <w:rFonts w:ascii="Century" w:hAnsi="Century"/>
                <w:color w:val="000000"/>
                <w:sz w:val="22"/>
                <w:szCs w:val="22"/>
              </w:rPr>
              <w:t>7</w:t>
            </w:r>
            <w:r w:rsidR="00A44560" w:rsidRPr="0090495F">
              <w:rPr>
                <w:rFonts w:ascii="Century" w:hAnsi="Century"/>
                <w:color w:val="000000"/>
                <w:sz w:val="22"/>
                <w:szCs w:val="22"/>
              </w:rPr>
              <w:t xml:space="preserve"> yılı sonunda </w:t>
            </w:r>
            <w:r w:rsidR="00265796" w:rsidRPr="0090495F">
              <w:rPr>
                <w:rFonts w:ascii="Century" w:hAnsi="Century"/>
                <w:color w:val="000000"/>
                <w:sz w:val="22"/>
                <w:szCs w:val="22"/>
              </w:rPr>
              <w:t>62</w:t>
            </w:r>
            <w:r w:rsidR="00231053" w:rsidRPr="0090495F">
              <w:rPr>
                <w:rFonts w:ascii="Century" w:hAnsi="Century"/>
                <w:color w:val="000000"/>
                <w:sz w:val="22"/>
                <w:szCs w:val="22"/>
              </w:rPr>
              <w:t xml:space="preserve"> olan şirket sayısı</w:t>
            </w:r>
            <w:r w:rsidR="00312830" w:rsidRPr="0090495F">
              <w:rPr>
                <w:rFonts w:ascii="Century" w:hAnsi="Century"/>
                <w:color w:val="000000"/>
                <w:sz w:val="22"/>
                <w:szCs w:val="22"/>
              </w:rPr>
              <w:t>,</w:t>
            </w:r>
            <w:r w:rsidR="00231053" w:rsidRPr="0090495F">
              <w:rPr>
                <w:rFonts w:ascii="Century" w:hAnsi="Century"/>
                <w:color w:val="000000"/>
                <w:sz w:val="22"/>
                <w:szCs w:val="22"/>
              </w:rPr>
              <w:t xml:space="preserve"> </w:t>
            </w:r>
            <w:r w:rsidR="00FC27C0" w:rsidRPr="0090495F">
              <w:rPr>
                <w:rFonts w:ascii="Century" w:hAnsi="Century"/>
                <w:color w:val="000000"/>
                <w:sz w:val="22"/>
                <w:szCs w:val="22"/>
              </w:rPr>
              <w:t>iki hayat dışı şirketin birleşmesi ve</w:t>
            </w:r>
            <w:r w:rsidR="00EF2636" w:rsidRPr="0090495F">
              <w:rPr>
                <w:rFonts w:ascii="Century" w:hAnsi="Century"/>
                <w:color w:val="000000"/>
                <w:sz w:val="22"/>
                <w:szCs w:val="22"/>
              </w:rPr>
              <w:t xml:space="preserve"> </w:t>
            </w:r>
            <w:r w:rsidR="00312830" w:rsidRPr="0090495F">
              <w:rPr>
                <w:rFonts w:ascii="Century" w:hAnsi="Century"/>
                <w:color w:val="000000"/>
                <w:sz w:val="22"/>
                <w:szCs w:val="22"/>
              </w:rPr>
              <w:t xml:space="preserve">bir sigorta şirketinin </w:t>
            </w:r>
            <w:r w:rsidR="00FC27C0" w:rsidRPr="0090495F">
              <w:rPr>
                <w:rFonts w:ascii="Century" w:hAnsi="Century"/>
                <w:color w:val="000000"/>
                <w:sz w:val="22"/>
                <w:szCs w:val="22"/>
              </w:rPr>
              <w:t xml:space="preserve">hayat dışı branşlarda </w:t>
            </w:r>
            <w:r w:rsidR="00312830" w:rsidRPr="0090495F">
              <w:rPr>
                <w:rFonts w:ascii="Century" w:hAnsi="Century"/>
                <w:color w:val="000000"/>
                <w:sz w:val="22"/>
                <w:szCs w:val="22"/>
              </w:rPr>
              <w:t>faaliyete başlaması üzerine</w:t>
            </w:r>
            <w:r w:rsidR="00EF2636" w:rsidRPr="0090495F">
              <w:rPr>
                <w:rFonts w:ascii="Century" w:hAnsi="Century"/>
                <w:color w:val="000000"/>
                <w:sz w:val="22"/>
                <w:szCs w:val="22"/>
              </w:rPr>
              <w:t xml:space="preserve"> </w:t>
            </w:r>
            <w:r w:rsidR="00231053" w:rsidRPr="0090495F">
              <w:rPr>
                <w:rFonts w:ascii="Century" w:hAnsi="Century"/>
                <w:color w:val="000000"/>
                <w:sz w:val="22"/>
                <w:szCs w:val="22"/>
              </w:rPr>
              <w:t>20</w:t>
            </w:r>
            <w:r w:rsidR="004C20D0" w:rsidRPr="0090495F">
              <w:rPr>
                <w:rFonts w:ascii="Century" w:hAnsi="Century"/>
                <w:color w:val="000000"/>
                <w:sz w:val="22"/>
                <w:szCs w:val="22"/>
              </w:rPr>
              <w:t>1</w:t>
            </w:r>
            <w:r w:rsidR="00265796" w:rsidRPr="0090495F">
              <w:rPr>
                <w:rFonts w:ascii="Century" w:hAnsi="Century"/>
                <w:color w:val="000000"/>
                <w:sz w:val="22"/>
                <w:szCs w:val="22"/>
              </w:rPr>
              <w:t>8</w:t>
            </w:r>
            <w:r w:rsidR="004C20D0" w:rsidRPr="0090495F">
              <w:rPr>
                <w:rFonts w:ascii="Century" w:hAnsi="Century"/>
                <w:color w:val="000000"/>
                <w:sz w:val="22"/>
                <w:szCs w:val="22"/>
              </w:rPr>
              <w:t xml:space="preserve"> yılı sonu</w:t>
            </w:r>
            <w:r w:rsidR="00312830" w:rsidRPr="0090495F">
              <w:rPr>
                <w:rFonts w:ascii="Century" w:hAnsi="Century"/>
                <w:color w:val="000000"/>
                <w:sz w:val="22"/>
                <w:szCs w:val="22"/>
              </w:rPr>
              <w:t xml:space="preserve"> itibariyle</w:t>
            </w:r>
            <w:r w:rsidR="004C20D0" w:rsidRPr="0090495F">
              <w:rPr>
                <w:rFonts w:ascii="Century" w:hAnsi="Century"/>
                <w:color w:val="000000"/>
                <w:sz w:val="22"/>
                <w:szCs w:val="22"/>
              </w:rPr>
              <w:t xml:space="preserve"> </w:t>
            </w:r>
            <w:r w:rsidR="00265796" w:rsidRPr="0090495F">
              <w:rPr>
                <w:rFonts w:ascii="Century" w:hAnsi="Century"/>
                <w:color w:val="000000"/>
                <w:sz w:val="22"/>
                <w:szCs w:val="22"/>
              </w:rPr>
              <w:t>değişmemiştir.</w:t>
            </w:r>
          </w:p>
          <w:p w:rsidR="00715E6C" w:rsidRPr="0090495F" w:rsidRDefault="00715E6C" w:rsidP="00C70C03">
            <w:pPr>
              <w:jc w:val="both"/>
              <w:rPr>
                <w:rFonts w:ascii="Century" w:hAnsi="Century"/>
                <w:color w:val="000000"/>
                <w:sz w:val="22"/>
                <w:szCs w:val="22"/>
              </w:rPr>
            </w:pPr>
          </w:p>
          <w:p w:rsidR="00877698" w:rsidRPr="0090495F" w:rsidRDefault="00231053" w:rsidP="00B93A8D">
            <w:pPr>
              <w:jc w:val="both"/>
              <w:rPr>
                <w:rFonts w:ascii="Century" w:hAnsi="Century"/>
                <w:color w:val="000000"/>
                <w:sz w:val="22"/>
                <w:szCs w:val="22"/>
              </w:rPr>
            </w:pPr>
            <w:r w:rsidRPr="0090495F">
              <w:rPr>
                <w:rFonts w:ascii="Century" w:hAnsi="Century"/>
                <w:color w:val="000000"/>
                <w:sz w:val="22"/>
                <w:szCs w:val="22"/>
              </w:rPr>
              <w:t>201</w:t>
            </w:r>
            <w:r w:rsidR="00265796" w:rsidRPr="0090495F">
              <w:rPr>
                <w:rFonts w:ascii="Century" w:hAnsi="Century"/>
                <w:color w:val="000000"/>
                <w:sz w:val="22"/>
                <w:szCs w:val="22"/>
              </w:rPr>
              <w:t>8</w:t>
            </w:r>
            <w:r w:rsidRPr="0090495F">
              <w:rPr>
                <w:rFonts w:ascii="Century" w:hAnsi="Century"/>
                <w:color w:val="000000"/>
                <w:sz w:val="22"/>
                <w:szCs w:val="22"/>
              </w:rPr>
              <w:t xml:space="preserve"> yılında</w:t>
            </w:r>
            <w:r w:rsidR="009F0F94" w:rsidRPr="0090495F">
              <w:rPr>
                <w:rFonts w:ascii="Century" w:hAnsi="Century"/>
                <w:color w:val="000000"/>
                <w:sz w:val="22"/>
                <w:szCs w:val="22"/>
              </w:rPr>
              <w:t xml:space="preserve"> </w:t>
            </w:r>
            <w:r w:rsidR="00265796" w:rsidRPr="0090495F">
              <w:rPr>
                <w:rFonts w:ascii="Century" w:hAnsi="Century"/>
                <w:color w:val="000000"/>
                <w:sz w:val="22"/>
                <w:szCs w:val="22"/>
              </w:rPr>
              <w:t xml:space="preserve">Magdeburger Sigorta </w:t>
            </w:r>
            <w:proofErr w:type="gramStart"/>
            <w:r w:rsidR="00265796" w:rsidRPr="0090495F">
              <w:rPr>
                <w:rFonts w:ascii="Century" w:hAnsi="Century"/>
                <w:color w:val="000000"/>
                <w:sz w:val="22"/>
                <w:szCs w:val="22"/>
              </w:rPr>
              <w:t xml:space="preserve">AŞ </w:t>
            </w:r>
            <w:r w:rsidR="00045A15" w:rsidRPr="0090495F">
              <w:rPr>
                <w:rFonts w:ascii="Century" w:hAnsi="Century"/>
                <w:color w:val="000000"/>
                <w:sz w:val="22"/>
                <w:szCs w:val="22"/>
              </w:rPr>
              <w:t xml:space="preserve"> </w:t>
            </w:r>
            <w:r w:rsidR="009F0F94" w:rsidRPr="0090495F">
              <w:rPr>
                <w:rFonts w:ascii="Century" w:hAnsi="Century"/>
                <w:color w:val="000000"/>
                <w:sz w:val="22"/>
                <w:szCs w:val="22"/>
              </w:rPr>
              <w:t>faaliyete</w:t>
            </w:r>
            <w:proofErr w:type="gramEnd"/>
            <w:r w:rsidR="009F0F94" w:rsidRPr="0090495F">
              <w:rPr>
                <w:rFonts w:ascii="Century" w:hAnsi="Century"/>
                <w:color w:val="000000"/>
                <w:sz w:val="22"/>
                <w:szCs w:val="22"/>
              </w:rPr>
              <w:t xml:space="preserve"> başlarken, </w:t>
            </w:r>
            <w:r w:rsidR="00265796" w:rsidRPr="0090495F">
              <w:rPr>
                <w:rFonts w:ascii="Century" w:hAnsi="Century"/>
                <w:color w:val="000000"/>
                <w:sz w:val="22"/>
                <w:szCs w:val="22"/>
              </w:rPr>
              <w:t xml:space="preserve">HDI Sigorta AŞ’nin Liberty Sigorta AŞ’yi tüm aktif ve pasifleri ile birlikte devralması sonucunda Liberty Sigorta AŞ infisah etmiştir. Groupama Emeklilik Sigorta AŞ emeklilik portföyünü Fiba Emeklilik AŞ’ye devretmiş ve ticaret </w:t>
            </w:r>
            <w:r w:rsidR="00312830" w:rsidRPr="0090495F">
              <w:rPr>
                <w:rFonts w:ascii="Century" w:hAnsi="Century"/>
                <w:color w:val="000000"/>
                <w:sz w:val="22"/>
                <w:szCs w:val="22"/>
              </w:rPr>
              <w:t>u</w:t>
            </w:r>
            <w:r w:rsidR="00265796" w:rsidRPr="0090495F">
              <w:rPr>
                <w:rFonts w:ascii="Century" w:hAnsi="Century"/>
                <w:color w:val="000000"/>
                <w:sz w:val="22"/>
                <w:szCs w:val="22"/>
              </w:rPr>
              <w:t xml:space="preserve">nvanı Groupama Hayat AŞ olarak değişmiştir. </w:t>
            </w:r>
          </w:p>
          <w:p w:rsidR="00265796" w:rsidRPr="0090495F" w:rsidRDefault="00265796" w:rsidP="00B93A8D">
            <w:pPr>
              <w:jc w:val="both"/>
              <w:rPr>
                <w:rFonts w:ascii="Century" w:hAnsi="Century"/>
                <w:sz w:val="22"/>
                <w:szCs w:val="22"/>
              </w:rPr>
            </w:pPr>
          </w:p>
          <w:p w:rsidR="002B5D40" w:rsidRPr="0090495F" w:rsidRDefault="00474154" w:rsidP="00B93A8D">
            <w:pPr>
              <w:jc w:val="both"/>
              <w:rPr>
                <w:rFonts w:ascii="Century" w:hAnsi="Century"/>
                <w:sz w:val="22"/>
                <w:szCs w:val="22"/>
              </w:rPr>
            </w:pPr>
            <w:r w:rsidRPr="0090495F">
              <w:rPr>
                <w:rFonts w:ascii="Century" w:hAnsi="Century"/>
                <w:sz w:val="22"/>
                <w:szCs w:val="22"/>
              </w:rPr>
              <w:t>201</w:t>
            </w:r>
            <w:r w:rsidR="00265796" w:rsidRPr="0090495F">
              <w:rPr>
                <w:rFonts w:ascii="Century" w:hAnsi="Century"/>
                <w:sz w:val="22"/>
                <w:szCs w:val="22"/>
              </w:rPr>
              <w:t>8</w:t>
            </w:r>
            <w:r w:rsidRPr="0090495F">
              <w:rPr>
                <w:rFonts w:ascii="Century" w:hAnsi="Century"/>
                <w:sz w:val="22"/>
                <w:szCs w:val="22"/>
              </w:rPr>
              <w:t xml:space="preserve"> yılında sektörde faaliyet gösteren </w:t>
            </w:r>
            <w:r w:rsidR="001E52CA" w:rsidRPr="0090495F">
              <w:rPr>
                <w:rFonts w:ascii="Century" w:hAnsi="Century"/>
                <w:sz w:val="22"/>
                <w:szCs w:val="22"/>
              </w:rPr>
              <w:t>6</w:t>
            </w:r>
            <w:r w:rsidR="008236A6" w:rsidRPr="0090495F">
              <w:rPr>
                <w:rFonts w:ascii="Century" w:hAnsi="Century"/>
                <w:sz w:val="22"/>
                <w:szCs w:val="22"/>
              </w:rPr>
              <w:t>2</w:t>
            </w:r>
            <w:r w:rsidRPr="0090495F">
              <w:rPr>
                <w:rFonts w:ascii="Century" w:hAnsi="Century"/>
                <w:sz w:val="22"/>
                <w:szCs w:val="22"/>
              </w:rPr>
              <w:t xml:space="preserve"> şirketin</w:t>
            </w:r>
            <w:r w:rsidR="00C85053" w:rsidRPr="0090495F">
              <w:rPr>
                <w:rFonts w:ascii="Century" w:hAnsi="Century"/>
                <w:sz w:val="22"/>
                <w:szCs w:val="22"/>
              </w:rPr>
              <w:t xml:space="preserve"> 3</w:t>
            </w:r>
            <w:r w:rsidR="00123A97" w:rsidRPr="0090495F">
              <w:rPr>
                <w:rFonts w:ascii="Century" w:hAnsi="Century"/>
                <w:sz w:val="22"/>
                <w:szCs w:val="22"/>
              </w:rPr>
              <w:t>8</w:t>
            </w:r>
            <w:r w:rsidR="00C85053" w:rsidRPr="0090495F">
              <w:rPr>
                <w:rFonts w:ascii="Century" w:hAnsi="Century"/>
                <w:sz w:val="22"/>
                <w:szCs w:val="22"/>
              </w:rPr>
              <w:t>’</w:t>
            </w:r>
            <w:r w:rsidR="00330388" w:rsidRPr="0090495F">
              <w:rPr>
                <w:rFonts w:ascii="Century" w:hAnsi="Century"/>
                <w:sz w:val="22"/>
                <w:szCs w:val="22"/>
              </w:rPr>
              <w:t>i</w:t>
            </w:r>
            <w:r w:rsidR="00C85053" w:rsidRPr="0090495F">
              <w:rPr>
                <w:rFonts w:ascii="Century" w:hAnsi="Century"/>
                <w:sz w:val="22"/>
                <w:szCs w:val="22"/>
              </w:rPr>
              <w:t xml:space="preserve"> hayat dışı</w:t>
            </w:r>
            <w:r w:rsidR="00741C51" w:rsidRPr="0090495F">
              <w:rPr>
                <w:rFonts w:ascii="Century" w:hAnsi="Century"/>
                <w:sz w:val="22"/>
                <w:szCs w:val="22"/>
              </w:rPr>
              <w:t xml:space="preserve"> sigortalar</w:t>
            </w:r>
            <w:r w:rsidR="00945B3E" w:rsidRPr="0090495F">
              <w:rPr>
                <w:rFonts w:ascii="Century" w:hAnsi="Century"/>
                <w:sz w:val="22"/>
                <w:szCs w:val="22"/>
              </w:rPr>
              <w:t>da</w:t>
            </w:r>
            <w:r w:rsidR="00C85053" w:rsidRPr="0090495F">
              <w:rPr>
                <w:rFonts w:ascii="Century" w:hAnsi="Century"/>
                <w:sz w:val="22"/>
                <w:szCs w:val="22"/>
              </w:rPr>
              <w:t xml:space="preserve">, </w:t>
            </w:r>
            <w:r w:rsidR="00265796" w:rsidRPr="0090495F">
              <w:rPr>
                <w:rFonts w:ascii="Century" w:hAnsi="Century"/>
                <w:sz w:val="22"/>
                <w:szCs w:val="22"/>
              </w:rPr>
              <w:t>5</w:t>
            </w:r>
            <w:r w:rsidR="00C85053" w:rsidRPr="0090495F">
              <w:rPr>
                <w:rFonts w:ascii="Century" w:hAnsi="Century"/>
                <w:sz w:val="22"/>
                <w:szCs w:val="22"/>
              </w:rPr>
              <w:t>’</w:t>
            </w:r>
            <w:r w:rsidR="00265796" w:rsidRPr="0090495F">
              <w:rPr>
                <w:rFonts w:ascii="Century" w:hAnsi="Century"/>
                <w:sz w:val="22"/>
                <w:szCs w:val="22"/>
              </w:rPr>
              <w:t>i</w:t>
            </w:r>
            <w:r w:rsidR="00C85053" w:rsidRPr="0090495F">
              <w:rPr>
                <w:rFonts w:ascii="Century" w:hAnsi="Century"/>
                <w:sz w:val="22"/>
                <w:szCs w:val="22"/>
              </w:rPr>
              <w:t xml:space="preserve"> hayat</w:t>
            </w:r>
            <w:r w:rsidR="00741C51" w:rsidRPr="0090495F">
              <w:rPr>
                <w:rFonts w:ascii="Century" w:hAnsi="Century"/>
                <w:sz w:val="22"/>
                <w:szCs w:val="22"/>
              </w:rPr>
              <w:t xml:space="preserve"> sigortaları</w:t>
            </w:r>
            <w:r w:rsidR="00945B3E" w:rsidRPr="0090495F">
              <w:rPr>
                <w:rFonts w:ascii="Century" w:hAnsi="Century"/>
                <w:sz w:val="22"/>
                <w:szCs w:val="22"/>
              </w:rPr>
              <w:t>nda</w:t>
            </w:r>
            <w:r w:rsidR="00C85053" w:rsidRPr="0090495F">
              <w:rPr>
                <w:rFonts w:ascii="Century" w:hAnsi="Century"/>
                <w:sz w:val="22"/>
                <w:szCs w:val="22"/>
              </w:rPr>
              <w:t>, 1</w:t>
            </w:r>
            <w:r w:rsidR="00265796" w:rsidRPr="0090495F">
              <w:rPr>
                <w:rFonts w:ascii="Century" w:hAnsi="Century"/>
                <w:sz w:val="22"/>
                <w:szCs w:val="22"/>
              </w:rPr>
              <w:t>7</w:t>
            </w:r>
            <w:r w:rsidR="00C85053" w:rsidRPr="0090495F">
              <w:rPr>
                <w:rFonts w:ascii="Century" w:hAnsi="Century"/>
                <w:sz w:val="22"/>
                <w:szCs w:val="22"/>
              </w:rPr>
              <w:t>’</w:t>
            </w:r>
            <w:r w:rsidR="00265796" w:rsidRPr="0090495F">
              <w:rPr>
                <w:rFonts w:ascii="Century" w:hAnsi="Century"/>
                <w:sz w:val="22"/>
                <w:szCs w:val="22"/>
              </w:rPr>
              <w:t>s</w:t>
            </w:r>
            <w:r w:rsidR="00330388" w:rsidRPr="0090495F">
              <w:rPr>
                <w:rFonts w:ascii="Century" w:hAnsi="Century"/>
                <w:sz w:val="22"/>
                <w:szCs w:val="22"/>
              </w:rPr>
              <w:t>i</w:t>
            </w:r>
            <w:r w:rsidR="00C85053" w:rsidRPr="0090495F">
              <w:rPr>
                <w:rFonts w:ascii="Century" w:hAnsi="Century"/>
                <w:sz w:val="22"/>
                <w:szCs w:val="22"/>
              </w:rPr>
              <w:t xml:space="preserve"> hayat ve emeklilik</w:t>
            </w:r>
            <w:r w:rsidR="00945B3E" w:rsidRPr="0090495F">
              <w:rPr>
                <w:rFonts w:ascii="Century" w:hAnsi="Century"/>
                <w:sz w:val="22"/>
                <w:szCs w:val="22"/>
              </w:rPr>
              <w:t>te</w:t>
            </w:r>
            <w:r w:rsidR="00C85053" w:rsidRPr="0090495F">
              <w:rPr>
                <w:rFonts w:ascii="Century" w:hAnsi="Century"/>
                <w:sz w:val="22"/>
                <w:szCs w:val="22"/>
              </w:rPr>
              <w:t xml:space="preserve">, </w:t>
            </w:r>
            <w:r w:rsidR="00330388" w:rsidRPr="0090495F">
              <w:rPr>
                <w:rFonts w:ascii="Century" w:hAnsi="Century"/>
                <w:sz w:val="22"/>
                <w:szCs w:val="22"/>
              </w:rPr>
              <w:t>2’si</w:t>
            </w:r>
            <w:r w:rsidR="00C85053" w:rsidRPr="0090495F">
              <w:rPr>
                <w:rFonts w:ascii="Century" w:hAnsi="Century"/>
                <w:sz w:val="22"/>
                <w:szCs w:val="22"/>
              </w:rPr>
              <w:t xml:space="preserve"> </w:t>
            </w:r>
            <w:r w:rsidR="00231053" w:rsidRPr="0090495F">
              <w:rPr>
                <w:rFonts w:ascii="Century" w:hAnsi="Century"/>
                <w:sz w:val="22"/>
                <w:szCs w:val="22"/>
              </w:rPr>
              <w:t>ise</w:t>
            </w:r>
            <w:r w:rsidR="00C85053" w:rsidRPr="0090495F">
              <w:rPr>
                <w:rFonts w:ascii="Century" w:hAnsi="Century"/>
                <w:sz w:val="22"/>
                <w:szCs w:val="22"/>
              </w:rPr>
              <w:t xml:space="preserve"> reasürans alanında ruhsat sahibidir. Ancak, ruhsat sahibi olmakla b</w:t>
            </w:r>
            <w:r w:rsidR="00116FC7" w:rsidRPr="0090495F">
              <w:rPr>
                <w:rFonts w:ascii="Century" w:hAnsi="Century"/>
                <w:sz w:val="22"/>
                <w:szCs w:val="22"/>
              </w:rPr>
              <w:t>irlikte</w:t>
            </w:r>
            <w:r w:rsidR="00C85053" w:rsidRPr="0090495F">
              <w:rPr>
                <w:rFonts w:ascii="Century" w:hAnsi="Century"/>
                <w:sz w:val="22"/>
                <w:szCs w:val="22"/>
              </w:rPr>
              <w:t xml:space="preserve"> faaliyette bulunmayan </w:t>
            </w:r>
            <w:r w:rsidR="00265796" w:rsidRPr="0090495F">
              <w:rPr>
                <w:rFonts w:ascii="Century" w:hAnsi="Century"/>
                <w:sz w:val="22"/>
                <w:szCs w:val="22"/>
              </w:rPr>
              <w:t>bir</w:t>
            </w:r>
            <w:r w:rsidR="00C85053" w:rsidRPr="0090495F">
              <w:rPr>
                <w:rFonts w:ascii="Century" w:hAnsi="Century"/>
                <w:sz w:val="22"/>
                <w:szCs w:val="22"/>
              </w:rPr>
              <w:t xml:space="preserve"> hayat dışı, </w:t>
            </w:r>
            <w:r w:rsidR="002C5F69" w:rsidRPr="0090495F">
              <w:rPr>
                <w:rFonts w:ascii="Century" w:hAnsi="Century"/>
                <w:sz w:val="22"/>
                <w:szCs w:val="22"/>
              </w:rPr>
              <w:t>bir</w:t>
            </w:r>
            <w:r w:rsidR="00C85053" w:rsidRPr="0090495F">
              <w:rPr>
                <w:rFonts w:ascii="Century" w:hAnsi="Century"/>
                <w:sz w:val="22"/>
                <w:szCs w:val="22"/>
              </w:rPr>
              <w:t xml:space="preserve"> hayat </w:t>
            </w:r>
            <w:r w:rsidR="004F23CD" w:rsidRPr="0090495F">
              <w:rPr>
                <w:rFonts w:ascii="Century" w:hAnsi="Century"/>
                <w:sz w:val="22"/>
                <w:szCs w:val="22"/>
              </w:rPr>
              <w:t>ve bir reasürans</w:t>
            </w:r>
            <w:r w:rsidR="00C85053" w:rsidRPr="0090495F">
              <w:rPr>
                <w:rFonts w:ascii="Century" w:hAnsi="Century"/>
                <w:sz w:val="22"/>
                <w:szCs w:val="22"/>
              </w:rPr>
              <w:t xml:space="preserve"> şirketi </w:t>
            </w:r>
            <w:r w:rsidR="000616B0" w:rsidRPr="0090495F">
              <w:rPr>
                <w:rFonts w:ascii="Century" w:hAnsi="Century"/>
                <w:sz w:val="22"/>
                <w:szCs w:val="22"/>
              </w:rPr>
              <w:t>bulunmaktadır. Bunlarla birlikte ruhsat</w:t>
            </w:r>
            <w:r w:rsidR="00852EAB" w:rsidRPr="0090495F">
              <w:rPr>
                <w:rFonts w:ascii="Century" w:hAnsi="Century"/>
                <w:sz w:val="22"/>
                <w:szCs w:val="22"/>
              </w:rPr>
              <w:t>lı toplam</w:t>
            </w:r>
            <w:r w:rsidR="000616B0" w:rsidRPr="0090495F">
              <w:rPr>
                <w:rFonts w:ascii="Century" w:hAnsi="Century"/>
                <w:sz w:val="22"/>
                <w:szCs w:val="22"/>
              </w:rPr>
              <w:t xml:space="preserve"> şirket sayısı 6</w:t>
            </w:r>
            <w:r w:rsidR="00265796" w:rsidRPr="0090495F">
              <w:rPr>
                <w:rFonts w:ascii="Century" w:hAnsi="Century"/>
                <w:sz w:val="22"/>
                <w:szCs w:val="22"/>
              </w:rPr>
              <w:t>5</w:t>
            </w:r>
            <w:r w:rsidR="000616B0" w:rsidRPr="0090495F">
              <w:rPr>
                <w:rFonts w:ascii="Century" w:hAnsi="Century"/>
                <w:sz w:val="22"/>
                <w:szCs w:val="22"/>
              </w:rPr>
              <w:t>’</w:t>
            </w:r>
            <w:r w:rsidR="00265796" w:rsidRPr="0090495F">
              <w:rPr>
                <w:rFonts w:ascii="Century" w:hAnsi="Century"/>
                <w:sz w:val="22"/>
                <w:szCs w:val="22"/>
              </w:rPr>
              <w:t>e</w:t>
            </w:r>
            <w:r w:rsidR="000616B0" w:rsidRPr="0090495F">
              <w:rPr>
                <w:rFonts w:ascii="Century" w:hAnsi="Century"/>
                <w:sz w:val="22"/>
                <w:szCs w:val="22"/>
              </w:rPr>
              <w:t xml:space="preserve"> ulaşmaktadır.</w:t>
            </w:r>
          </w:p>
          <w:p w:rsidR="002B5D40" w:rsidRPr="0090495F" w:rsidRDefault="002B5D40" w:rsidP="00B93A8D">
            <w:pPr>
              <w:jc w:val="both"/>
              <w:rPr>
                <w:rFonts w:ascii="Century" w:hAnsi="Century"/>
                <w:sz w:val="22"/>
                <w:szCs w:val="22"/>
              </w:rPr>
            </w:pPr>
          </w:p>
          <w:p w:rsidR="00C85053" w:rsidRPr="0090495F" w:rsidRDefault="0057320D" w:rsidP="001E7568">
            <w:pPr>
              <w:jc w:val="both"/>
              <w:rPr>
                <w:rFonts w:ascii="Century" w:hAnsi="Century"/>
                <w:sz w:val="22"/>
                <w:szCs w:val="22"/>
              </w:rPr>
            </w:pPr>
            <w:r w:rsidRPr="0090495F">
              <w:rPr>
                <w:rFonts w:ascii="Century" w:hAnsi="Century"/>
                <w:sz w:val="22"/>
                <w:szCs w:val="22"/>
              </w:rPr>
              <w:t xml:space="preserve">Aşağıdaki tabloda </w:t>
            </w:r>
            <w:r w:rsidR="00BB49D4" w:rsidRPr="0090495F">
              <w:rPr>
                <w:rFonts w:ascii="Century" w:hAnsi="Century"/>
                <w:sz w:val="22"/>
                <w:szCs w:val="22"/>
              </w:rPr>
              <w:t xml:space="preserve">prim ve katkı payı üretiminde bulunup bulunmadıklarına (faal ve faal olmayan) göre son üç yıldaki şirket sayıları </w:t>
            </w:r>
            <w:r w:rsidR="00231053" w:rsidRPr="0090495F">
              <w:rPr>
                <w:rFonts w:ascii="Century" w:hAnsi="Century"/>
                <w:sz w:val="22"/>
                <w:szCs w:val="22"/>
              </w:rPr>
              <w:t>faaliyet</w:t>
            </w:r>
            <w:r w:rsidR="00741C51" w:rsidRPr="0090495F">
              <w:rPr>
                <w:rFonts w:ascii="Century" w:hAnsi="Century"/>
                <w:sz w:val="22"/>
                <w:szCs w:val="22"/>
              </w:rPr>
              <w:t xml:space="preserve"> grubu </w:t>
            </w:r>
            <w:r w:rsidR="00C85053" w:rsidRPr="0090495F">
              <w:rPr>
                <w:rFonts w:ascii="Century" w:hAnsi="Century"/>
                <w:sz w:val="22"/>
                <w:szCs w:val="22"/>
              </w:rPr>
              <w:t>ayrımında verilmiştir.</w:t>
            </w:r>
          </w:p>
          <w:p w:rsidR="005B5A85" w:rsidRPr="0090495F" w:rsidRDefault="005B5A85" w:rsidP="001E7568">
            <w:pPr>
              <w:jc w:val="both"/>
              <w:rPr>
                <w:rFonts w:ascii="Century" w:hAnsi="Century"/>
                <w:sz w:val="22"/>
                <w:szCs w:val="22"/>
              </w:rPr>
            </w:pPr>
          </w:p>
        </w:tc>
        <w:tc>
          <w:tcPr>
            <w:tcW w:w="236" w:type="dxa"/>
            <w:gridSpan w:val="4"/>
          </w:tcPr>
          <w:p w:rsidR="00C85053" w:rsidRPr="0090495F" w:rsidRDefault="00C85053" w:rsidP="00EF2418">
            <w:pPr>
              <w:jc w:val="both"/>
              <w:rPr>
                <w:rFonts w:ascii="Century" w:hAnsi="Century"/>
                <w:sz w:val="22"/>
                <w:szCs w:val="22"/>
              </w:rPr>
            </w:pPr>
          </w:p>
        </w:tc>
        <w:tc>
          <w:tcPr>
            <w:tcW w:w="4667" w:type="dxa"/>
            <w:gridSpan w:val="4"/>
          </w:tcPr>
          <w:p w:rsidR="00C85053" w:rsidRPr="0090495F" w:rsidRDefault="00C27D7C" w:rsidP="00C27D7C">
            <w:pPr>
              <w:jc w:val="both"/>
              <w:rPr>
                <w:rFonts w:ascii="Century" w:hAnsi="Century"/>
                <w:b/>
                <w:color w:val="003366"/>
                <w:sz w:val="22"/>
                <w:szCs w:val="22"/>
              </w:rPr>
            </w:pPr>
            <w:r w:rsidRPr="0090495F">
              <w:rPr>
                <w:rFonts w:ascii="Century" w:hAnsi="Century"/>
                <w:b/>
                <w:color w:val="003366"/>
                <w:sz w:val="22"/>
                <w:szCs w:val="22"/>
              </w:rPr>
              <w:t xml:space="preserve">2. </w:t>
            </w:r>
            <w:r w:rsidR="00C85053" w:rsidRPr="0090495F">
              <w:rPr>
                <w:rFonts w:ascii="Century" w:hAnsi="Century"/>
                <w:b/>
                <w:color w:val="003366"/>
                <w:sz w:val="22"/>
                <w:szCs w:val="22"/>
              </w:rPr>
              <w:t>STRUCTURAL INDICATORS</w:t>
            </w:r>
          </w:p>
          <w:p w:rsidR="00C85053" w:rsidRPr="0090495F" w:rsidRDefault="00C85053" w:rsidP="00480FF0">
            <w:pPr>
              <w:rPr>
                <w:rFonts w:ascii="Century" w:hAnsi="Century"/>
                <w:color w:val="003366"/>
                <w:sz w:val="22"/>
                <w:szCs w:val="22"/>
              </w:rPr>
            </w:pPr>
          </w:p>
          <w:p w:rsidR="00C85053" w:rsidRPr="0090495F" w:rsidRDefault="00CD53DB" w:rsidP="00C24212">
            <w:pPr>
              <w:jc w:val="both"/>
              <w:rPr>
                <w:rFonts w:ascii="Century" w:hAnsi="Century"/>
                <w:b/>
                <w:color w:val="003366"/>
                <w:sz w:val="22"/>
                <w:szCs w:val="22"/>
              </w:rPr>
            </w:pPr>
            <w:r w:rsidRPr="0090495F">
              <w:rPr>
                <w:rFonts w:ascii="Century" w:hAnsi="Century"/>
                <w:b/>
                <w:color w:val="003366"/>
                <w:sz w:val="22"/>
                <w:szCs w:val="22"/>
              </w:rPr>
              <w:t>2.1</w:t>
            </w:r>
            <w:r w:rsidR="00C85053" w:rsidRPr="0090495F">
              <w:rPr>
                <w:rFonts w:ascii="Century" w:hAnsi="Century"/>
                <w:b/>
                <w:color w:val="003366"/>
                <w:sz w:val="22"/>
                <w:szCs w:val="22"/>
              </w:rPr>
              <w:t>. Number of Companies</w:t>
            </w:r>
          </w:p>
          <w:p w:rsidR="00C85053" w:rsidRPr="0090495F" w:rsidRDefault="00C85053" w:rsidP="00C24212">
            <w:pPr>
              <w:jc w:val="both"/>
              <w:rPr>
                <w:rFonts w:ascii="Century" w:hAnsi="Century"/>
                <w:color w:val="333333"/>
                <w:sz w:val="22"/>
                <w:szCs w:val="22"/>
              </w:rPr>
            </w:pPr>
          </w:p>
          <w:p w:rsidR="0090495F" w:rsidRPr="0090495F" w:rsidRDefault="003249F7" w:rsidP="0090495F">
            <w:pPr>
              <w:jc w:val="both"/>
              <w:rPr>
                <w:rFonts w:ascii="Century" w:hAnsi="Century"/>
                <w:color w:val="333333"/>
                <w:sz w:val="22"/>
                <w:szCs w:val="22"/>
              </w:rPr>
            </w:pPr>
            <w:r w:rsidRPr="0090495F">
              <w:rPr>
                <w:rFonts w:ascii="Century" w:hAnsi="Century"/>
                <w:color w:val="333333"/>
                <w:sz w:val="22"/>
                <w:szCs w:val="22"/>
              </w:rPr>
              <w:t xml:space="preserve">There are 62 insurance, reinsurance and pension companies operating actively in Turkish Insurance Sector </w:t>
            </w:r>
            <w:r w:rsidR="00DA2FB9" w:rsidRPr="0090495F">
              <w:rPr>
                <w:rFonts w:ascii="Century" w:hAnsi="Century"/>
                <w:color w:val="333333"/>
                <w:sz w:val="22"/>
                <w:szCs w:val="22"/>
              </w:rPr>
              <w:t>by the end of</w:t>
            </w:r>
            <w:r w:rsidRPr="0090495F">
              <w:rPr>
                <w:rFonts w:ascii="Century" w:hAnsi="Century"/>
                <w:color w:val="333333"/>
                <w:sz w:val="22"/>
                <w:szCs w:val="22"/>
              </w:rPr>
              <w:t xml:space="preserve"> 2017. 59 of them are corporate companies, one of them is mutual company and two of them are the branches of international companies. </w:t>
            </w:r>
            <w:r w:rsidR="0090495F" w:rsidRPr="0090495F">
              <w:rPr>
                <w:rFonts w:ascii="Century" w:hAnsi="Century"/>
                <w:color w:val="333333"/>
                <w:sz w:val="22"/>
                <w:szCs w:val="22"/>
              </w:rPr>
              <w:t>The number of active companies was 62 at the end of 2017 and it has not changed in 2018, due to a merger of two non life companies and one nonlife company which obtained licenses and entered sector recently.</w:t>
            </w:r>
          </w:p>
          <w:p w:rsidR="0090495F" w:rsidRPr="0090495F" w:rsidRDefault="0090495F" w:rsidP="0090495F">
            <w:pPr>
              <w:jc w:val="both"/>
              <w:rPr>
                <w:rFonts w:ascii="Century" w:hAnsi="Century"/>
                <w:color w:val="333333"/>
                <w:sz w:val="10"/>
                <w:szCs w:val="10"/>
              </w:rPr>
            </w:pPr>
          </w:p>
          <w:p w:rsidR="0090495F" w:rsidRPr="0090495F" w:rsidRDefault="0090495F" w:rsidP="0090495F">
            <w:pPr>
              <w:jc w:val="both"/>
              <w:rPr>
                <w:rFonts w:ascii="Century" w:hAnsi="Century"/>
                <w:color w:val="333333"/>
                <w:sz w:val="22"/>
                <w:szCs w:val="22"/>
              </w:rPr>
            </w:pPr>
            <w:r w:rsidRPr="0090495F">
              <w:rPr>
                <w:rFonts w:ascii="Century" w:hAnsi="Century"/>
                <w:color w:val="333333"/>
                <w:sz w:val="22"/>
                <w:szCs w:val="22"/>
              </w:rPr>
              <w:t>In 2018 Magdeburger Sigorta AŞ has restarted its operations.</w:t>
            </w:r>
            <w:r w:rsidRPr="0090495F">
              <w:rPr>
                <w:rFonts w:ascii="Century" w:hAnsi="Century"/>
                <w:color w:val="000000"/>
                <w:sz w:val="22"/>
                <w:szCs w:val="22"/>
              </w:rPr>
              <w:t xml:space="preserve"> </w:t>
            </w:r>
            <w:r w:rsidRPr="0090495F">
              <w:rPr>
                <w:rFonts w:ascii="Century" w:hAnsi="Century"/>
                <w:color w:val="333333"/>
                <w:sz w:val="22"/>
                <w:szCs w:val="22"/>
              </w:rPr>
              <w:t xml:space="preserve">Liberty Sigorta AŞ has been dissolved as a result of acquisition by HDI Sigorta AŞ. Groupama Emeklilik AŞ has transferred its portfolio to Fiba Emeklilik AŞ and changed its business name as Groupama Hayat AŞ. </w:t>
            </w:r>
          </w:p>
          <w:p w:rsidR="0048762A" w:rsidRPr="0090495F" w:rsidRDefault="0048762A" w:rsidP="0042087D">
            <w:pPr>
              <w:jc w:val="both"/>
              <w:rPr>
                <w:rFonts w:ascii="Century" w:hAnsi="Century"/>
                <w:color w:val="333333"/>
                <w:sz w:val="16"/>
                <w:szCs w:val="16"/>
              </w:rPr>
            </w:pPr>
          </w:p>
          <w:p w:rsidR="00127395" w:rsidRPr="0090495F" w:rsidRDefault="00231053" w:rsidP="00127395">
            <w:pPr>
              <w:jc w:val="both"/>
              <w:rPr>
                <w:rFonts w:ascii="Century" w:hAnsi="Century"/>
                <w:color w:val="333333"/>
                <w:sz w:val="22"/>
                <w:szCs w:val="22"/>
              </w:rPr>
            </w:pPr>
            <w:r w:rsidRPr="0090495F">
              <w:rPr>
                <w:rFonts w:ascii="Century" w:hAnsi="Century"/>
                <w:color w:val="333333"/>
                <w:sz w:val="22"/>
                <w:szCs w:val="22"/>
              </w:rPr>
              <w:t>Out of 6</w:t>
            </w:r>
            <w:r w:rsidR="00123A97" w:rsidRPr="0090495F">
              <w:rPr>
                <w:rFonts w:ascii="Century" w:hAnsi="Century"/>
                <w:color w:val="333333"/>
                <w:sz w:val="22"/>
                <w:szCs w:val="22"/>
              </w:rPr>
              <w:t>2</w:t>
            </w:r>
            <w:r w:rsidRPr="0090495F">
              <w:rPr>
                <w:rFonts w:ascii="Century" w:hAnsi="Century"/>
                <w:color w:val="333333"/>
                <w:sz w:val="22"/>
                <w:szCs w:val="22"/>
              </w:rPr>
              <w:t xml:space="preserve"> active companies, 3</w:t>
            </w:r>
            <w:r w:rsidR="00123A97" w:rsidRPr="0090495F">
              <w:rPr>
                <w:rFonts w:ascii="Century" w:hAnsi="Century"/>
                <w:color w:val="333333"/>
                <w:sz w:val="22"/>
                <w:szCs w:val="22"/>
              </w:rPr>
              <w:t>8</w:t>
            </w:r>
            <w:r w:rsidRPr="0090495F">
              <w:rPr>
                <w:rFonts w:ascii="Century" w:hAnsi="Century"/>
                <w:color w:val="333333"/>
                <w:sz w:val="22"/>
                <w:szCs w:val="22"/>
              </w:rPr>
              <w:t xml:space="preserve"> are non-life insura</w:t>
            </w:r>
            <w:r w:rsidR="00265796" w:rsidRPr="0090495F">
              <w:rPr>
                <w:rFonts w:ascii="Century" w:hAnsi="Century"/>
                <w:color w:val="333333"/>
                <w:sz w:val="22"/>
                <w:szCs w:val="22"/>
              </w:rPr>
              <w:t>nce, 5</w:t>
            </w:r>
            <w:r w:rsidR="00330388" w:rsidRPr="0090495F">
              <w:rPr>
                <w:rFonts w:ascii="Century" w:hAnsi="Century"/>
                <w:color w:val="333333"/>
                <w:sz w:val="22"/>
                <w:szCs w:val="22"/>
              </w:rPr>
              <w:t xml:space="preserve"> are life insurance and 1</w:t>
            </w:r>
            <w:r w:rsidR="00265796" w:rsidRPr="0090495F">
              <w:rPr>
                <w:rFonts w:ascii="Century" w:hAnsi="Century"/>
                <w:color w:val="333333"/>
                <w:sz w:val="22"/>
                <w:szCs w:val="22"/>
              </w:rPr>
              <w:t>7</w:t>
            </w:r>
            <w:r w:rsidRPr="0090495F">
              <w:rPr>
                <w:rFonts w:ascii="Century" w:hAnsi="Century"/>
                <w:color w:val="333333"/>
                <w:sz w:val="22"/>
                <w:szCs w:val="22"/>
              </w:rPr>
              <w:t xml:space="preserve"> are pension companies and there </w:t>
            </w:r>
            <w:r w:rsidR="000C18CF" w:rsidRPr="0090495F">
              <w:rPr>
                <w:rFonts w:ascii="Century" w:hAnsi="Century"/>
                <w:color w:val="333333"/>
                <w:sz w:val="22"/>
                <w:szCs w:val="22"/>
              </w:rPr>
              <w:t>are</w:t>
            </w:r>
            <w:r w:rsidRPr="0090495F">
              <w:rPr>
                <w:rFonts w:ascii="Century" w:hAnsi="Century"/>
                <w:color w:val="333333"/>
                <w:sz w:val="22"/>
                <w:szCs w:val="22"/>
              </w:rPr>
              <w:t xml:space="preserve"> </w:t>
            </w:r>
            <w:r w:rsidR="000C18CF" w:rsidRPr="0090495F">
              <w:rPr>
                <w:rFonts w:ascii="Century" w:hAnsi="Century"/>
                <w:color w:val="333333"/>
                <w:sz w:val="22"/>
                <w:szCs w:val="22"/>
              </w:rPr>
              <w:t>two reinsurance companies</w:t>
            </w:r>
            <w:r w:rsidRPr="0090495F">
              <w:rPr>
                <w:rFonts w:ascii="Century" w:hAnsi="Century"/>
                <w:color w:val="333333"/>
                <w:sz w:val="22"/>
                <w:szCs w:val="22"/>
              </w:rPr>
              <w:t xml:space="preserve">. </w:t>
            </w:r>
            <w:r w:rsidR="00265796" w:rsidRPr="0090495F">
              <w:rPr>
                <w:rFonts w:ascii="Century" w:hAnsi="Century"/>
                <w:color w:val="333333"/>
                <w:sz w:val="22"/>
                <w:szCs w:val="22"/>
              </w:rPr>
              <w:t>Three</w:t>
            </w:r>
            <w:r w:rsidRPr="0090495F">
              <w:rPr>
                <w:rFonts w:ascii="Century" w:hAnsi="Century"/>
                <w:color w:val="333333"/>
                <w:sz w:val="22"/>
                <w:szCs w:val="22"/>
              </w:rPr>
              <w:t xml:space="preserve"> companies have place</w:t>
            </w:r>
            <w:r w:rsidR="00265796" w:rsidRPr="0090495F">
              <w:rPr>
                <w:rFonts w:ascii="Century" w:hAnsi="Century"/>
                <w:color w:val="333333"/>
                <w:sz w:val="22"/>
                <w:szCs w:val="22"/>
              </w:rPr>
              <w:t>d their business into run-off, one</w:t>
            </w:r>
            <w:r w:rsidRPr="0090495F">
              <w:rPr>
                <w:rFonts w:ascii="Century" w:hAnsi="Century"/>
                <w:color w:val="333333"/>
                <w:sz w:val="22"/>
                <w:szCs w:val="22"/>
              </w:rPr>
              <w:t xml:space="preserve"> of which </w:t>
            </w:r>
            <w:proofErr w:type="gramStart"/>
            <w:r w:rsidRPr="0090495F">
              <w:rPr>
                <w:rFonts w:ascii="Century" w:hAnsi="Century"/>
                <w:color w:val="333333"/>
                <w:sz w:val="22"/>
                <w:szCs w:val="22"/>
              </w:rPr>
              <w:t>are</w:t>
            </w:r>
            <w:proofErr w:type="gramEnd"/>
            <w:r w:rsidRPr="0090495F">
              <w:rPr>
                <w:rFonts w:ascii="Century" w:hAnsi="Century"/>
                <w:color w:val="333333"/>
                <w:sz w:val="22"/>
                <w:szCs w:val="22"/>
              </w:rPr>
              <w:t xml:space="preserve"> non-life insurance, one life insurance and </w:t>
            </w:r>
            <w:r w:rsidR="00DA2FB9" w:rsidRPr="0090495F">
              <w:rPr>
                <w:rFonts w:ascii="Century" w:hAnsi="Century"/>
                <w:color w:val="333333"/>
                <w:sz w:val="22"/>
                <w:szCs w:val="22"/>
              </w:rPr>
              <w:t>one</w:t>
            </w:r>
            <w:r w:rsidRPr="0090495F">
              <w:rPr>
                <w:rFonts w:ascii="Century" w:hAnsi="Century"/>
                <w:color w:val="333333"/>
                <w:sz w:val="22"/>
                <w:szCs w:val="22"/>
              </w:rPr>
              <w:t xml:space="preserve"> reinsurance compan</w:t>
            </w:r>
            <w:r w:rsidR="00DA2FB9" w:rsidRPr="0090495F">
              <w:rPr>
                <w:rFonts w:ascii="Century" w:hAnsi="Century"/>
                <w:color w:val="333333"/>
                <w:sz w:val="22"/>
                <w:szCs w:val="22"/>
              </w:rPr>
              <w:t>y</w:t>
            </w:r>
            <w:r w:rsidRPr="0090495F">
              <w:rPr>
                <w:rFonts w:ascii="Century" w:hAnsi="Century"/>
                <w:color w:val="333333"/>
                <w:sz w:val="22"/>
                <w:szCs w:val="22"/>
              </w:rPr>
              <w:t xml:space="preserve">. </w:t>
            </w:r>
            <w:r w:rsidR="00DA2FB9" w:rsidRPr="0090495F">
              <w:rPr>
                <w:rFonts w:ascii="Century" w:hAnsi="Century"/>
                <w:color w:val="333333"/>
                <w:sz w:val="22"/>
                <w:szCs w:val="22"/>
              </w:rPr>
              <w:t>Thus</w:t>
            </w:r>
            <w:r w:rsidRPr="0090495F">
              <w:rPr>
                <w:rFonts w:ascii="Century" w:hAnsi="Century"/>
                <w:color w:val="333333"/>
                <w:sz w:val="22"/>
                <w:szCs w:val="22"/>
              </w:rPr>
              <w:t>, the number of licensed insurance, reinsurance and pension companies is</w:t>
            </w:r>
            <w:r w:rsidR="00221781" w:rsidRPr="0090495F">
              <w:rPr>
                <w:rFonts w:ascii="Century" w:hAnsi="Century"/>
                <w:color w:val="333333"/>
                <w:sz w:val="22"/>
                <w:szCs w:val="22"/>
              </w:rPr>
              <w:t xml:space="preserve"> 6</w:t>
            </w:r>
            <w:r w:rsidR="00265796" w:rsidRPr="0090495F">
              <w:rPr>
                <w:rFonts w:ascii="Century" w:hAnsi="Century"/>
                <w:color w:val="333333"/>
                <w:sz w:val="22"/>
                <w:szCs w:val="22"/>
              </w:rPr>
              <w:t>5</w:t>
            </w:r>
            <w:r w:rsidRPr="0090495F">
              <w:rPr>
                <w:rFonts w:ascii="Century" w:hAnsi="Century"/>
                <w:color w:val="333333"/>
                <w:sz w:val="22"/>
                <w:szCs w:val="22"/>
              </w:rPr>
              <w:t xml:space="preserve"> as of 201</w:t>
            </w:r>
            <w:r w:rsidR="00265796" w:rsidRPr="0090495F">
              <w:rPr>
                <w:rFonts w:ascii="Century" w:hAnsi="Century"/>
                <w:color w:val="333333"/>
                <w:sz w:val="22"/>
                <w:szCs w:val="22"/>
              </w:rPr>
              <w:t>8</w:t>
            </w:r>
            <w:r w:rsidRPr="0090495F">
              <w:rPr>
                <w:rFonts w:ascii="Century" w:hAnsi="Century"/>
                <w:color w:val="333333"/>
                <w:sz w:val="22"/>
                <w:szCs w:val="22"/>
              </w:rPr>
              <w:t xml:space="preserve"> year</w:t>
            </w:r>
            <w:r w:rsidR="00330388" w:rsidRPr="0090495F">
              <w:rPr>
                <w:rFonts w:ascii="Century" w:hAnsi="Century"/>
                <w:color w:val="333333"/>
                <w:sz w:val="22"/>
                <w:szCs w:val="22"/>
              </w:rPr>
              <w:t>-</w:t>
            </w:r>
            <w:r w:rsidRPr="0090495F">
              <w:rPr>
                <w:rFonts w:ascii="Century" w:hAnsi="Century"/>
                <w:color w:val="333333"/>
                <w:sz w:val="22"/>
                <w:szCs w:val="22"/>
              </w:rPr>
              <w:t>end.</w:t>
            </w:r>
          </w:p>
          <w:p w:rsidR="003713AB" w:rsidRPr="0090495F" w:rsidRDefault="003713AB" w:rsidP="00127395">
            <w:pPr>
              <w:jc w:val="both"/>
              <w:rPr>
                <w:rFonts w:ascii="Century" w:hAnsi="Century"/>
                <w:color w:val="333333"/>
                <w:sz w:val="16"/>
                <w:szCs w:val="16"/>
              </w:rPr>
            </w:pPr>
          </w:p>
          <w:p w:rsidR="00C85053" w:rsidRPr="0090495F" w:rsidRDefault="00C85053" w:rsidP="0042087D">
            <w:pPr>
              <w:jc w:val="both"/>
              <w:rPr>
                <w:rFonts w:ascii="Century" w:hAnsi="Century"/>
                <w:color w:val="333333"/>
                <w:sz w:val="22"/>
                <w:szCs w:val="22"/>
              </w:rPr>
            </w:pPr>
            <w:r w:rsidRPr="0090495F">
              <w:rPr>
                <w:rFonts w:ascii="Century" w:hAnsi="Century"/>
                <w:color w:val="333333"/>
                <w:sz w:val="22"/>
                <w:szCs w:val="22"/>
              </w:rPr>
              <w:t xml:space="preserve">The following table </w:t>
            </w:r>
            <w:r w:rsidR="00DA2FB9" w:rsidRPr="0090495F">
              <w:rPr>
                <w:rFonts w:ascii="Century" w:hAnsi="Century"/>
                <w:color w:val="333333"/>
                <w:sz w:val="22"/>
                <w:szCs w:val="22"/>
              </w:rPr>
              <w:t>re</w:t>
            </w:r>
            <w:r w:rsidRPr="0090495F">
              <w:rPr>
                <w:rFonts w:ascii="Century" w:hAnsi="Century"/>
                <w:color w:val="333333"/>
                <w:sz w:val="22"/>
                <w:szCs w:val="22"/>
              </w:rPr>
              <w:t xml:space="preserve">presents the number of active and </w:t>
            </w:r>
            <w:r w:rsidR="00E22685" w:rsidRPr="0090495F">
              <w:rPr>
                <w:rFonts w:ascii="Century" w:hAnsi="Century"/>
                <w:color w:val="333333"/>
                <w:sz w:val="22"/>
                <w:szCs w:val="22"/>
              </w:rPr>
              <w:t>runoff</w:t>
            </w:r>
            <w:r w:rsidRPr="0090495F">
              <w:rPr>
                <w:rFonts w:ascii="Century" w:hAnsi="Century"/>
                <w:color w:val="333333"/>
                <w:sz w:val="22"/>
                <w:szCs w:val="22"/>
              </w:rPr>
              <w:t xml:space="preserve"> </w:t>
            </w:r>
            <w:r w:rsidR="00231053" w:rsidRPr="0090495F">
              <w:rPr>
                <w:rFonts w:ascii="Century" w:hAnsi="Century"/>
                <w:color w:val="333333"/>
                <w:sz w:val="22"/>
                <w:szCs w:val="22"/>
              </w:rPr>
              <w:t xml:space="preserve">business </w:t>
            </w:r>
            <w:r w:rsidRPr="0090495F">
              <w:rPr>
                <w:rFonts w:ascii="Century" w:hAnsi="Century"/>
                <w:color w:val="333333"/>
                <w:sz w:val="22"/>
                <w:szCs w:val="22"/>
              </w:rPr>
              <w:t xml:space="preserve">companies </w:t>
            </w:r>
            <w:r w:rsidR="00521865" w:rsidRPr="0090495F">
              <w:rPr>
                <w:rFonts w:ascii="Century" w:hAnsi="Century"/>
                <w:color w:val="333333"/>
                <w:sz w:val="22"/>
                <w:szCs w:val="22"/>
              </w:rPr>
              <w:t xml:space="preserve">in respect to </w:t>
            </w:r>
            <w:r w:rsidR="003713AB" w:rsidRPr="0090495F">
              <w:rPr>
                <w:rFonts w:ascii="Century" w:hAnsi="Century"/>
                <w:color w:val="333333"/>
                <w:sz w:val="22"/>
                <w:szCs w:val="22"/>
              </w:rPr>
              <w:t>their li</w:t>
            </w:r>
            <w:r w:rsidR="005C2784" w:rsidRPr="0090495F">
              <w:rPr>
                <w:rFonts w:ascii="Century" w:hAnsi="Century"/>
                <w:color w:val="333333"/>
                <w:sz w:val="22"/>
                <w:szCs w:val="22"/>
              </w:rPr>
              <w:t>c</w:t>
            </w:r>
            <w:r w:rsidR="003713AB" w:rsidRPr="0090495F">
              <w:rPr>
                <w:rFonts w:ascii="Century" w:hAnsi="Century"/>
                <w:color w:val="333333"/>
                <w:sz w:val="22"/>
                <w:szCs w:val="22"/>
              </w:rPr>
              <w:t xml:space="preserve">ences </w:t>
            </w:r>
            <w:r w:rsidRPr="0090495F">
              <w:rPr>
                <w:rFonts w:ascii="Century" w:hAnsi="Century"/>
                <w:color w:val="333333"/>
                <w:sz w:val="22"/>
                <w:szCs w:val="22"/>
              </w:rPr>
              <w:t xml:space="preserve">for the last three years. </w:t>
            </w:r>
          </w:p>
          <w:p w:rsidR="00C85053" w:rsidRPr="0090495F" w:rsidRDefault="00C85053" w:rsidP="00C24212">
            <w:pPr>
              <w:jc w:val="both"/>
              <w:rPr>
                <w:rFonts w:ascii="Century" w:hAnsi="Century"/>
                <w:sz w:val="10"/>
                <w:szCs w:val="10"/>
              </w:rPr>
            </w:pPr>
          </w:p>
        </w:tc>
      </w:tr>
      <w:tr w:rsidR="00C85053" w:rsidRPr="00B10D90" w:rsidTr="00441D50">
        <w:trPr>
          <w:gridAfter w:val="2"/>
          <w:wAfter w:w="38" w:type="dxa"/>
          <w:trHeight w:val="2974"/>
        </w:trPr>
        <w:tc>
          <w:tcPr>
            <w:tcW w:w="9820" w:type="dxa"/>
            <w:gridSpan w:val="14"/>
          </w:tcPr>
          <w:p w:rsidR="00C85053" w:rsidRPr="00682C24" w:rsidRDefault="006A2C5A" w:rsidP="001A7834">
            <w:pPr>
              <w:jc w:val="center"/>
              <w:rPr>
                <w:rFonts w:ascii="Century" w:hAnsi="Century" w:cs="Arial TUR"/>
                <w:i/>
                <w:iCs/>
                <w:sz w:val="16"/>
                <w:szCs w:val="16"/>
                <w:lang w:eastAsia="tr-TR"/>
              </w:rPr>
            </w:pPr>
            <w:r w:rsidRPr="00682C24">
              <w:rPr>
                <w:rFonts w:ascii="Century" w:hAnsi="Century" w:cs="Arial TUR"/>
                <w:i/>
                <w:iCs/>
                <w:sz w:val="16"/>
                <w:szCs w:val="16"/>
                <w:lang w:eastAsia="tr-TR"/>
              </w:rPr>
              <w:t>Tablo 2.1</w:t>
            </w:r>
            <w:r w:rsidR="00C85053" w:rsidRPr="00682C24">
              <w:rPr>
                <w:rFonts w:ascii="Century" w:hAnsi="Century" w:cs="Arial TUR"/>
                <w:i/>
                <w:iCs/>
                <w:sz w:val="16"/>
                <w:szCs w:val="16"/>
                <w:lang w:eastAsia="tr-TR"/>
              </w:rPr>
              <w:t>.1: Ruhsat Sahibi ve Faal Şirket Sayıları – Number of Licenced and Active Companies</w:t>
            </w:r>
          </w:p>
          <w:p w:rsidR="00D61D22" w:rsidRPr="00B10D90" w:rsidRDefault="00682C24" w:rsidP="001A7834">
            <w:pPr>
              <w:jc w:val="center"/>
              <w:rPr>
                <w:rFonts w:ascii="Century" w:hAnsi="Century" w:cs="Arial TUR"/>
                <w:i/>
                <w:iCs/>
                <w:sz w:val="16"/>
                <w:szCs w:val="16"/>
                <w:highlight w:val="yellow"/>
                <w:lang w:eastAsia="tr-TR"/>
              </w:rPr>
            </w:pPr>
            <w:r>
              <w:rPr>
                <w:rFonts w:ascii="Century" w:hAnsi="Century" w:cs="Arial TUR"/>
                <w:i/>
                <w:iCs/>
                <w:noProof/>
                <w:sz w:val="16"/>
                <w:szCs w:val="16"/>
              </w:rPr>
              <w:drawing>
                <wp:inline distT="0" distB="0" distL="0" distR="0" wp14:anchorId="7F874A9C" wp14:editId="04463697">
                  <wp:extent cx="6090698" cy="179699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0920" cy="1797061"/>
                          </a:xfrm>
                          <a:prstGeom prst="rect">
                            <a:avLst/>
                          </a:prstGeom>
                          <a:noFill/>
                          <a:ln>
                            <a:noFill/>
                          </a:ln>
                        </pic:spPr>
                      </pic:pic>
                    </a:graphicData>
                  </a:graphic>
                </wp:inline>
              </w:drawing>
            </w:r>
          </w:p>
          <w:p w:rsidR="00876D0E" w:rsidRPr="00B10D90" w:rsidRDefault="00876D0E" w:rsidP="00876D0E">
            <w:pPr>
              <w:rPr>
                <w:rFonts w:ascii="Century" w:hAnsi="Century" w:cs="Arial TUR"/>
                <w:i/>
                <w:iCs/>
                <w:sz w:val="16"/>
                <w:szCs w:val="16"/>
                <w:highlight w:val="yellow"/>
                <w:lang w:eastAsia="tr-TR"/>
              </w:rPr>
            </w:pPr>
          </w:p>
        </w:tc>
      </w:tr>
      <w:tr w:rsidR="00474154" w:rsidRPr="00B10D90" w:rsidTr="00441D50">
        <w:trPr>
          <w:gridAfter w:val="2"/>
          <w:wAfter w:w="38" w:type="dxa"/>
          <w:trHeight w:val="1418"/>
        </w:trPr>
        <w:tc>
          <w:tcPr>
            <w:tcW w:w="4917" w:type="dxa"/>
            <w:gridSpan w:val="6"/>
          </w:tcPr>
          <w:p w:rsidR="008611BF" w:rsidRDefault="00474154" w:rsidP="00682C24">
            <w:pPr>
              <w:jc w:val="both"/>
              <w:rPr>
                <w:rFonts w:ascii="Century" w:hAnsi="Century"/>
                <w:sz w:val="22"/>
                <w:szCs w:val="22"/>
              </w:rPr>
            </w:pPr>
            <w:r w:rsidRPr="00682C24">
              <w:rPr>
                <w:rFonts w:ascii="Century" w:hAnsi="Century"/>
                <w:sz w:val="22"/>
                <w:szCs w:val="22"/>
              </w:rPr>
              <w:lastRenderedPageBreak/>
              <w:t>31.12.201</w:t>
            </w:r>
            <w:r w:rsidR="00682C24" w:rsidRPr="00682C24">
              <w:rPr>
                <w:rFonts w:ascii="Century" w:hAnsi="Century"/>
                <w:sz w:val="22"/>
                <w:szCs w:val="22"/>
              </w:rPr>
              <w:t>8</w:t>
            </w:r>
            <w:r w:rsidRPr="00682C24">
              <w:rPr>
                <w:rFonts w:ascii="Century" w:hAnsi="Century"/>
                <w:sz w:val="22"/>
                <w:szCs w:val="22"/>
              </w:rPr>
              <w:t xml:space="preserve"> tarihi </w:t>
            </w:r>
            <w:r w:rsidR="00354E2E" w:rsidRPr="00682C24">
              <w:rPr>
                <w:rFonts w:ascii="Century" w:hAnsi="Century"/>
                <w:sz w:val="22"/>
                <w:szCs w:val="22"/>
              </w:rPr>
              <w:t xml:space="preserve">itibarıyla </w:t>
            </w:r>
            <w:r w:rsidRPr="00682C24">
              <w:rPr>
                <w:rFonts w:ascii="Century" w:hAnsi="Century"/>
                <w:sz w:val="22"/>
                <w:szCs w:val="22"/>
              </w:rPr>
              <w:t>ruhsatları bulunmakla birlikte prim üretiminde bulunmayan şirketlerin faaliyet</w:t>
            </w:r>
            <w:r w:rsidR="00A55188" w:rsidRPr="00682C24">
              <w:rPr>
                <w:rFonts w:ascii="Century" w:hAnsi="Century"/>
                <w:sz w:val="22"/>
                <w:szCs w:val="22"/>
              </w:rPr>
              <w:t>te</w:t>
            </w:r>
            <w:r w:rsidRPr="00682C24">
              <w:rPr>
                <w:rFonts w:ascii="Century" w:hAnsi="Century"/>
                <w:sz w:val="22"/>
                <w:szCs w:val="22"/>
              </w:rPr>
              <w:t xml:space="preserve"> </w:t>
            </w:r>
            <w:r w:rsidR="00A55188" w:rsidRPr="00682C24">
              <w:rPr>
                <w:rFonts w:ascii="Century" w:hAnsi="Century"/>
                <w:sz w:val="22"/>
                <w:szCs w:val="22"/>
              </w:rPr>
              <w:t>bulunmama</w:t>
            </w:r>
            <w:r w:rsidRPr="00682C24">
              <w:rPr>
                <w:rFonts w:ascii="Century" w:hAnsi="Century"/>
                <w:sz w:val="22"/>
                <w:szCs w:val="22"/>
              </w:rPr>
              <w:t xml:space="preserve"> nedenleri aşağıdaki tabloda açıklanmıştır.</w:t>
            </w:r>
          </w:p>
          <w:p w:rsidR="00682C24" w:rsidRPr="00B10D90" w:rsidRDefault="00682C24" w:rsidP="00682C24">
            <w:pPr>
              <w:jc w:val="both"/>
              <w:rPr>
                <w:rFonts w:ascii="Century" w:hAnsi="Century"/>
                <w:sz w:val="22"/>
                <w:szCs w:val="22"/>
                <w:highlight w:val="yellow"/>
              </w:rPr>
            </w:pPr>
          </w:p>
        </w:tc>
        <w:tc>
          <w:tcPr>
            <w:tcW w:w="236" w:type="dxa"/>
            <w:gridSpan w:val="4"/>
          </w:tcPr>
          <w:p w:rsidR="00474154" w:rsidRPr="00B10D90" w:rsidRDefault="00474154" w:rsidP="00EF2418">
            <w:pPr>
              <w:jc w:val="both"/>
              <w:rPr>
                <w:rFonts w:ascii="Century" w:hAnsi="Century"/>
                <w:sz w:val="22"/>
                <w:szCs w:val="22"/>
                <w:highlight w:val="yellow"/>
              </w:rPr>
            </w:pPr>
          </w:p>
        </w:tc>
        <w:tc>
          <w:tcPr>
            <w:tcW w:w="4667" w:type="dxa"/>
            <w:gridSpan w:val="4"/>
          </w:tcPr>
          <w:p w:rsidR="00A73F44" w:rsidRPr="00B10D90" w:rsidRDefault="00E22685" w:rsidP="0090495F">
            <w:pPr>
              <w:jc w:val="both"/>
              <w:rPr>
                <w:rFonts w:ascii="Century" w:hAnsi="Century" w:cs="Arial"/>
                <w:color w:val="333333"/>
                <w:sz w:val="22"/>
                <w:szCs w:val="22"/>
                <w:highlight w:val="yellow"/>
              </w:rPr>
            </w:pPr>
            <w:r w:rsidRPr="00682C24">
              <w:rPr>
                <w:rFonts w:ascii="Century" w:hAnsi="Century" w:cs="Arial"/>
                <w:color w:val="333333"/>
                <w:sz w:val="22"/>
                <w:szCs w:val="22"/>
              </w:rPr>
              <w:t>The names of run off insurance companies</w:t>
            </w:r>
            <w:r w:rsidR="006B1380" w:rsidRPr="00682C24">
              <w:rPr>
                <w:rFonts w:ascii="Century" w:hAnsi="Century" w:cs="Arial"/>
                <w:color w:val="333333"/>
                <w:sz w:val="22"/>
                <w:szCs w:val="22"/>
              </w:rPr>
              <w:t xml:space="preserve"> and rea</w:t>
            </w:r>
            <w:r w:rsidRPr="00682C24">
              <w:rPr>
                <w:rFonts w:ascii="Century" w:hAnsi="Century" w:cs="Arial"/>
                <w:color w:val="333333"/>
                <w:sz w:val="22"/>
                <w:szCs w:val="22"/>
              </w:rPr>
              <w:t xml:space="preserve">sons why they are inactive are listed below as of December </w:t>
            </w:r>
            <w:r w:rsidR="000C18CF" w:rsidRPr="00682C24">
              <w:rPr>
                <w:rFonts w:ascii="Century" w:hAnsi="Century" w:cs="Arial"/>
                <w:color w:val="333333"/>
                <w:sz w:val="22"/>
                <w:szCs w:val="22"/>
              </w:rPr>
              <w:t xml:space="preserve">31, </w:t>
            </w:r>
            <w:r w:rsidRPr="00682C24">
              <w:rPr>
                <w:rFonts w:ascii="Century" w:hAnsi="Century" w:cs="Arial"/>
                <w:color w:val="333333"/>
                <w:sz w:val="22"/>
                <w:szCs w:val="22"/>
              </w:rPr>
              <w:t>201</w:t>
            </w:r>
            <w:r w:rsidR="0090495F">
              <w:rPr>
                <w:rFonts w:ascii="Century" w:hAnsi="Century" w:cs="Arial"/>
                <w:color w:val="333333"/>
                <w:sz w:val="22"/>
                <w:szCs w:val="22"/>
              </w:rPr>
              <w:t>8</w:t>
            </w:r>
            <w:r w:rsidR="00682C24" w:rsidRPr="00682C24">
              <w:rPr>
                <w:rFonts w:ascii="Century" w:hAnsi="Century" w:cs="Arial"/>
                <w:color w:val="333333"/>
                <w:sz w:val="22"/>
                <w:szCs w:val="22"/>
              </w:rPr>
              <w:t>.</w:t>
            </w:r>
          </w:p>
        </w:tc>
      </w:tr>
      <w:tr w:rsidR="00474154" w:rsidRPr="00B10D90" w:rsidTr="00441D50">
        <w:trPr>
          <w:gridAfter w:val="2"/>
          <w:wAfter w:w="38" w:type="dxa"/>
        </w:trPr>
        <w:tc>
          <w:tcPr>
            <w:tcW w:w="9820" w:type="dxa"/>
            <w:gridSpan w:val="14"/>
          </w:tcPr>
          <w:p w:rsidR="00BD7C37" w:rsidRPr="00682C24" w:rsidRDefault="00BD7C37" w:rsidP="00BD7C37">
            <w:pPr>
              <w:pStyle w:val="Caption"/>
              <w:jc w:val="center"/>
              <w:rPr>
                <w:rFonts w:ascii="Century" w:hAnsi="Century"/>
                <w:b w:val="0"/>
                <w:i/>
                <w:iCs/>
                <w:color w:val="000080"/>
              </w:rPr>
            </w:pPr>
            <w:r w:rsidRPr="00682C24">
              <w:rPr>
                <w:rFonts w:ascii="Century" w:hAnsi="Century"/>
                <w:color w:val="000080"/>
              </w:rPr>
              <w:t xml:space="preserve">Tablo 2.1.2: </w:t>
            </w:r>
            <w:r w:rsidRPr="00682C24">
              <w:rPr>
                <w:rFonts w:ascii="Century" w:hAnsi="Century"/>
                <w:bCs w:val="0"/>
                <w:color w:val="000080"/>
              </w:rPr>
              <w:t xml:space="preserve">Faal Olmayan Şirketlere İlişkin Bilgiler – </w:t>
            </w:r>
            <w:r w:rsidR="00697CAD" w:rsidRPr="00682C24">
              <w:rPr>
                <w:rFonts w:ascii="Century" w:hAnsi="Century"/>
                <w:b w:val="0"/>
                <w:i/>
                <w:iCs/>
                <w:color w:val="000080"/>
              </w:rPr>
              <w:t>Information About Runoff</w:t>
            </w:r>
            <w:r w:rsidRPr="00682C24">
              <w:rPr>
                <w:rFonts w:ascii="Century" w:hAnsi="Century"/>
                <w:b w:val="0"/>
                <w:i/>
                <w:iCs/>
                <w:color w:val="000080"/>
              </w:rPr>
              <w:t xml:space="preserve"> </w:t>
            </w:r>
            <w:r w:rsidR="008768FB" w:rsidRPr="00682C24">
              <w:rPr>
                <w:rFonts w:ascii="Century" w:hAnsi="Century"/>
                <w:b w:val="0"/>
                <w:i/>
                <w:iCs/>
                <w:color w:val="000080"/>
              </w:rPr>
              <w:t xml:space="preserve">Business </w:t>
            </w:r>
            <w:r w:rsidRPr="00682C24">
              <w:rPr>
                <w:rFonts w:ascii="Century" w:hAnsi="Century"/>
                <w:b w:val="0"/>
                <w:i/>
                <w:iCs/>
                <w:color w:val="000080"/>
              </w:rPr>
              <w:t>Companies</w:t>
            </w:r>
          </w:p>
          <w:p w:rsidR="0059416F" w:rsidRPr="00682C24" w:rsidRDefault="003249F7" w:rsidP="0059416F">
            <w:r w:rsidRPr="00682C24">
              <w:rPr>
                <w:noProof/>
              </w:rPr>
              <w:drawing>
                <wp:inline distT="0" distB="0" distL="0" distR="0" wp14:anchorId="14A8F256" wp14:editId="3065788D">
                  <wp:extent cx="5512435" cy="12420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2435" cy="1242060"/>
                          </a:xfrm>
                          <a:prstGeom prst="rect">
                            <a:avLst/>
                          </a:prstGeom>
                          <a:noFill/>
                          <a:ln>
                            <a:noFill/>
                          </a:ln>
                        </pic:spPr>
                      </pic:pic>
                    </a:graphicData>
                  </a:graphic>
                </wp:inline>
              </w:drawing>
            </w:r>
          </w:p>
          <w:p w:rsidR="00593038" w:rsidRPr="00682C24" w:rsidRDefault="00BD7C37" w:rsidP="003249F7">
            <w:pPr>
              <w:jc w:val="both"/>
              <w:rPr>
                <w:rFonts w:ascii="Century" w:hAnsi="Century"/>
                <w:i/>
                <w:sz w:val="16"/>
                <w:szCs w:val="16"/>
              </w:rPr>
            </w:pPr>
            <w:r w:rsidRPr="00682C24">
              <w:rPr>
                <w:rFonts w:ascii="Century" w:hAnsi="Century"/>
                <w:i/>
                <w:sz w:val="16"/>
                <w:szCs w:val="16"/>
              </w:rPr>
              <w:t>(*) Dates are shown with Turkish form (dd/mm/yyyy).</w:t>
            </w:r>
          </w:p>
        </w:tc>
      </w:tr>
      <w:tr w:rsidR="00C85053" w:rsidRPr="00B10D90" w:rsidTr="00441D50">
        <w:trPr>
          <w:gridAfter w:val="2"/>
          <w:wAfter w:w="38" w:type="dxa"/>
        </w:trPr>
        <w:tc>
          <w:tcPr>
            <w:tcW w:w="4917" w:type="dxa"/>
            <w:gridSpan w:val="6"/>
          </w:tcPr>
          <w:p w:rsidR="00682C24" w:rsidRPr="0090495F" w:rsidRDefault="00682C24" w:rsidP="00E74805">
            <w:pPr>
              <w:jc w:val="both"/>
              <w:rPr>
                <w:rFonts w:ascii="Century" w:hAnsi="Century"/>
                <w:bCs/>
                <w:sz w:val="22"/>
                <w:szCs w:val="22"/>
              </w:rPr>
            </w:pPr>
          </w:p>
          <w:p w:rsidR="00D536D4" w:rsidRPr="0090495F" w:rsidRDefault="00E74805" w:rsidP="00E74805">
            <w:pPr>
              <w:jc w:val="both"/>
              <w:rPr>
                <w:rFonts w:ascii="Century" w:hAnsi="Century"/>
                <w:bCs/>
                <w:sz w:val="22"/>
                <w:szCs w:val="22"/>
              </w:rPr>
            </w:pPr>
            <w:r w:rsidRPr="0090495F">
              <w:rPr>
                <w:rFonts w:ascii="Century" w:hAnsi="Century"/>
                <w:sz w:val="22"/>
                <w:szCs w:val="22"/>
              </w:rPr>
              <w:t>Sigortalılık oranının düşük, buna karşılık sigorta potansiyelinin yüksek olması uluslararası yatırımcıların Türk sigortacılık piyasasına</w:t>
            </w:r>
            <w:r w:rsidR="00C857AD" w:rsidRPr="0090495F">
              <w:rPr>
                <w:rFonts w:ascii="Century" w:hAnsi="Century"/>
                <w:sz w:val="22"/>
                <w:szCs w:val="22"/>
              </w:rPr>
              <w:t xml:space="preserve"> olan</w:t>
            </w:r>
            <w:r w:rsidRPr="0090495F">
              <w:rPr>
                <w:rFonts w:ascii="Century" w:hAnsi="Century"/>
                <w:sz w:val="22"/>
                <w:szCs w:val="22"/>
              </w:rPr>
              <w:t xml:space="preserve"> ilgisini çekmeye devam etmektedir. Ülkemizde 2001 yılında faaliyette bulunan toplam 58 şirketin sadece 15’i uluslararası sermayeye sahip iken, 2008 yılından itibaren uluslararası sermayeli şirket sayısı artış trendine girmiş ve 201</w:t>
            </w:r>
            <w:r w:rsidR="002A0D0B" w:rsidRPr="0090495F">
              <w:rPr>
                <w:rFonts w:ascii="Century" w:hAnsi="Century"/>
                <w:sz w:val="22"/>
                <w:szCs w:val="22"/>
              </w:rPr>
              <w:t>6</w:t>
            </w:r>
            <w:r w:rsidRPr="0090495F">
              <w:rPr>
                <w:rFonts w:ascii="Century" w:hAnsi="Century"/>
                <w:sz w:val="22"/>
                <w:szCs w:val="22"/>
              </w:rPr>
              <w:t xml:space="preserve"> yılsonu itibarıyla 4</w:t>
            </w:r>
            <w:r w:rsidR="002A0D0B" w:rsidRPr="0090495F">
              <w:rPr>
                <w:rFonts w:ascii="Century" w:hAnsi="Century"/>
                <w:sz w:val="22"/>
                <w:szCs w:val="22"/>
              </w:rPr>
              <w:t>5</w:t>
            </w:r>
            <w:r w:rsidR="00D536D4" w:rsidRPr="0090495F">
              <w:rPr>
                <w:rFonts w:ascii="Century" w:hAnsi="Century"/>
                <w:sz w:val="22"/>
                <w:szCs w:val="22"/>
              </w:rPr>
              <w:t>’e yükselmiştir</w:t>
            </w:r>
            <w:r w:rsidR="00D536D4" w:rsidRPr="0090495F">
              <w:rPr>
                <w:rFonts w:ascii="Century" w:hAnsi="Century"/>
                <w:bCs/>
                <w:sz w:val="22"/>
                <w:szCs w:val="22"/>
              </w:rPr>
              <w:t>.</w:t>
            </w:r>
          </w:p>
          <w:p w:rsidR="00D536D4" w:rsidRPr="0090495F" w:rsidRDefault="00D536D4" w:rsidP="00E74805">
            <w:pPr>
              <w:jc w:val="both"/>
              <w:rPr>
                <w:rFonts w:ascii="Century" w:hAnsi="Century"/>
                <w:bCs/>
                <w:sz w:val="22"/>
                <w:szCs w:val="22"/>
              </w:rPr>
            </w:pPr>
          </w:p>
          <w:p w:rsidR="00E74805" w:rsidRPr="0090495F" w:rsidRDefault="002A0D0B" w:rsidP="00E74805">
            <w:pPr>
              <w:jc w:val="both"/>
              <w:rPr>
                <w:rFonts w:ascii="Century" w:hAnsi="Century"/>
                <w:bCs/>
                <w:sz w:val="22"/>
                <w:szCs w:val="22"/>
              </w:rPr>
            </w:pPr>
            <w:r w:rsidRPr="0090495F">
              <w:rPr>
                <w:rFonts w:ascii="Century" w:hAnsi="Century"/>
                <w:bCs/>
                <w:sz w:val="22"/>
                <w:szCs w:val="22"/>
              </w:rPr>
              <w:t>2017</w:t>
            </w:r>
            <w:r w:rsidR="00E74805" w:rsidRPr="0090495F">
              <w:rPr>
                <w:rFonts w:ascii="Century" w:hAnsi="Century"/>
                <w:bCs/>
                <w:sz w:val="22"/>
                <w:szCs w:val="22"/>
              </w:rPr>
              <w:t xml:space="preserve"> yılında </w:t>
            </w:r>
            <w:r w:rsidR="000C18CF" w:rsidRPr="0090495F">
              <w:rPr>
                <w:rFonts w:ascii="Century" w:hAnsi="Century"/>
                <w:bCs/>
                <w:sz w:val="22"/>
                <w:szCs w:val="22"/>
              </w:rPr>
              <w:t>uluslararası</w:t>
            </w:r>
            <w:r w:rsidR="00E74805" w:rsidRPr="0090495F">
              <w:rPr>
                <w:rFonts w:ascii="Century" w:hAnsi="Century"/>
                <w:bCs/>
                <w:sz w:val="22"/>
                <w:szCs w:val="22"/>
              </w:rPr>
              <w:t xml:space="preserve"> sermayeli </w:t>
            </w:r>
            <w:r w:rsidRPr="0090495F">
              <w:rPr>
                <w:rFonts w:ascii="Century" w:hAnsi="Century"/>
                <w:bCs/>
                <w:sz w:val="22"/>
                <w:szCs w:val="22"/>
              </w:rPr>
              <w:t xml:space="preserve">AIG Sigorta AŞ ve Gulf Sigorta AŞ’nin birleşmesi sonucunda yabancı sermayeye sahip şirket sayısı 44’e düşmüştür. </w:t>
            </w:r>
            <w:r w:rsidR="00A62A6C" w:rsidRPr="0090495F">
              <w:rPr>
                <w:rFonts w:ascii="Century" w:hAnsi="Century"/>
                <w:bCs/>
                <w:sz w:val="22"/>
                <w:szCs w:val="22"/>
              </w:rPr>
              <w:t>2018 yılında Uluslararası sermayeye sahip HDI Sigorta AŞ’nin yine uluslar</w:t>
            </w:r>
            <w:r w:rsidR="00D536D4" w:rsidRPr="0090495F">
              <w:rPr>
                <w:rFonts w:ascii="Century" w:hAnsi="Century"/>
                <w:bCs/>
                <w:sz w:val="22"/>
                <w:szCs w:val="22"/>
              </w:rPr>
              <w:t>arası sermayeye sahip Liberty Si</w:t>
            </w:r>
            <w:r w:rsidR="00A62A6C" w:rsidRPr="0090495F">
              <w:rPr>
                <w:rFonts w:ascii="Century" w:hAnsi="Century"/>
                <w:bCs/>
                <w:sz w:val="22"/>
                <w:szCs w:val="22"/>
              </w:rPr>
              <w:t xml:space="preserve">gorta AŞ’yi devralması, </w:t>
            </w:r>
            <w:r w:rsidR="00D536D4" w:rsidRPr="0090495F">
              <w:rPr>
                <w:rFonts w:ascii="Century" w:hAnsi="Century"/>
                <w:bCs/>
                <w:sz w:val="22"/>
                <w:szCs w:val="22"/>
              </w:rPr>
              <w:t>u</w:t>
            </w:r>
            <w:r w:rsidR="00A62A6C" w:rsidRPr="0090495F">
              <w:rPr>
                <w:rFonts w:ascii="Century" w:hAnsi="Century"/>
                <w:bCs/>
                <w:sz w:val="22"/>
                <w:szCs w:val="22"/>
              </w:rPr>
              <w:t xml:space="preserve">luslarası sermayeye sahip Turkland Sigorta AŞ’nin yerli şirkete satılması sonucunda yabancı sermayeli şirket sayısı </w:t>
            </w:r>
            <w:r w:rsidR="00D536D4" w:rsidRPr="0090495F">
              <w:rPr>
                <w:rFonts w:ascii="Century" w:hAnsi="Century"/>
                <w:bCs/>
                <w:sz w:val="22"/>
                <w:szCs w:val="22"/>
              </w:rPr>
              <w:t>42’ye düşmüştür.</w:t>
            </w:r>
          </w:p>
          <w:p w:rsidR="00E74805" w:rsidRPr="0090495F" w:rsidRDefault="00E74805" w:rsidP="00E74805">
            <w:pPr>
              <w:jc w:val="both"/>
              <w:rPr>
                <w:rFonts w:ascii="Century" w:hAnsi="Century"/>
                <w:bCs/>
                <w:sz w:val="22"/>
                <w:szCs w:val="22"/>
              </w:rPr>
            </w:pPr>
          </w:p>
          <w:p w:rsidR="00E74805" w:rsidRPr="0090495F" w:rsidRDefault="00E74805" w:rsidP="00E74805">
            <w:pPr>
              <w:jc w:val="both"/>
              <w:rPr>
                <w:rFonts w:ascii="Century" w:hAnsi="Century"/>
                <w:bCs/>
                <w:sz w:val="22"/>
                <w:szCs w:val="22"/>
              </w:rPr>
            </w:pPr>
          </w:p>
          <w:p w:rsidR="00E74805" w:rsidRPr="0090495F" w:rsidRDefault="00E74805"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3249F7" w:rsidRPr="0090495F" w:rsidRDefault="003249F7" w:rsidP="00E74805">
            <w:pPr>
              <w:jc w:val="both"/>
              <w:rPr>
                <w:rFonts w:ascii="Century" w:hAnsi="Century"/>
                <w:bCs/>
                <w:sz w:val="22"/>
                <w:szCs w:val="22"/>
              </w:rPr>
            </w:pPr>
          </w:p>
          <w:p w:rsidR="00807E61" w:rsidRPr="0090495F" w:rsidRDefault="00807E61" w:rsidP="00807E61"/>
        </w:tc>
        <w:tc>
          <w:tcPr>
            <w:tcW w:w="236" w:type="dxa"/>
            <w:gridSpan w:val="4"/>
          </w:tcPr>
          <w:p w:rsidR="00C85053" w:rsidRPr="0090495F" w:rsidRDefault="00C85053" w:rsidP="00EF2418">
            <w:pPr>
              <w:jc w:val="both"/>
              <w:rPr>
                <w:rFonts w:ascii="Century" w:hAnsi="Century"/>
                <w:sz w:val="22"/>
                <w:szCs w:val="22"/>
              </w:rPr>
            </w:pPr>
          </w:p>
        </w:tc>
        <w:tc>
          <w:tcPr>
            <w:tcW w:w="4667" w:type="dxa"/>
            <w:gridSpan w:val="4"/>
          </w:tcPr>
          <w:p w:rsidR="00682C24" w:rsidRPr="0090495F" w:rsidRDefault="00682C24" w:rsidP="008768FB">
            <w:pPr>
              <w:jc w:val="both"/>
              <w:rPr>
                <w:rFonts w:ascii="Century" w:hAnsi="Century" w:cs="Arial"/>
                <w:color w:val="333333"/>
                <w:sz w:val="22"/>
                <w:szCs w:val="22"/>
              </w:rPr>
            </w:pPr>
          </w:p>
          <w:p w:rsidR="000C18CF" w:rsidRPr="0090495F" w:rsidRDefault="00573EE5" w:rsidP="008768FB">
            <w:pPr>
              <w:jc w:val="both"/>
              <w:rPr>
                <w:rFonts w:ascii="Century" w:hAnsi="Century" w:cs="Arial"/>
                <w:color w:val="333333"/>
                <w:sz w:val="22"/>
                <w:szCs w:val="22"/>
              </w:rPr>
            </w:pPr>
            <w:r w:rsidRPr="0090495F">
              <w:rPr>
                <w:rFonts w:ascii="Century" w:hAnsi="Century" w:cs="Arial"/>
                <w:color w:val="333333"/>
                <w:sz w:val="22"/>
                <w:szCs w:val="22"/>
              </w:rPr>
              <w:t>H</w:t>
            </w:r>
            <w:r w:rsidR="008768FB" w:rsidRPr="0090495F">
              <w:rPr>
                <w:rFonts w:ascii="Century" w:hAnsi="Century" w:cs="Arial"/>
                <w:color w:val="333333"/>
                <w:sz w:val="22"/>
                <w:szCs w:val="22"/>
              </w:rPr>
              <w:t>igh growth potential</w:t>
            </w:r>
            <w:r w:rsidRPr="0090495F">
              <w:rPr>
                <w:rFonts w:ascii="Century" w:hAnsi="Century" w:cs="Arial"/>
                <w:color w:val="333333"/>
                <w:sz w:val="22"/>
                <w:szCs w:val="22"/>
              </w:rPr>
              <w:t xml:space="preserve"> in spite of the low penetration rate</w:t>
            </w:r>
            <w:r w:rsidR="008768FB" w:rsidRPr="0090495F">
              <w:rPr>
                <w:rFonts w:ascii="Century" w:hAnsi="Century" w:cs="Arial"/>
                <w:color w:val="333333"/>
                <w:sz w:val="22"/>
                <w:szCs w:val="22"/>
              </w:rPr>
              <w:t xml:space="preserve"> continues to draw attention of foreign investors to the Turkish insurance market. In 2001,</w:t>
            </w:r>
            <w:r w:rsidR="008768FB" w:rsidRPr="0090495F">
              <w:rPr>
                <w:rFonts w:ascii="Century" w:hAnsi="Century"/>
                <w:color w:val="333333"/>
                <w:sz w:val="22"/>
              </w:rPr>
              <w:t xml:space="preserve"> the number of companies</w:t>
            </w:r>
            <w:r w:rsidR="00DA2FB9" w:rsidRPr="0090495F">
              <w:rPr>
                <w:rFonts w:ascii="Century" w:hAnsi="Century"/>
                <w:color w:val="333333"/>
                <w:sz w:val="22"/>
              </w:rPr>
              <w:t xml:space="preserve"> with foreign ownership</w:t>
            </w:r>
            <w:r w:rsidR="008768FB" w:rsidRPr="0090495F">
              <w:rPr>
                <w:rFonts w:ascii="Century" w:hAnsi="Century"/>
                <w:color w:val="333333"/>
                <w:sz w:val="22"/>
              </w:rPr>
              <w:t xml:space="preserve"> was only 15; this number ha</w:t>
            </w:r>
            <w:r w:rsidR="00DA2FB9" w:rsidRPr="0090495F">
              <w:rPr>
                <w:rFonts w:ascii="Century" w:hAnsi="Century"/>
                <w:color w:val="333333"/>
                <w:sz w:val="22"/>
              </w:rPr>
              <w:t>s</w:t>
            </w:r>
            <w:r w:rsidR="008768FB" w:rsidRPr="0090495F">
              <w:rPr>
                <w:rFonts w:ascii="Century" w:hAnsi="Century"/>
                <w:color w:val="333333"/>
                <w:sz w:val="22"/>
              </w:rPr>
              <w:t xml:space="preserve"> been incre</w:t>
            </w:r>
            <w:r w:rsidR="002A0D0B" w:rsidRPr="0090495F">
              <w:rPr>
                <w:rFonts w:ascii="Century" w:hAnsi="Century"/>
                <w:color w:val="333333"/>
                <w:sz w:val="22"/>
              </w:rPr>
              <w:t>ased for years and reached 45</w:t>
            </w:r>
            <w:r w:rsidR="008768FB" w:rsidRPr="0090495F">
              <w:rPr>
                <w:rFonts w:ascii="Century" w:hAnsi="Century"/>
                <w:color w:val="333333"/>
                <w:sz w:val="22"/>
              </w:rPr>
              <w:t xml:space="preserve"> </w:t>
            </w:r>
            <w:r w:rsidR="00DA2FB9" w:rsidRPr="0090495F">
              <w:rPr>
                <w:rFonts w:ascii="Century" w:hAnsi="Century"/>
                <w:color w:val="333333"/>
                <w:sz w:val="22"/>
              </w:rPr>
              <w:t>by</w:t>
            </w:r>
            <w:r w:rsidR="008768FB" w:rsidRPr="0090495F">
              <w:rPr>
                <w:rFonts w:ascii="Century" w:hAnsi="Century"/>
                <w:color w:val="333333"/>
                <w:sz w:val="22"/>
              </w:rPr>
              <w:t xml:space="preserve"> the end of 201</w:t>
            </w:r>
            <w:r w:rsidR="002A0D0B" w:rsidRPr="0090495F">
              <w:rPr>
                <w:rFonts w:ascii="Century" w:hAnsi="Century"/>
                <w:color w:val="333333"/>
                <w:sz w:val="22"/>
              </w:rPr>
              <w:t>6</w:t>
            </w:r>
            <w:r w:rsidR="008768FB" w:rsidRPr="0090495F">
              <w:rPr>
                <w:rFonts w:ascii="Century" w:hAnsi="Century"/>
                <w:color w:val="333333"/>
                <w:sz w:val="22"/>
              </w:rPr>
              <w:t xml:space="preserve">. </w:t>
            </w:r>
          </w:p>
          <w:p w:rsidR="000C18CF" w:rsidRPr="0090495F" w:rsidRDefault="000C18CF" w:rsidP="008768FB">
            <w:pPr>
              <w:jc w:val="both"/>
              <w:rPr>
                <w:rFonts w:ascii="Century" w:hAnsi="Century" w:cs="Arial"/>
                <w:color w:val="333333"/>
                <w:sz w:val="22"/>
                <w:szCs w:val="22"/>
              </w:rPr>
            </w:pPr>
          </w:p>
          <w:p w:rsidR="005B31A7" w:rsidRDefault="005B31A7" w:rsidP="0090495F">
            <w:pPr>
              <w:jc w:val="both"/>
              <w:rPr>
                <w:rFonts w:ascii="Century" w:hAnsi="Century" w:cs="Arial"/>
                <w:color w:val="333333"/>
                <w:sz w:val="22"/>
                <w:szCs w:val="22"/>
              </w:rPr>
            </w:pPr>
          </w:p>
          <w:p w:rsidR="005B31A7" w:rsidRDefault="005B31A7" w:rsidP="0090495F">
            <w:pPr>
              <w:jc w:val="both"/>
              <w:rPr>
                <w:rFonts w:ascii="Century" w:hAnsi="Century" w:cs="Arial"/>
                <w:color w:val="333333"/>
                <w:sz w:val="22"/>
                <w:szCs w:val="22"/>
              </w:rPr>
            </w:pPr>
          </w:p>
          <w:p w:rsidR="0090495F" w:rsidRPr="0090495F" w:rsidRDefault="0090495F" w:rsidP="0090495F">
            <w:pPr>
              <w:jc w:val="both"/>
              <w:rPr>
                <w:rFonts w:ascii="Century" w:hAnsi="Century" w:cs="Arial"/>
                <w:color w:val="333333"/>
                <w:sz w:val="22"/>
                <w:szCs w:val="22"/>
              </w:rPr>
            </w:pPr>
            <w:r w:rsidRPr="0090495F">
              <w:rPr>
                <w:rFonts w:ascii="Century" w:hAnsi="Century" w:cs="Arial"/>
                <w:color w:val="333333"/>
                <w:sz w:val="22"/>
                <w:szCs w:val="22"/>
              </w:rPr>
              <w:t xml:space="preserve">In 2017, as a result of the merger of foreign capitalized AIG Sigorta AŞ and Gulf Sigorta AŞ, the number of foreign ownership companies has decreased to 44. In 2018, this number dropped again to 42 because foreign capitalized HDI Sigorta AŞ has acquired foreign capitalized Liberty Sigorta AŞ and foreign capitalized Turkland Sigorta AŞ has been acquired by a domestic corporation.  </w:t>
            </w:r>
          </w:p>
          <w:p w:rsidR="006D0032" w:rsidRPr="0090495F" w:rsidRDefault="006D0032" w:rsidP="002010F0">
            <w:pPr>
              <w:jc w:val="both"/>
              <w:rPr>
                <w:rFonts w:ascii="Century" w:hAnsi="Century" w:cs="Arial"/>
                <w:color w:val="333333"/>
                <w:sz w:val="22"/>
                <w:szCs w:val="22"/>
              </w:rPr>
            </w:pPr>
          </w:p>
        </w:tc>
      </w:tr>
      <w:tr w:rsidR="00D4232A" w:rsidRPr="00B10D90" w:rsidTr="00441D50">
        <w:trPr>
          <w:gridAfter w:val="2"/>
          <w:wAfter w:w="38" w:type="dxa"/>
        </w:trPr>
        <w:tc>
          <w:tcPr>
            <w:tcW w:w="9820" w:type="dxa"/>
            <w:gridSpan w:val="14"/>
          </w:tcPr>
          <w:p w:rsidR="00D4232A" w:rsidRPr="00E55B13" w:rsidRDefault="00D4232A" w:rsidP="00D4232A">
            <w:pPr>
              <w:pStyle w:val="Caption"/>
              <w:jc w:val="center"/>
              <w:rPr>
                <w:rFonts w:ascii="Century" w:hAnsi="Century"/>
                <w:b w:val="0"/>
                <w:i/>
                <w:color w:val="000080"/>
              </w:rPr>
            </w:pPr>
            <w:r w:rsidRPr="00E55B13">
              <w:rPr>
                <w:rFonts w:ascii="Century" w:hAnsi="Century"/>
                <w:color w:val="000080"/>
              </w:rPr>
              <w:lastRenderedPageBreak/>
              <w:t xml:space="preserve">Tablo </w:t>
            </w:r>
            <w:r w:rsidR="005D0DBF" w:rsidRPr="00E55B13">
              <w:rPr>
                <w:rFonts w:ascii="Century" w:hAnsi="Century"/>
                <w:color w:val="000080"/>
              </w:rPr>
              <w:t>2</w:t>
            </w:r>
            <w:r w:rsidRPr="00E55B13">
              <w:rPr>
                <w:rFonts w:ascii="Century" w:hAnsi="Century"/>
                <w:color w:val="000080"/>
              </w:rPr>
              <w:t>.</w:t>
            </w:r>
            <w:r w:rsidR="005D0DBF" w:rsidRPr="00E55B13">
              <w:rPr>
                <w:rFonts w:ascii="Century" w:hAnsi="Century"/>
                <w:color w:val="000080"/>
              </w:rPr>
              <w:t>1</w:t>
            </w:r>
            <w:r w:rsidRPr="00E55B13">
              <w:rPr>
                <w:rFonts w:ascii="Century" w:hAnsi="Century"/>
                <w:color w:val="000080"/>
              </w:rPr>
              <w:t>.</w:t>
            </w:r>
            <w:r w:rsidR="005D0DBF" w:rsidRPr="00E55B13">
              <w:rPr>
                <w:rFonts w:ascii="Century" w:hAnsi="Century"/>
                <w:color w:val="000080"/>
              </w:rPr>
              <w:t>3</w:t>
            </w:r>
            <w:r w:rsidRPr="00E55B13">
              <w:rPr>
                <w:rFonts w:ascii="Century" w:hAnsi="Century"/>
                <w:color w:val="000080"/>
              </w:rPr>
              <w:t xml:space="preserve">: </w:t>
            </w:r>
            <w:r w:rsidR="00C163F8" w:rsidRPr="00E55B13">
              <w:rPr>
                <w:rFonts w:ascii="Century" w:hAnsi="Century"/>
                <w:color w:val="000080"/>
              </w:rPr>
              <w:t>Uluslararası</w:t>
            </w:r>
            <w:r w:rsidRPr="00E55B13">
              <w:rPr>
                <w:rFonts w:ascii="Century" w:hAnsi="Century"/>
                <w:color w:val="000080"/>
              </w:rPr>
              <w:t xml:space="preserve"> Sermayeli Şirket Sayısı-</w:t>
            </w:r>
            <w:r w:rsidR="00F41C82" w:rsidRPr="00E55B13">
              <w:rPr>
                <w:rFonts w:ascii="Century" w:hAnsi="Century"/>
                <w:b w:val="0"/>
                <w:i/>
                <w:color w:val="000080"/>
              </w:rPr>
              <w:t>No.of Company with International</w:t>
            </w:r>
            <w:r w:rsidRPr="00E55B13">
              <w:rPr>
                <w:rFonts w:ascii="Century" w:hAnsi="Century"/>
                <w:b w:val="0"/>
                <w:i/>
                <w:color w:val="000080"/>
              </w:rPr>
              <w:t xml:space="preserve"> Partners</w:t>
            </w:r>
          </w:p>
          <w:p w:rsidR="00E55B13" w:rsidRPr="00E55B13" w:rsidRDefault="00E55B13" w:rsidP="00E55B13">
            <w:r w:rsidRPr="00E55B13">
              <w:rPr>
                <w:noProof/>
              </w:rPr>
              <w:drawing>
                <wp:inline distT="0" distB="0" distL="0" distR="0" wp14:anchorId="3FCE929D" wp14:editId="72DB5F42">
                  <wp:extent cx="6217920" cy="3005593"/>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8146" cy="3005702"/>
                          </a:xfrm>
                          <a:prstGeom prst="rect">
                            <a:avLst/>
                          </a:prstGeom>
                          <a:noFill/>
                          <a:ln>
                            <a:noFill/>
                          </a:ln>
                        </pic:spPr>
                      </pic:pic>
                    </a:graphicData>
                  </a:graphic>
                </wp:inline>
              </w:drawing>
            </w:r>
          </w:p>
          <w:p w:rsidR="00E33331" w:rsidRPr="00E55B13" w:rsidRDefault="00E33331" w:rsidP="008908FD">
            <w:pPr>
              <w:jc w:val="both"/>
              <w:rPr>
                <w:rFonts w:ascii="Century" w:hAnsi="Century"/>
                <w:i/>
                <w:sz w:val="20"/>
                <w:szCs w:val="20"/>
              </w:rPr>
            </w:pPr>
          </w:p>
        </w:tc>
      </w:tr>
      <w:tr w:rsidR="00630A9B" w:rsidRPr="00B10D90" w:rsidTr="00441D50">
        <w:trPr>
          <w:gridAfter w:val="2"/>
          <w:wAfter w:w="38" w:type="dxa"/>
        </w:trPr>
        <w:tc>
          <w:tcPr>
            <w:tcW w:w="4917" w:type="dxa"/>
            <w:gridSpan w:val="6"/>
          </w:tcPr>
          <w:p w:rsidR="002010F0" w:rsidRPr="00B10D90" w:rsidRDefault="002010F0" w:rsidP="002010F0">
            <w:pPr>
              <w:pStyle w:val="Caption"/>
              <w:jc w:val="both"/>
              <w:rPr>
                <w:rFonts w:ascii="Century" w:hAnsi="Century"/>
                <w:b w:val="0"/>
                <w:sz w:val="22"/>
                <w:szCs w:val="22"/>
                <w:highlight w:val="yellow"/>
              </w:rPr>
            </w:pPr>
            <w:r w:rsidRPr="00A32359">
              <w:rPr>
                <w:rFonts w:ascii="Century" w:hAnsi="Century"/>
                <w:b w:val="0"/>
                <w:sz w:val="22"/>
                <w:szCs w:val="22"/>
              </w:rPr>
              <w:t>31.12.201</w:t>
            </w:r>
            <w:r w:rsidR="00E55B13" w:rsidRPr="00A32359">
              <w:rPr>
                <w:rFonts w:ascii="Century" w:hAnsi="Century"/>
                <w:b w:val="0"/>
                <w:sz w:val="22"/>
                <w:szCs w:val="22"/>
              </w:rPr>
              <w:t>8</w:t>
            </w:r>
            <w:r w:rsidRPr="00A32359">
              <w:rPr>
                <w:rFonts w:ascii="Century" w:hAnsi="Century"/>
                <w:b w:val="0"/>
                <w:sz w:val="22"/>
                <w:szCs w:val="22"/>
              </w:rPr>
              <w:t xml:space="preserve"> tarihi </w:t>
            </w:r>
            <w:r w:rsidR="00354E2E" w:rsidRPr="00A32359">
              <w:rPr>
                <w:rFonts w:ascii="Century" w:hAnsi="Century"/>
                <w:b w:val="0"/>
                <w:sz w:val="22"/>
                <w:szCs w:val="22"/>
              </w:rPr>
              <w:t xml:space="preserve">itibarıyla </w:t>
            </w:r>
            <w:r w:rsidRPr="00A32359">
              <w:rPr>
                <w:rFonts w:ascii="Century" w:hAnsi="Century"/>
                <w:b w:val="0"/>
                <w:sz w:val="22"/>
                <w:szCs w:val="22"/>
              </w:rPr>
              <w:t>mevcut 3</w:t>
            </w:r>
            <w:r w:rsidR="007E56E6" w:rsidRPr="00A32359">
              <w:rPr>
                <w:rFonts w:ascii="Century" w:hAnsi="Century"/>
                <w:b w:val="0"/>
                <w:sz w:val="22"/>
                <w:szCs w:val="22"/>
              </w:rPr>
              <w:t>8</w:t>
            </w:r>
            <w:r w:rsidRPr="00A32359">
              <w:rPr>
                <w:rFonts w:ascii="Century" w:hAnsi="Century"/>
                <w:b w:val="0"/>
                <w:sz w:val="22"/>
                <w:szCs w:val="22"/>
              </w:rPr>
              <w:t xml:space="preserve"> ha</w:t>
            </w:r>
            <w:r w:rsidR="0040401C" w:rsidRPr="00A32359">
              <w:rPr>
                <w:rFonts w:ascii="Century" w:hAnsi="Century"/>
                <w:b w:val="0"/>
                <w:sz w:val="22"/>
                <w:szCs w:val="22"/>
              </w:rPr>
              <w:t>yat dışı sigorta şirketinden 2</w:t>
            </w:r>
            <w:r w:rsidR="00A32359" w:rsidRPr="00A32359">
              <w:rPr>
                <w:rFonts w:ascii="Century" w:hAnsi="Century"/>
                <w:b w:val="0"/>
                <w:sz w:val="22"/>
                <w:szCs w:val="22"/>
              </w:rPr>
              <w:t>4</w:t>
            </w:r>
            <w:r w:rsidR="0040401C" w:rsidRPr="00A32359">
              <w:rPr>
                <w:rFonts w:ascii="Century" w:hAnsi="Century"/>
                <w:b w:val="0"/>
                <w:sz w:val="22"/>
                <w:szCs w:val="22"/>
              </w:rPr>
              <w:t xml:space="preserve"> adedi, </w:t>
            </w:r>
            <w:r w:rsidRPr="00A32359">
              <w:rPr>
                <w:rFonts w:ascii="Century" w:hAnsi="Century"/>
                <w:b w:val="0"/>
                <w:sz w:val="22"/>
                <w:szCs w:val="22"/>
              </w:rPr>
              <w:t>2</w:t>
            </w:r>
            <w:r w:rsidR="00EB13FA" w:rsidRPr="00A32359">
              <w:rPr>
                <w:rFonts w:ascii="Century" w:hAnsi="Century"/>
                <w:b w:val="0"/>
                <w:sz w:val="22"/>
                <w:szCs w:val="22"/>
              </w:rPr>
              <w:t>2</w:t>
            </w:r>
            <w:r w:rsidRPr="00A32359">
              <w:rPr>
                <w:rFonts w:ascii="Century" w:hAnsi="Century"/>
                <w:b w:val="0"/>
                <w:sz w:val="22"/>
                <w:szCs w:val="22"/>
              </w:rPr>
              <w:t xml:space="preserve"> hayat ve emeklilik şirketinden </w:t>
            </w:r>
            <w:r w:rsidR="0040401C" w:rsidRPr="00A32359">
              <w:rPr>
                <w:rFonts w:ascii="Century" w:hAnsi="Century"/>
                <w:b w:val="0"/>
                <w:sz w:val="22"/>
                <w:szCs w:val="22"/>
              </w:rPr>
              <w:t xml:space="preserve">ise </w:t>
            </w:r>
            <w:r w:rsidRPr="00A32359">
              <w:rPr>
                <w:rFonts w:ascii="Century" w:hAnsi="Century"/>
                <w:b w:val="0"/>
                <w:sz w:val="22"/>
                <w:szCs w:val="22"/>
              </w:rPr>
              <w:t>1</w:t>
            </w:r>
            <w:r w:rsidR="008239A3" w:rsidRPr="00A32359">
              <w:rPr>
                <w:rFonts w:ascii="Century" w:hAnsi="Century"/>
                <w:b w:val="0"/>
                <w:sz w:val="22"/>
                <w:szCs w:val="22"/>
              </w:rPr>
              <w:t>7</w:t>
            </w:r>
            <w:r w:rsidR="0040401C" w:rsidRPr="00A32359">
              <w:rPr>
                <w:rFonts w:ascii="Century" w:hAnsi="Century"/>
                <w:b w:val="0"/>
                <w:sz w:val="22"/>
                <w:szCs w:val="22"/>
              </w:rPr>
              <w:t xml:space="preserve"> adedi</w:t>
            </w:r>
            <w:r w:rsidR="002C6D98" w:rsidRPr="00A32359">
              <w:rPr>
                <w:rFonts w:ascii="Century" w:hAnsi="Century"/>
                <w:b w:val="0"/>
                <w:sz w:val="22"/>
                <w:szCs w:val="22"/>
              </w:rPr>
              <w:t xml:space="preserve">, iki reasürans </w:t>
            </w:r>
            <w:r w:rsidR="002C6D98" w:rsidRPr="006975CE">
              <w:rPr>
                <w:rFonts w:ascii="Century" w:hAnsi="Century"/>
                <w:b w:val="0"/>
                <w:sz w:val="22"/>
                <w:szCs w:val="22"/>
              </w:rPr>
              <w:t>şirketinden bir adedi</w:t>
            </w:r>
            <w:r w:rsidRPr="006975CE">
              <w:rPr>
                <w:rFonts w:ascii="Century" w:hAnsi="Century"/>
                <w:b w:val="0"/>
                <w:sz w:val="22"/>
                <w:szCs w:val="22"/>
              </w:rPr>
              <w:t xml:space="preserve"> doğrudan veya dolaylı olarak </w:t>
            </w:r>
            <w:r w:rsidR="0040401C" w:rsidRPr="006975CE">
              <w:rPr>
                <w:rFonts w:ascii="Century" w:hAnsi="Century"/>
                <w:b w:val="0"/>
                <w:sz w:val="22"/>
                <w:szCs w:val="22"/>
              </w:rPr>
              <w:t>uluslara</w:t>
            </w:r>
            <w:r w:rsidR="009C06B9" w:rsidRPr="006975CE">
              <w:rPr>
                <w:rFonts w:ascii="Century" w:hAnsi="Century"/>
                <w:b w:val="0"/>
                <w:sz w:val="22"/>
                <w:szCs w:val="22"/>
              </w:rPr>
              <w:t>ra</w:t>
            </w:r>
            <w:r w:rsidR="0040401C" w:rsidRPr="006975CE">
              <w:rPr>
                <w:rFonts w:ascii="Century" w:hAnsi="Century"/>
                <w:b w:val="0"/>
                <w:sz w:val="22"/>
                <w:szCs w:val="22"/>
              </w:rPr>
              <w:t xml:space="preserve">sı sermayelidir. </w:t>
            </w:r>
            <w:r w:rsidR="002C6D98" w:rsidRPr="006975CE">
              <w:rPr>
                <w:rFonts w:ascii="Century" w:hAnsi="Century"/>
                <w:b w:val="0"/>
                <w:sz w:val="22"/>
                <w:szCs w:val="22"/>
              </w:rPr>
              <w:t xml:space="preserve">Bu şirketlerin </w:t>
            </w:r>
            <w:r w:rsidR="006975CE" w:rsidRPr="006975CE">
              <w:rPr>
                <w:rFonts w:ascii="Century" w:hAnsi="Century"/>
                <w:b w:val="0"/>
                <w:sz w:val="22"/>
                <w:szCs w:val="22"/>
              </w:rPr>
              <w:t>38</w:t>
            </w:r>
            <w:r w:rsidRPr="006975CE">
              <w:rPr>
                <w:rFonts w:ascii="Century" w:hAnsi="Century"/>
                <w:b w:val="0"/>
                <w:sz w:val="22"/>
                <w:szCs w:val="22"/>
              </w:rPr>
              <w:t xml:space="preserve"> adedinde </w:t>
            </w:r>
            <w:r w:rsidR="0040401C" w:rsidRPr="006975CE">
              <w:rPr>
                <w:rFonts w:ascii="Century" w:hAnsi="Century"/>
                <w:b w:val="0"/>
                <w:sz w:val="22"/>
                <w:szCs w:val="22"/>
              </w:rPr>
              <w:t>uluslara</w:t>
            </w:r>
            <w:r w:rsidR="009C06B9" w:rsidRPr="006975CE">
              <w:rPr>
                <w:rFonts w:ascii="Century" w:hAnsi="Century"/>
                <w:b w:val="0"/>
                <w:sz w:val="22"/>
                <w:szCs w:val="22"/>
              </w:rPr>
              <w:t>ra</w:t>
            </w:r>
            <w:r w:rsidR="0040401C" w:rsidRPr="006975CE">
              <w:rPr>
                <w:rFonts w:ascii="Century" w:hAnsi="Century"/>
                <w:b w:val="0"/>
                <w:sz w:val="22"/>
                <w:szCs w:val="22"/>
              </w:rPr>
              <w:t xml:space="preserve">sı sermayenin </w:t>
            </w:r>
            <w:r w:rsidR="00813B2F" w:rsidRPr="006975CE">
              <w:rPr>
                <w:rFonts w:ascii="Century" w:hAnsi="Century"/>
                <w:b w:val="0"/>
                <w:sz w:val="22"/>
                <w:szCs w:val="22"/>
              </w:rPr>
              <w:t>payı %</w:t>
            </w:r>
            <w:r w:rsidRPr="006975CE">
              <w:rPr>
                <w:rFonts w:ascii="Century" w:hAnsi="Century"/>
                <w:b w:val="0"/>
                <w:sz w:val="22"/>
                <w:szCs w:val="22"/>
              </w:rPr>
              <w:t xml:space="preserve">50 ve üzerindedir. </w:t>
            </w:r>
          </w:p>
          <w:p w:rsidR="002010F0" w:rsidRDefault="002010F0" w:rsidP="002010F0">
            <w:pPr>
              <w:rPr>
                <w:rFonts w:ascii="Century" w:hAnsi="Century"/>
                <w:bCs/>
                <w:sz w:val="22"/>
                <w:szCs w:val="22"/>
              </w:rPr>
            </w:pPr>
          </w:p>
          <w:p w:rsidR="005B31A7" w:rsidRPr="006975CE" w:rsidRDefault="005B31A7" w:rsidP="002010F0">
            <w:pPr>
              <w:rPr>
                <w:rFonts w:ascii="Century" w:hAnsi="Century"/>
                <w:bCs/>
                <w:sz w:val="22"/>
                <w:szCs w:val="22"/>
              </w:rPr>
            </w:pPr>
          </w:p>
          <w:p w:rsidR="000E0EC3" w:rsidRPr="006975CE" w:rsidRDefault="000E0EC3" w:rsidP="003B05CE">
            <w:pPr>
              <w:pStyle w:val="Caption"/>
              <w:jc w:val="both"/>
              <w:rPr>
                <w:rFonts w:ascii="Century" w:hAnsi="Century"/>
                <w:b w:val="0"/>
                <w:sz w:val="22"/>
                <w:szCs w:val="22"/>
              </w:rPr>
            </w:pPr>
            <w:r w:rsidRPr="006975CE">
              <w:rPr>
                <w:rFonts w:ascii="Century" w:hAnsi="Century"/>
                <w:b w:val="0"/>
                <w:sz w:val="22"/>
                <w:szCs w:val="22"/>
              </w:rPr>
              <w:t xml:space="preserve">Aşağıdaki grafikte </w:t>
            </w:r>
            <w:r w:rsidR="006975CE" w:rsidRPr="006975CE">
              <w:rPr>
                <w:rFonts w:ascii="Century" w:hAnsi="Century"/>
                <w:b w:val="0"/>
                <w:sz w:val="22"/>
                <w:szCs w:val="22"/>
              </w:rPr>
              <w:t>son 18</w:t>
            </w:r>
            <w:r w:rsidR="002C6D98" w:rsidRPr="006975CE">
              <w:rPr>
                <w:rFonts w:ascii="Century" w:hAnsi="Century"/>
                <w:b w:val="0"/>
                <w:sz w:val="22"/>
                <w:szCs w:val="22"/>
              </w:rPr>
              <w:t xml:space="preserve"> yılda</w:t>
            </w:r>
            <w:r w:rsidRPr="006975CE">
              <w:rPr>
                <w:rFonts w:ascii="Century" w:hAnsi="Century"/>
                <w:b w:val="0"/>
                <w:sz w:val="22"/>
                <w:szCs w:val="22"/>
              </w:rPr>
              <w:t xml:space="preserve"> uluslararası sermayenin gelişimine ilişkin bilgiler şi</w:t>
            </w:r>
            <w:r w:rsidR="003B05CE" w:rsidRPr="006975CE">
              <w:rPr>
                <w:rFonts w:ascii="Century" w:hAnsi="Century"/>
                <w:b w:val="0"/>
                <w:sz w:val="22"/>
                <w:szCs w:val="22"/>
              </w:rPr>
              <w:t xml:space="preserve">rket sayısı </w:t>
            </w:r>
            <w:r w:rsidR="002F5013" w:rsidRPr="006975CE">
              <w:rPr>
                <w:rFonts w:ascii="Century" w:hAnsi="Century"/>
                <w:b w:val="0"/>
                <w:sz w:val="22"/>
                <w:szCs w:val="22"/>
              </w:rPr>
              <w:t>bazında</w:t>
            </w:r>
            <w:r w:rsidR="003B05CE" w:rsidRPr="006975CE">
              <w:rPr>
                <w:rFonts w:ascii="Century" w:hAnsi="Century"/>
                <w:b w:val="0"/>
                <w:sz w:val="22"/>
                <w:szCs w:val="22"/>
              </w:rPr>
              <w:t xml:space="preserve"> verilmiştir.</w:t>
            </w:r>
          </w:p>
          <w:p w:rsidR="002010F0" w:rsidRPr="00B10D90" w:rsidRDefault="002010F0" w:rsidP="000E0EC3">
            <w:pPr>
              <w:pStyle w:val="Caption"/>
              <w:jc w:val="both"/>
              <w:rPr>
                <w:rFonts w:ascii="Century" w:hAnsi="Century"/>
                <w:sz w:val="24"/>
                <w:szCs w:val="24"/>
                <w:highlight w:val="yellow"/>
              </w:rPr>
            </w:pPr>
          </w:p>
        </w:tc>
        <w:tc>
          <w:tcPr>
            <w:tcW w:w="236" w:type="dxa"/>
            <w:gridSpan w:val="4"/>
          </w:tcPr>
          <w:p w:rsidR="00630A9B" w:rsidRPr="00B10D90" w:rsidRDefault="00630A9B" w:rsidP="00EF2418">
            <w:pPr>
              <w:jc w:val="both"/>
              <w:rPr>
                <w:rFonts w:ascii="Century" w:hAnsi="Century"/>
                <w:sz w:val="22"/>
                <w:szCs w:val="22"/>
                <w:highlight w:val="yellow"/>
              </w:rPr>
            </w:pPr>
          </w:p>
        </w:tc>
        <w:tc>
          <w:tcPr>
            <w:tcW w:w="4667" w:type="dxa"/>
            <w:gridSpan w:val="4"/>
          </w:tcPr>
          <w:p w:rsidR="002010F0" w:rsidRPr="00E675D0" w:rsidRDefault="00E66FE6" w:rsidP="002010F0">
            <w:pPr>
              <w:jc w:val="both"/>
              <w:rPr>
                <w:rFonts w:ascii="Century" w:hAnsi="Century"/>
                <w:bCs/>
                <w:color w:val="333333"/>
                <w:sz w:val="22"/>
                <w:szCs w:val="22"/>
                <w:lang w:eastAsia="tr-TR"/>
              </w:rPr>
            </w:pPr>
            <w:r w:rsidRPr="00E675D0">
              <w:rPr>
                <w:rFonts w:ascii="Century" w:hAnsi="Century"/>
                <w:bCs/>
                <w:color w:val="333333"/>
                <w:sz w:val="22"/>
                <w:szCs w:val="22"/>
                <w:lang w:eastAsia="tr-TR"/>
              </w:rPr>
              <w:t>As of 31.12.201</w:t>
            </w:r>
            <w:r w:rsidR="006975CE" w:rsidRPr="00E675D0">
              <w:rPr>
                <w:rFonts w:ascii="Century" w:hAnsi="Century"/>
                <w:bCs/>
                <w:color w:val="333333"/>
                <w:sz w:val="22"/>
                <w:szCs w:val="22"/>
                <w:lang w:eastAsia="tr-TR"/>
              </w:rPr>
              <w:t>8</w:t>
            </w:r>
            <w:r w:rsidRPr="00E675D0">
              <w:rPr>
                <w:rFonts w:ascii="Century" w:hAnsi="Century"/>
                <w:bCs/>
                <w:color w:val="333333"/>
                <w:sz w:val="22"/>
                <w:szCs w:val="22"/>
                <w:lang w:eastAsia="tr-TR"/>
              </w:rPr>
              <w:t>,</w:t>
            </w:r>
            <w:r w:rsidR="002010F0" w:rsidRPr="00E675D0">
              <w:rPr>
                <w:rFonts w:ascii="Century" w:hAnsi="Century" w:cs="Arial"/>
                <w:color w:val="333333"/>
                <w:sz w:val="22"/>
                <w:szCs w:val="22"/>
              </w:rPr>
              <w:t xml:space="preserve"> 2</w:t>
            </w:r>
            <w:r w:rsidR="00E675D0" w:rsidRPr="00E675D0">
              <w:rPr>
                <w:rFonts w:ascii="Century" w:hAnsi="Century" w:cs="Arial"/>
                <w:color w:val="333333"/>
                <w:sz w:val="22"/>
                <w:szCs w:val="22"/>
              </w:rPr>
              <w:t>4</w:t>
            </w:r>
            <w:r w:rsidR="002010F0" w:rsidRPr="00E675D0">
              <w:rPr>
                <w:rFonts w:ascii="Century" w:hAnsi="Century" w:cs="Arial"/>
                <w:color w:val="333333"/>
                <w:sz w:val="22"/>
                <w:szCs w:val="22"/>
              </w:rPr>
              <w:t xml:space="preserve"> of 3</w:t>
            </w:r>
            <w:r w:rsidR="007E56E6" w:rsidRPr="00E675D0">
              <w:rPr>
                <w:rFonts w:ascii="Century" w:hAnsi="Century" w:cs="Arial"/>
                <w:color w:val="333333"/>
                <w:sz w:val="22"/>
                <w:szCs w:val="22"/>
              </w:rPr>
              <w:t>8</w:t>
            </w:r>
            <w:r w:rsidR="002010F0" w:rsidRPr="00E675D0">
              <w:rPr>
                <w:rFonts w:ascii="Century" w:hAnsi="Century" w:cs="Arial"/>
                <w:color w:val="333333"/>
                <w:sz w:val="22"/>
                <w:szCs w:val="22"/>
              </w:rPr>
              <w:t xml:space="preserve"> non-life insurance companies</w:t>
            </w:r>
            <w:r w:rsidR="00BB3F20" w:rsidRPr="00E675D0">
              <w:rPr>
                <w:rFonts w:ascii="Century" w:hAnsi="Century" w:cs="Arial"/>
                <w:color w:val="333333"/>
                <w:sz w:val="22"/>
                <w:szCs w:val="22"/>
              </w:rPr>
              <w:t>,</w:t>
            </w:r>
            <w:r w:rsidR="002010F0" w:rsidRPr="00E675D0">
              <w:rPr>
                <w:rFonts w:ascii="Century" w:hAnsi="Century" w:cs="Arial"/>
                <w:color w:val="333333"/>
                <w:sz w:val="22"/>
                <w:szCs w:val="22"/>
              </w:rPr>
              <w:t xml:space="preserve"> 1</w:t>
            </w:r>
            <w:r w:rsidR="008239A3" w:rsidRPr="00E675D0">
              <w:rPr>
                <w:rFonts w:ascii="Century" w:hAnsi="Century" w:cs="Arial"/>
                <w:color w:val="333333"/>
                <w:sz w:val="22"/>
                <w:szCs w:val="22"/>
              </w:rPr>
              <w:t>7</w:t>
            </w:r>
            <w:r w:rsidR="002010F0" w:rsidRPr="00E675D0">
              <w:rPr>
                <w:rFonts w:ascii="Century" w:hAnsi="Century" w:cs="Arial"/>
                <w:color w:val="333333"/>
                <w:sz w:val="22"/>
                <w:szCs w:val="22"/>
              </w:rPr>
              <w:t xml:space="preserve"> of 2</w:t>
            </w:r>
            <w:r w:rsidR="00EB13FA" w:rsidRPr="00E675D0">
              <w:rPr>
                <w:rFonts w:ascii="Century" w:hAnsi="Century" w:cs="Arial"/>
                <w:color w:val="333333"/>
                <w:sz w:val="22"/>
                <w:szCs w:val="22"/>
              </w:rPr>
              <w:t>2</w:t>
            </w:r>
            <w:r w:rsidR="002010F0" w:rsidRPr="00E675D0">
              <w:rPr>
                <w:rFonts w:ascii="Century" w:hAnsi="Century" w:cs="Arial"/>
                <w:color w:val="333333"/>
                <w:sz w:val="22"/>
                <w:szCs w:val="22"/>
              </w:rPr>
              <w:t xml:space="preserve"> life</w:t>
            </w:r>
            <w:r w:rsidR="002010F0" w:rsidRPr="00E675D0">
              <w:rPr>
                <w:rFonts w:ascii="Century" w:hAnsi="Century"/>
                <w:bCs/>
                <w:color w:val="333333"/>
                <w:sz w:val="22"/>
                <w:szCs w:val="22"/>
                <w:lang w:eastAsia="tr-TR"/>
              </w:rPr>
              <w:t xml:space="preserve"> and pension companies </w:t>
            </w:r>
            <w:r w:rsidR="00BB3F20" w:rsidRPr="00E675D0">
              <w:rPr>
                <w:rFonts w:ascii="Century" w:hAnsi="Century"/>
                <w:bCs/>
                <w:color w:val="333333"/>
                <w:sz w:val="22"/>
                <w:szCs w:val="22"/>
                <w:lang w:eastAsia="tr-TR"/>
              </w:rPr>
              <w:t xml:space="preserve">and one </w:t>
            </w:r>
            <w:r w:rsidRPr="00E675D0">
              <w:rPr>
                <w:rFonts w:ascii="Century" w:hAnsi="Century"/>
                <w:bCs/>
                <w:color w:val="333333"/>
                <w:sz w:val="22"/>
                <w:szCs w:val="22"/>
                <w:lang w:eastAsia="tr-TR"/>
              </w:rPr>
              <w:t>of</w:t>
            </w:r>
            <w:r w:rsidR="00BB3F20" w:rsidRPr="00E675D0">
              <w:rPr>
                <w:rFonts w:ascii="Century" w:hAnsi="Century"/>
                <w:bCs/>
                <w:color w:val="333333"/>
                <w:sz w:val="22"/>
                <w:szCs w:val="22"/>
                <w:lang w:eastAsia="tr-TR"/>
              </w:rPr>
              <w:t xml:space="preserve"> two reinsurance companies </w:t>
            </w:r>
            <w:r w:rsidR="003069CE" w:rsidRPr="00E675D0">
              <w:rPr>
                <w:rFonts w:ascii="Century" w:hAnsi="Century"/>
                <w:bCs/>
                <w:color w:val="333333"/>
                <w:sz w:val="22"/>
                <w:szCs w:val="22"/>
                <w:lang w:eastAsia="tr-TR"/>
              </w:rPr>
              <w:t xml:space="preserve">belong to </w:t>
            </w:r>
            <w:r w:rsidR="007E09CD" w:rsidRPr="00E675D0">
              <w:rPr>
                <w:rFonts w:ascii="Century" w:hAnsi="Century"/>
                <w:bCs/>
                <w:color w:val="333333"/>
                <w:sz w:val="22"/>
                <w:szCs w:val="22"/>
                <w:lang w:eastAsia="tr-TR"/>
              </w:rPr>
              <w:t xml:space="preserve"> </w:t>
            </w:r>
            <w:r w:rsidR="00573EE5" w:rsidRPr="00E675D0">
              <w:rPr>
                <w:rFonts w:ascii="Century" w:hAnsi="Century"/>
                <w:bCs/>
                <w:color w:val="333333"/>
                <w:sz w:val="22"/>
                <w:szCs w:val="22"/>
                <w:lang w:eastAsia="tr-TR"/>
              </w:rPr>
              <w:t xml:space="preserve">directly or indirectly </w:t>
            </w:r>
            <w:r w:rsidR="003069CE" w:rsidRPr="00E675D0">
              <w:rPr>
                <w:rFonts w:ascii="Century" w:hAnsi="Century"/>
                <w:bCs/>
                <w:color w:val="333333"/>
                <w:sz w:val="22"/>
                <w:szCs w:val="22"/>
                <w:lang w:eastAsia="tr-TR"/>
              </w:rPr>
              <w:t xml:space="preserve">foreigninvestors </w:t>
            </w:r>
            <w:r w:rsidR="00573EE5" w:rsidRPr="00E675D0">
              <w:rPr>
                <w:rFonts w:ascii="Century" w:hAnsi="Century" w:cs="Arial"/>
                <w:color w:val="333333"/>
                <w:sz w:val="22"/>
                <w:szCs w:val="22"/>
              </w:rPr>
              <w:t>in the Turkish Insurance Sector</w:t>
            </w:r>
            <w:r w:rsidR="002010F0" w:rsidRPr="00E675D0">
              <w:rPr>
                <w:rFonts w:ascii="Century" w:hAnsi="Century"/>
                <w:bCs/>
                <w:color w:val="333333"/>
                <w:sz w:val="22"/>
                <w:szCs w:val="22"/>
                <w:lang w:eastAsia="tr-TR"/>
              </w:rPr>
              <w:t xml:space="preserve">. The share of </w:t>
            </w:r>
            <w:r w:rsidR="007E09CD" w:rsidRPr="00E675D0">
              <w:rPr>
                <w:rFonts w:ascii="Century" w:hAnsi="Century"/>
                <w:bCs/>
                <w:color w:val="333333"/>
                <w:sz w:val="22"/>
                <w:szCs w:val="22"/>
                <w:lang w:eastAsia="tr-TR"/>
              </w:rPr>
              <w:t xml:space="preserve">international capital </w:t>
            </w:r>
            <w:r w:rsidR="002C6D98" w:rsidRPr="00E675D0">
              <w:rPr>
                <w:rFonts w:ascii="Century" w:hAnsi="Century"/>
                <w:bCs/>
                <w:color w:val="333333"/>
                <w:sz w:val="22"/>
                <w:szCs w:val="22"/>
                <w:lang w:eastAsia="tr-TR"/>
              </w:rPr>
              <w:t xml:space="preserve">is 50% or above in </w:t>
            </w:r>
            <w:r w:rsidR="00E675D0" w:rsidRPr="00E675D0">
              <w:rPr>
                <w:rFonts w:ascii="Century" w:hAnsi="Century"/>
                <w:bCs/>
                <w:color w:val="333333"/>
                <w:sz w:val="22"/>
                <w:szCs w:val="22"/>
                <w:lang w:eastAsia="tr-TR"/>
              </w:rPr>
              <w:t>38</w:t>
            </w:r>
            <w:r w:rsidR="00B87A9F" w:rsidRPr="00E675D0">
              <w:rPr>
                <w:rFonts w:ascii="Century" w:hAnsi="Century"/>
                <w:bCs/>
                <w:color w:val="333333"/>
                <w:sz w:val="22"/>
                <w:szCs w:val="22"/>
                <w:lang w:eastAsia="tr-TR"/>
              </w:rPr>
              <w:t xml:space="preserve"> </w:t>
            </w:r>
            <w:r w:rsidR="002010F0" w:rsidRPr="00E675D0">
              <w:rPr>
                <w:rFonts w:ascii="Century" w:hAnsi="Century"/>
                <w:bCs/>
                <w:color w:val="333333"/>
                <w:sz w:val="22"/>
                <w:szCs w:val="22"/>
                <w:lang w:eastAsia="tr-TR"/>
              </w:rPr>
              <w:t>of the</w:t>
            </w:r>
            <w:r w:rsidR="009C06B9" w:rsidRPr="00E675D0">
              <w:rPr>
                <w:rFonts w:ascii="Century" w:hAnsi="Century"/>
                <w:bCs/>
                <w:color w:val="333333"/>
                <w:sz w:val="22"/>
                <w:szCs w:val="22"/>
                <w:lang w:eastAsia="tr-TR"/>
              </w:rPr>
              <w:t xml:space="preserve"> companies</w:t>
            </w:r>
            <w:r w:rsidR="002010F0" w:rsidRPr="00E675D0">
              <w:rPr>
                <w:rFonts w:ascii="Century" w:hAnsi="Century"/>
                <w:bCs/>
                <w:color w:val="333333"/>
                <w:sz w:val="22"/>
                <w:szCs w:val="22"/>
                <w:lang w:eastAsia="tr-TR"/>
              </w:rPr>
              <w:t xml:space="preserve">. </w:t>
            </w:r>
          </w:p>
          <w:p w:rsidR="000E0EC3" w:rsidRPr="00B10D90" w:rsidRDefault="000E0EC3" w:rsidP="000E0EC3">
            <w:pPr>
              <w:jc w:val="both"/>
              <w:rPr>
                <w:rFonts w:ascii="Century" w:hAnsi="Century" w:cs="Arial"/>
                <w:color w:val="333333"/>
                <w:sz w:val="22"/>
                <w:szCs w:val="22"/>
                <w:highlight w:val="yellow"/>
              </w:rPr>
            </w:pPr>
          </w:p>
          <w:p w:rsidR="000E0EC3" w:rsidRPr="00E675D0" w:rsidRDefault="000E0EC3" w:rsidP="002C6D98">
            <w:pPr>
              <w:jc w:val="both"/>
              <w:rPr>
                <w:rFonts w:ascii="Century" w:hAnsi="Century" w:cs="Arial"/>
                <w:color w:val="333333"/>
                <w:sz w:val="22"/>
                <w:szCs w:val="22"/>
              </w:rPr>
            </w:pPr>
            <w:r w:rsidRPr="00E675D0">
              <w:rPr>
                <w:rFonts w:ascii="Century" w:hAnsi="Century" w:cs="Arial"/>
                <w:color w:val="333333"/>
                <w:sz w:val="22"/>
                <w:szCs w:val="22"/>
              </w:rPr>
              <w:t xml:space="preserve">The following graph </w:t>
            </w:r>
            <w:r w:rsidR="003069CE" w:rsidRPr="00E675D0">
              <w:rPr>
                <w:rFonts w:ascii="Century" w:hAnsi="Century" w:cs="Arial"/>
                <w:color w:val="333333"/>
                <w:sz w:val="22"/>
                <w:szCs w:val="22"/>
              </w:rPr>
              <w:t>re</w:t>
            </w:r>
            <w:r w:rsidRPr="00E675D0">
              <w:rPr>
                <w:rFonts w:ascii="Century" w:hAnsi="Century" w:cs="Arial"/>
                <w:color w:val="333333"/>
                <w:sz w:val="22"/>
                <w:szCs w:val="22"/>
              </w:rPr>
              <w:t>present</w:t>
            </w:r>
            <w:r w:rsidR="005910B7" w:rsidRPr="00E675D0">
              <w:rPr>
                <w:rFonts w:ascii="Century" w:hAnsi="Century" w:cs="Arial"/>
                <w:color w:val="333333"/>
                <w:sz w:val="22"/>
                <w:szCs w:val="22"/>
              </w:rPr>
              <w:t>s</w:t>
            </w:r>
            <w:r w:rsidRPr="00E675D0">
              <w:rPr>
                <w:rFonts w:ascii="Century" w:hAnsi="Century" w:cs="Arial"/>
                <w:color w:val="333333"/>
                <w:sz w:val="22"/>
                <w:szCs w:val="22"/>
              </w:rPr>
              <w:t xml:space="preserve"> the number of </w:t>
            </w:r>
            <w:r w:rsidR="003069CE" w:rsidRPr="00E675D0">
              <w:rPr>
                <w:rFonts w:ascii="Century" w:hAnsi="Century" w:cs="Arial"/>
                <w:color w:val="333333"/>
                <w:sz w:val="22"/>
                <w:szCs w:val="22"/>
              </w:rPr>
              <w:t>company with foreign capital</w:t>
            </w:r>
            <w:r w:rsidR="005910B7" w:rsidRPr="00E675D0">
              <w:rPr>
                <w:rFonts w:ascii="Century" w:hAnsi="Century" w:cs="Arial"/>
                <w:color w:val="333333"/>
                <w:sz w:val="22"/>
                <w:szCs w:val="22"/>
              </w:rPr>
              <w:t xml:space="preserve"> for the </w:t>
            </w:r>
            <w:r w:rsidR="00573EE5" w:rsidRPr="00E675D0">
              <w:rPr>
                <w:rFonts w:ascii="Century" w:hAnsi="Century" w:cs="Arial"/>
                <w:color w:val="333333"/>
                <w:sz w:val="22"/>
                <w:szCs w:val="22"/>
              </w:rPr>
              <w:t xml:space="preserve">last </w:t>
            </w:r>
            <w:r w:rsidR="005910B7" w:rsidRPr="00E675D0">
              <w:rPr>
                <w:rFonts w:ascii="Century" w:hAnsi="Century" w:cs="Arial"/>
                <w:color w:val="333333"/>
                <w:sz w:val="22"/>
                <w:szCs w:val="22"/>
              </w:rPr>
              <w:t>1</w:t>
            </w:r>
            <w:r w:rsidR="00E675D0" w:rsidRPr="00E675D0">
              <w:rPr>
                <w:rFonts w:ascii="Century" w:hAnsi="Century" w:cs="Arial"/>
                <w:color w:val="333333"/>
                <w:sz w:val="22"/>
                <w:szCs w:val="22"/>
              </w:rPr>
              <w:t>8</w:t>
            </w:r>
            <w:r w:rsidRPr="00E675D0">
              <w:rPr>
                <w:rFonts w:ascii="Century" w:hAnsi="Century" w:cs="Arial"/>
                <w:color w:val="333333"/>
                <w:sz w:val="22"/>
                <w:szCs w:val="22"/>
              </w:rPr>
              <w:t xml:space="preserve"> years.</w:t>
            </w:r>
          </w:p>
          <w:p w:rsidR="00BB3F20" w:rsidRDefault="00BB3F20" w:rsidP="002C6D98">
            <w:pPr>
              <w:jc w:val="both"/>
              <w:rPr>
                <w:rFonts w:ascii="Century" w:hAnsi="Century" w:cs="Arial"/>
                <w:color w:val="333333"/>
                <w:sz w:val="22"/>
                <w:szCs w:val="22"/>
                <w:highlight w:val="yellow"/>
              </w:rPr>
            </w:pPr>
          </w:p>
          <w:p w:rsidR="003F3CC3" w:rsidRPr="00B10D90" w:rsidRDefault="003F3CC3" w:rsidP="002C6D98">
            <w:pPr>
              <w:jc w:val="both"/>
              <w:rPr>
                <w:rFonts w:ascii="Century" w:hAnsi="Century" w:cs="Arial"/>
                <w:color w:val="333333"/>
                <w:sz w:val="22"/>
                <w:szCs w:val="22"/>
                <w:highlight w:val="yellow"/>
              </w:rPr>
            </w:pPr>
          </w:p>
        </w:tc>
      </w:tr>
      <w:tr w:rsidR="002010F0" w:rsidRPr="00B10D90" w:rsidTr="00441D50">
        <w:trPr>
          <w:gridAfter w:val="2"/>
          <w:wAfter w:w="38" w:type="dxa"/>
        </w:trPr>
        <w:tc>
          <w:tcPr>
            <w:tcW w:w="9820" w:type="dxa"/>
            <w:gridSpan w:val="14"/>
          </w:tcPr>
          <w:p w:rsidR="002010F0" w:rsidRPr="00E55B13" w:rsidRDefault="002010F0" w:rsidP="002010F0">
            <w:pPr>
              <w:jc w:val="center"/>
              <w:rPr>
                <w:rFonts w:ascii="Century" w:hAnsi="Century"/>
                <w:i/>
                <w:color w:val="002060"/>
                <w:sz w:val="20"/>
                <w:szCs w:val="20"/>
              </w:rPr>
            </w:pPr>
            <w:r w:rsidRPr="00E55B13">
              <w:rPr>
                <w:rFonts w:ascii="Century" w:hAnsi="Century"/>
                <w:b/>
                <w:bCs/>
                <w:color w:val="000080"/>
                <w:sz w:val="20"/>
                <w:szCs w:val="20"/>
              </w:rPr>
              <w:t xml:space="preserve">Grafik </w:t>
            </w:r>
            <w:r w:rsidR="005D0DBF" w:rsidRPr="00E55B13">
              <w:rPr>
                <w:rFonts w:ascii="Century" w:hAnsi="Century"/>
                <w:b/>
                <w:bCs/>
                <w:color w:val="000080"/>
                <w:sz w:val="20"/>
                <w:szCs w:val="20"/>
              </w:rPr>
              <w:t>2</w:t>
            </w:r>
            <w:r w:rsidRPr="00E55B13">
              <w:rPr>
                <w:rFonts w:ascii="Century" w:hAnsi="Century"/>
                <w:b/>
                <w:bCs/>
                <w:color w:val="000080"/>
                <w:sz w:val="20"/>
                <w:szCs w:val="20"/>
              </w:rPr>
              <w:t>.</w:t>
            </w:r>
            <w:r w:rsidR="005D0DBF" w:rsidRPr="00E55B13">
              <w:rPr>
                <w:rFonts w:ascii="Century" w:hAnsi="Century"/>
                <w:b/>
                <w:bCs/>
                <w:color w:val="000080"/>
                <w:sz w:val="20"/>
                <w:szCs w:val="20"/>
              </w:rPr>
              <w:t>1</w:t>
            </w:r>
            <w:r w:rsidRPr="00E55B13">
              <w:rPr>
                <w:rFonts w:ascii="Century" w:hAnsi="Century"/>
                <w:b/>
                <w:bCs/>
                <w:color w:val="000080"/>
                <w:sz w:val="20"/>
                <w:szCs w:val="20"/>
              </w:rPr>
              <w:t xml:space="preserve">.1: </w:t>
            </w:r>
            <w:r w:rsidR="0088110E" w:rsidRPr="00E55B13">
              <w:rPr>
                <w:rFonts w:ascii="Century" w:hAnsi="Century"/>
                <w:b/>
                <w:bCs/>
                <w:color w:val="000080"/>
                <w:sz w:val="20"/>
                <w:szCs w:val="20"/>
              </w:rPr>
              <w:t xml:space="preserve">Uluslararası </w:t>
            </w:r>
            <w:r w:rsidR="00996C36" w:rsidRPr="00E55B13">
              <w:rPr>
                <w:rFonts w:ascii="Century" w:hAnsi="Century"/>
                <w:b/>
                <w:bCs/>
                <w:color w:val="000080"/>
                <w:sz w:val="20"/>
                <w:szCs w:val="20"/>
              </w:rPr>
              <w:t>Ortaklı</w:t>
            </w:r>
            <w:r w:rsidRPr="00E55B13">
              <w:rPr>
                <w:rFonts w:ascii="Century" w:hAnsi="Century"/>
                <w:b/>
                <w:bCs/>
                <w:color w:val="000080"/>
                <w:sz w:val="20"/>
                <w:szCs w:val="20"/>
              </w:rPr>
              <w:t xml:space="preserve"> Şirket</w:t>
            </w:r>
            <w:r w:rsidRPr="00E55B13">
              <w:rPr>
                <w:rFonts w:ascii="Century" w:hAnsi="Century"/>
                <w:b/>
                <w:color w:val="002060"/>
                <w:sz w:val="20"/>
                <w:szCs w:val="20"/>
              </w:rPr>
              <w:t xml:space="preserve"> S</w:t>
            </w:r>
            <w:r w:rsidRPr="00E55B13">
              <w:rPr>
                <w:rFonts w:ascii="Century" w:hAnsi="Century"/>
                <w:b/>
                <w:bCs/>
                <w:color w:val="000080"/>
                <w:sz w:val="20"/>
                <w:szCs w:val="20"/>
              </w:rPr>
              <w:t>ayısı Gelişimi</w:t>
            </w:r>
            <w:r w:rsidRPr="00E55B13">
              <w:rPr>
                <w:rFonts w:ascii="Century" w:hAnsi="Century"/>
                <w:b/>
                <w:color w:val="002060"/>
                <w:sz w:val="20"/>
                <w:szCs w:val="20"/>
              </w:rPr>
              <w:t xml:space="preserve"> – </w:t>
            </w:r>
            <w:r w:rsidRPr="00E55B13">
              <w:rPr>
                <w:rFonts w:ascii="Century" w:hAnsi="Century"/>
                <w:i/>
                <w:color w:val="002060"/>
                <w:sz w:val="20"/>
                <w:szCs w:val="20"/>
              </w:rPr>
              <w:t xml:space="preserve">No.of Company with </w:t>
            </w:r>
            <w:r w:rsidR="00250B8A" w:rsidRPr="00E55B13">
              <w:rPr>
                <w:rFonts w:ascii="Century" w:hAnsi="Century"/>
                <w:i/>
                <w:color w:val="002060"/>
                <w:sz w:val="20"/>
                <w:szCs w:val="20"/>
              </w:rPr>
              <w:t>International</w:t>
            </w:r>
            <w:r w:rsidRPr="00E55B13">
              <w:rPr>
                <w:rFonts w:ascii="Century" w:hAnsi="Century"/>
                <w:i/>
                <w:color w:val="002060"/>
                <w:sz w:val="20"/>
                <w:szCs w:val="20"/>
              </w:rPr>
              <w:t xml:space="preserve"> Partners</w:t>
            </w:r>
          </w:p>
          <w:p w:rsidR="002010F0" w:rsidRPr="00E55B13" w:rsidRDefault="00E55B13" w:rsidP="009A61E9">
            <w:pPr>
              <w:jc w:val="center"/>
              <w:rPr>
                <w:rFonts w:ascii="Century" w:hAnsi="Century" w:cs="Arial"/>
                <w:color w:val="333333"/>
                <w:sz w:val="22"/>
                <w:szCs w:val="22"/>
              </w:rPr>
            </w:pPr>
            <w:r w:rsidRPr="00E55B13">
              <w:rPr>
                <w:rFonts w:ascii="Century" w:hAnsi="Century" w:cs="Arial"/>
                <w:noProof/>
                <w:color w:val="333333"/>
                <w:sz w:val="22"/>
                <w:szCs w:val="22"/>
              </w:rPr>
              <w:drawing>
                <wp:inline distT="0" distB="0" distL="0" distR="0" wp14:anchorId="64E25917" wp14:editId="5A80B9C5">
                  <wp:extent cx="6090162" cy="2337684"/>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0920" cy="2337975"/>
                          </a:xfrm>
                          <a:prstGeom prst="rect">
                            <a:avLst/>
                          </a:prstGeom>
                          <a:noFill/>
                          <a:ln>
                            <a:noFill/>
                          </a:ln>
                        </pic:spPr>
                      </pic:pic>
                    </a:graphicData>
                  </a:graphic>
                </wp:inline>
              </w:drawing>
            </w:r>
          </w:p>
        </w:tc>
      </w:tr>
      <w:tr w:rsidR="000E0EC3" w:rsidRPr="00B10D90" w:rsidTr="00441D50">
        <w:trPr>
          <w:gridAfter w:val="2"/>
          <w:wAfter w:w="38" w:type="dxa"/>
          <w:trHeight w:val="70"/>
        </w:trPr>
        <w:tc>
          <w:tcPr>
            <w:tcW w:w="9820" w:type="dxa"/>
            <w:gridSpan w:val="14"/>
          </w:tcPr>
          <w:p w:rsidR="000E0EC3" w:rsidRPr="00B10D90" w:rsidRDefault="000E0EC3" w:rsidP="002010F0">
            <w:pPr>
              <w:jc w:val="center"/>
              <w:rPr>
                <w:rFonts w:ascii="Century" w:hAnsi="Century"/>
                <w:b/>
                <w:bCs/>
                <w:color w:val="000080"/>
                <w:sz w:val="20"/>
                <w:szCs w:val="20"/>
                <w:highlight w:val="yellow"/>
              </w:rPr>
            </w:pPr>
          </w:p>
        </w:tc>
      </w:tr>
      <w:tr w:rsidR="000E0EC3" w:rsidRPr="00B10D90" w:rsidTr="00441D50">
        <w:trPr>
          <w:gridAfter w:val="2"/>
          <w:wAfter w:w="38" w:type="dxa"/>
        </w:trPr>
        <w:tc>
          <w:tcPr>
            <w:tcW w:w="9820" w:type="dxa"/>
            <w:gridSpan w:val="14"/>
          </w:tcPr>
          <w:p w:rsidR="000E0EC3" w:rsidRPr="00B10D90" w:rsidRDefault="000E0EC3" w:rsidP="002010F0">
            <w:pPr>
              <w:jc w:val="center"/>
              <w:rPr>
                <w:rFonts w:ascii="Century" w:hAnsi="Century"/>
                <w:b/>
                <w:bCs/>
                <w:color w:val="000080"/>
                <w:sz w:val="20"/>
                <w:szCs w:val="20"/>
                <w:highlight w:val="yellow"/>
              </w:rPr>
            </w:pPr>
          </w:p>
        </w:tc>
      </w:tr>
      <w:tr w:rsidR="00ED6758" w:rsidRPr="00B10D90" w:rsidTr="00441D50">
        <w:trPr>
          <w:gridAfter w:val="2"/>
          <w:wAfter w:w="38" w:type="dxa"/>
          <w:trHeight w:val="360"/>
        </w:trPr>
        <w:tc>
          <w:tcPr>
            <w:tcW w:w="4917" w:type="dxa"/>
            <w:gridSpan w:val="6"/>
          </w:tcPr>
          <w:p w:rsidR="005D4853" w:rsidRPr="002E5EAC" w:rsidRDefault="005D4853" w:rsidP="00642411">
            <w:pPr>
              <w:pStyle w:val="Heading2"/>
              <w:tabs>
                <w:tab w:val="clear" w:pos="717"/>
                <w:tab w:val="num" w:pos="394"/>
                <w:tab w:val="left" w:pos="671"/>
              </w:tabs>
              <w:spacing w:before="0" w:after="0"/>
              <w:ind w:left="0"/>
              <w:rPr>
                <w:rFonts w:ascii="Century" w:hAnsi="Century"/>
                <w:i w:val="0"/>
                <w:color w:val="000080"/>
                <w:sz w:val="22"/>
                <w:szCs w:val="22"/>
              </w:rPr>
            </w:pPr>
            <w:bookmarkStart w:id="180" w:name="_Toc358380192"/>
            <w:bookmarkStart w:id="181" w:name="_Toc12957662"/>
            <w:r w:rsidRPr="002E5EAC">
              <w:rPr>
                <w:rFonts w:ascii="Century" w:hAnsi="Century"/>
                <w:i w:val="0"/>
                <w:color w:val="000080"/>
                <w:sz w:val="22"/>
                <w:szCs w:val="22"/>
              </w:rPr>
              <w:lastRenderedPageBreak/>
              <w:t>Poliçe ve Sözleşme Sayıları</w:t>
            </w:r>
            <w:bookmarkEnd w:id="180"/>
            <w:bookmarkEnd w:id="181"/>
          </w:p>
          <w:p w:rsidR="005D4853" w:rsidRPr="00B10D90" w:rsidRDefault="005D4853" w:rsidP="005D4853">
            <w:pPr>
              <w:jc w:val="both"/>
              <w:rPr>
                <w:rFonts w:ascii="Century" w:hAnsi="Century"/>
                <w:sz w:val="22"/>
                <w:szCs w:val="22"/>
                <w:highlight w:val="yellow"/>
              </w:rPr>
            </w:pPr>
          </w:p>
          <w:p w:rsidR="005D4853" w:rsidRPr="002E5EAC" w:rsidRDefault="005D4853" w:rsidP="005D4853">
            <w:pPr>
              <w:jc w:val="both"/>
              <w:rPr>
                <w:rFonts w:ascii="Century" w:hAnsi="Century"/>
                <w:sz w:val="22"/>
                <w:szCs w:val="22"/>
              </w:rPr>
            </w:pPr>
            <w:r w:rsidRPr="002E5EAC">
              <w:rPr>
                <w:rFonts w:ascii="Century" w:hAnsi="Century"/>
                <w:sz w:val="22"/>
                <w:szCs w:val="22"/>
              </w:rPr>
              <w:t>Sigorta ve emeklilik şirketleri tarafından 201</w:t>
            </w:r>
            <w:r w:rsidR="002E5EAC" w:rsidRPr="002E5EAC">
              <w:rPr>
                <w:rFonts w:ascii="Century" w:hAnsi="Century"/>
                <w:sz w:val="22"/>
                <w:szCs w:val="22"/>
              </w:rPr>
              <w:t>8</w:t>
            </w:r>
            <w:r w:rsidRPr="002E5EAC">
              <w:rPr>
                <w:rFonts w:ascii="Century" w:hAnsi="Century"/>
                <w:sz w:val="22"/>
                <w:szCs w:val="22"/>
              </w:rPr>
              <w:t xml:space="preserve"> yılında hayat dışı dallarda </w:t>
            </w:r>
            <w:r w:rsidR="002E5EAC" w:rsidRPr="002E5EAC">
              <w:rPr>
                <w:rFonts w:ascii="Century" w:hAnsi="Century"/>
                <w:sz w:val="22"/>
                <w:szCs w:val="22"/>
              </w:rPr>
              <w:t>65</w:t>
            </w:r>
            <w:r w:rsidR="006B5718" w:rsidRPr="002E5EAC">
              <w:rPr>
                <w:rFonts w:ascii="Century" w:hAnsi="Century"/>
                <w:sz w:val="22"/>
                <w:szCs w:val="22"/>
              </w:rPr>
              <w:t>.</w:t>
            </w:r>
            <w:r w:rsidR="00CC2BD5">
              <w:rPr>
                <w:rFonts w:ascii="Century" w:hAnsi="Century"/>
                <w:sz w:val="22"/>
                <w:szCs w:val="22"/>
              </w:rPr>
              <w:t>163</w:t>
            </w:r>
            <w:r w:rsidR="006B5718" w:rsidRPr="002E5EAC">
              <w:rPr>
                <w:rFonts w:ascii="Century" w:hAnsi="Century"/>
                <w:sz w:val="22"/>
                <w:szCs w:val="22"/>
              </w:rPr>
              <w:t>.</w:t>
            </w:r>
            <w:r w:rsidR="00CC2BD5">
              <w:rPr>
                <w:rFonts w:ascii="Century" w:hAnsi="Century"/>
                <w:sz w:val="22"/>
                <w:szCs w:val="22"/>
              </w:rPr>
              <w:t>369</w:t>
            </w:r>
            <w:r w:rsidR="006B5718" w:rsidRPr="002E5EAC">
              <w:rPr>
                <w:rFonts w:ascii="Century" w:hAnsi="Century"/>
                <w:sz w:val="22"/>
                <w:szCs w:val="22"/>
              </w:rPr>
              <w:t xml:space="preserve"> </w:t>
            </w:r>
            <w:r w:rsidRPr="002E5EAC">
              <w:rPr>
                <w:rFonts w:ascii="Century" w:hAnsi="Century"/>
                <w:sz w:val="22"/>
                <w:szCs w:val="22"/>
              </w:rPr>
              <w:t>adet</w:t>
            </w:r>
            <w:r w:rsidR="006E475F" w:rsidRPr="002E5EAC">
              <w:rPr>
                <w:rFonts w:ascii="Century" w:hAnsi="Century"/>
                <w:sz w:val="22"/>
                <w:szCs w:val="22"/>
              </w:rPr>
              <w:t>,</w:t>
            </w:r>
            <w:r w:rsidRPr="002E5EAC">
              <w:rPr>
                <w:rFonts w:ascii="Century" w:hAnsi="Century"/>
                <w:sz w:val="22"/>
                <w:szCs w:val="22"/>
              </w:rPr>
              <w:t xml:space="preserve"> hayat branşında </w:t>
            </w:r>
            <w:r w:rsidR="006E475F" w:rsidRPr="002E5EAC">
              <w:rPr>
                <w:rFonts w:ascii="Century" w:hAnsi="Century"/>
                <w:sz w:val="22"/>
                <w:szCs w:val="22"/>
              </w:rPr>
              <w:t xml:space="preserve">ise </w:t>
            </w:r>
            <w:r w:rsidR="008D610F" w:rsidRPr="002E5EAC">
              <w:rPr>
                <w:rFonts w:ascii="Century" w:hAnsi="Century"/>
                <w:sz w:val="22"/>
                <w:szCs w:val="22"/>
              </w:rPr>
              <w:t>20.</w:t>
            </w:r>
            <w:r w:rsidR="002E5EAC" w:rsidRPr="002E5EAC">
              <w:rPr>
                <w:rFonts w:ascii="Century" w:hAnsi="Century"/>
                <w:sz w:val="22"/>
                <w:szCs w:val="22"/>
              </w:rPr>
              <w:t>709</w:t>
            </w:r>
            <w:r w:rsidR="008D610F" w:rsidRPr="002E5EAC">
              <w:rPr>
                <w:rFonts w:ascii="Century" w:hAnsi="Century"/>
                <w:sz w:val="22"/>
                <w:szCs w:val="22"/>
              </w:rPr>
              <w:t>.</w:t>
            </w:r>
            <w:r w:rsidR="002E5EAC" w:rsidRPr="002E5EAC">
              <w:rPr>
                <w:rFonts w:ascii="Century" w:hAnsi="Century"/>
                <w:sz w:val="22"/>
                <w:szCs w:val="22"/>
              </w:rPr>
              <w:t>916</w:t>
            </w:r>
            <w:r w:rsidR="006B5718" w:rsidRPr="002E5EAC">
              <w:rPr>
                <w:rFonts w:ascii="Century" w:hAnsi="Century"/>
                <w:sz w:val="22"/>
                <w:szCs w:val="22"/>
              </w:rPr>
              <w:t xml:space="preserve"> </w:t>
            </w:r>
            <w:r w:rsidRPr="002E5EAC">
              <w:rPr>
                <w:rFonts w:ascii="Century" w:hAnsi="Century"/>
                <w:sz w:val="22"/>
                <w:szCs w:val="22"/>
              </w:rPr>
              <w:t xml:space="preserve">adet olmak üzere toplam </w:t>
            </w:r>
            <w:r w:rsidR="00CC2BD5" w:rsidRPr="00CC2BD5">
              <w:rPr>
                <w:rFonts w:ascii="Century" w:hAnsi="Century"/>
                <w:sz w:val="22"/>
                <w:szCs w:val="22"/>
              </w:rPr>
              <w:t>85.873.285</w:t>
            </w:r>
            <w:r w:rsidR="00CC2BD5">
              <w:rPr>
                <w:rFonts w:ascii="Century" w:hAnsi="Century"/>
                <w:sz w:val="22"/>
                <w:szCs w:val="22"/>
              </w:rPr>
              <w:t xml:space="preserve"> </w:t>
            </w:r>
            <w:r w:rsidRPr="002E5EAC">
              <w:rPr>
                <w:rFonts w:ascii="Century" w:hAnsi="Century"/>
                <w:sz w:val="22"/>
                <w:szCs w:val="22"/>
              </w:rPr>
              <w:t>adet poliçe tanzim edilmiştir. 201</w:t>
            </w:r>
            <w:r w:rsidR="002E5EAC" w:rsidRPr="002E5EAC">
              <w:rPr>
                <w:rFonts w:ascii="Century" w:hAnsi="Century"/>
                <w:sz w:val="22"/>
                <w:szCs w:val="22"/>
              </w:rPr>
              <w:t>8</w:t>
            </w:r>
            <w:r w:rsidRPr="002E5EAC">
              <w:rPr>
                <w:rFonts w:ascii="Century" w:hAnsi="Century"/>
                <w:sz w:val="22"/>
                <w:szCs w:val="22"/>
              </w:rPr>
              <w:t xml:space="preserve"> yılında </w:t>
            </w:r>
            <w:r w:rsidR="008D2BAF" w:rsidRPr="002E5EAC">
              <w:rPr>
                <w:rFonts w:ascii="Century" w:hAnsi="Century"/>
                <w:sz w:val="22"/>
                <w:szCs w:val="22"/>
              </w:rPr>
              <w:t xml:space="preserve">toplam poliçe sayısı </w:t>
            </w:r>
            <w:r w:rsidR="00EF7F53" w:rsidRPr="002E5EAC">
              <w:rPr>
                <w:rFonts w:ascii="Century" w:hAnsi="Century"/>
                <w:sz w:val="22"/>
                <w:szCs w:val="22"/>
              </w:rPr>
              <w:t>201</w:t>
            </w:r>
            <w:r w:rsidR="002E5EAC" w:rsidRPr="002E5EAC">
              <w:rPr>
                <w:rFonts w:ascii="Century" w:hAnsi="Century"/>
                <w:sz w:val="22"/>
                <w:szCs w:val="22"/>
              </w:rPr>
              <w:t>7</w:t>
            </w:r>
            <w:r w:rsidR="00EF7F53" w:rsidRPr="002E5EAC">
              <w:rPr>
                <w:rFonts w:ascii="Century" w:hAnsi="Century"/>
                <w:sz w:val="22"/>
                <w:szCs w:val="22"/>
              </w:rPr>
              <w:t xml:space="preserve"> yılına </w:t>
            </w:r>
            <w:r w:rsidR="00813B2F" w:rsidRPr="002E5EAC">
              <w:rPr>
                <w:rFonts w:ascii="Century" w:hAnsi="Century"/>
                <w:sz w:val="22"/>
                <w:szCs w:val="22"/>
              </w:rPr>
              <w:t>göre %</w:t>
            </w:r>
            <w:r w:rsidR="00CC2BD5">
              <w:rPr>
                <w:rFonts w:ascii="Century" w:hAnsi="Century"/>
                <w:sz w:val="22"/>
                <w:szCs w:val="22"/>
              </w:rPr>
              <w:t>3</w:t>
            </w:r>
            <w:proofErr w:type="gramStart"/>
            <w:r w:rsidR="00BE2138" w:rsidRPr="002E5EAC">
              <w:rPr>
                <w:rFonts w:ascii="Century" w:hAnsi="Century"/>
                <w:sz w:val="22"/>
                <w:szCs w:val="22"/>
                <w:lang w:val="tr-TR"/>
              </w:rPr>
              <w:t>,</w:t>
            </w:r>
            <w:r w:rsidR="00CC2BD5">
              <w:rPr>
                <w:rFonts w:ascii="Century" w:hAnsi="Century"/>
                <w:sz w:val="22"/>
                <w:szCs w:val="22"/>
                <w:lang w:val="tr-TR"/>
              </w:rPr>
              <w:t>8</w:t>
            </w:r>
            <w:proofErr w:type="gramEnd"/>
            <w:r w:rsidRPr="002E5EAC">
              <w:rPr>
                <w:rFonts w:ascii="Century" w:hAnsi="Century"/>
                <w:sz w:val="22"/>
                <w:szCs w:val="22"/>
              </w:rPr>
              <w:t xml:space="preserve"> oranında a</w:t>
            </w:r>
            <w:r w:rsidR="006B5718" w:rsidRPr="002E5EAC">
              <w:rPr>
                <w:rFonts w:ascii="Century" w:hAnsi="Century"/>
                <w:sz w:val="22"/>
                <w:szCs w:val="22"/>
              </w:rPr>
              <w:t>rtmıştır</w:t>
            </w:r>
            <w:r w:rsidR="00D31387" w:rsidRPr="002E5EAC">
              <w:rPr>
                <w:rFonts w:ascii="Century" w:hAnsi="Century"/>
                <w:sz w:val="22"/>
                <w:szCs w:val="22"/>
              </w:rPr>
              <w:t>.</w:t>
            </w:r>
          </w:p>
          <w:p w:rsidR="00FA49B6" w:rsidRPr="00B10D90" w:rsidRDefault="00FA49B6" w:rsidP="005D4853">
            <w:pPr>
              <w:jc w:val="both"/>
              <w:rPr>
                <w:rFonts w:ascii="Century" w:hAnsi="Century"/>
                <w:sz w:val="22"/>
                <w:szCs w:val="22"/>
                <w:highlight w:val="yellow"/>
              </w:rPr>
            </w:pPr>
          </w:p>
          <w:p w:rsidR="003B7166" w:rsidRPr="002E5EAC" w:rsidRDefault="006E475F" w:rsidP="005D4853">
            <w:pPr>
              <w:jc w:val="both"/>
              <w:rPr>
                <w:rFonts w:ascii="Century" w:hAnsi="Century"/>
                <w:sz w:val="22"/>
                <w:szCs w:val="22"/>
              </w:rPr>
            </w:pPr>
            <w:r w:rsidRPr="002E5EAC">
              <w:rPr>
                <w:rFonts w:ascii="Century" w:hAnsi="Century"/>
                <w:sz w:val="22"/>
                <w:szCs w:val="22"/>
              </w:rPr>
              <w:t>B</w:t>
            </w:r>
            <w:r w:rsidR="005D4853" w:rsidRPr="002E5EAC">
              <w:rPr>
                <w:rFonts w:ascii="Century" w:hAnsi="Century"/>
                <w:sz w:val="22"/>
                <w:szCs w:val="22"/>
              </w:rPr>
              <w:t xml:space="preserve">irikimli hayat sigortası poliçelerinden iştira, vefat ve vade gelimi gibi nedenlerle </w:t>
            </w:r>
            <w:r w:rsidRPr="002E5EAC">
              <w:rPr>
                <w:rFonts w:ascii="Century" w:hAnsi="Century"/>
                <w:sz w:val="22"/>
                <w:szCs w:val="22"/>
              </w:rPr>
              <w:t xml:space="preserve">yıl içinde </w:t>
            </w:r>
            <w:r w:rsidR="005D4853" w:rsidRPr="002E5EAC">
              <w:rPr>
                <w:rFonts w:ascii="Century" w:hAnsi="Century"/>
                <w:sz w:val="22"/>
                <w:szCs w:val="22"/>
              </w:rPr>
              <w:t xml:space="preserve">ayrılmalar dikkate alındığında, </w:t>
            </w:r>
            <w:r w:rsidR="007E09CD" w:rsidRPr="002E5EAC">
              <w:rPr>
                <w:rFonts w:ascii="Century" w:hAnsi="Century"/>
                <w:sz w:val="22"/>
                <w:szCs w:val="22"/>
              </w:rPr>
              <w:t xml:space="preserve">hayat sigortasında </w:t>
            </w:r>
            <w:r w:rsidR="005D4853" w:rsidRPr="002E5EAC">
              <w:rPr>
                <w:rFonts w:ascii="Century" w:hAnsi="Century"/>
                <w:sz w:val="22"/>
                <w:szCs w:val="22"/>
              </w:rPr>
              <w:t>201</w:t>
            </w:r>
            <w:r w:rsidR="002E5EAC" w:rsidRPr="002E5EAC">
              <w:rPr>
                <w:rFonts w:ascii="Century" w:hAnsi="Century"/>
                <w:sz w:val="22"/>
                <w:szCs w:val="22"/>
              </w:rPr>
              <w:t>8</w:t>
            </w:r>
            <w:r w:rsidR="005D4853" w:rsidRPr="002E5EAC">
              <w:rPr>
                <w:rFonts w:ascii="Century" w:hAnsi="Century"/>
                <w:sz w:val="22"/>
                <w:szCs w:val="22"/>
              </w:rPr>
              <w:t xml:space="preserve"> yılı sonu </w:t>
            </w:r>
            <w:r w:rsidR="00354E2E" w:rsidRPr="002E5EAC">
              <w:rPr>
                <w:rFonts w:ascii="Century" w:hAnsi="Century"/>
                <w:sz w:val="22"/>
                <w:szCs w:val="22"/>
              </w:rPr>
              <w:t xml:space="preserve">itibarıyla </w:t>
            </w:r>
            <w:r w:rsidR="002E5EAC" w:rsidRPr="002E5EAC">
              <w:rPr>
                <w:rFonts w:ascii="Century" w:hAnsi="Century"/>
                <w:sz w:val="22"/>
                <w:szCs w:val="22"/>
              </w:rPr>
              <w:t>32</w:t>
            </w:r>
            <w:r w:rsidR="006B5718" w:rsidRPr="002E5EAC">
              <w:rPr>
                <w:rFonts w:ascii="Century" w:hAnsi="Century"/>
                <w:sz w:val="22"/>
                <w:szCs w:val="22"/>
              </w:rPr>
              <w:t>.</w:t>
            </w:r>
            <w:r w:rsidR="008D610F" w:rsidRPr="002E5EAC">
              <w:rPr>
                <w:rFonts w:ascii="Century" w:hAnsi="Century"/>
                <w:sz w:val="22"/>
                <w:szCs w:val="22"/>
              </w:rPr>
              <w:t>3</w:t>
            </w:r>
            <w:r w:rsidR="002E5EAC" w:rsidRPr="002E5EAC">
              <w:rPr>
                <w:rFonts w:ascii="Century" w:hAnsi="Century"/>
                <w:sz w:val="22"/>
                <w:szCs w:val="22"/>
              </w:rPr>
              <w:t>95</w:t>
            </w:r>
            <w:r w:rsidR="006B5718" w:rsidRPr="002E5EAC">
              <w:rPr>
                <w:rFonts w:ascii="Century" w:hAnsi="Century"/>
                <w:sz w:val="22"/>
                <w:szCs w:val="22"/>
              </w:rPr>
              <w:t>.</w:t>
            </w:r>
            <w:r w:rsidR="002E5EAC" w:rsidRPr="002E5EAC">
              <w:rPr>
                <w:rFonts w:ascii="Century" w:hAnsi="Century"/>
                <w:sz w:val="22"/>
                <w:szCs w:val="22"/>
              </w:rPr>
              <w:t>433</w:t>
            </w:r>
            <w:r w:rsidR="005D4853" w:rsidRPr="002E5EAC">
              <w:rPr>
                <w:rFonts w:ascii="Century" w:hAnsi="Century"/>
                <w:sz w:val="22"/>
                <w:szCs w:val="22"/>
              </w:rPr>
              <w:t xml:space="preserve"> adet poliçe ve sertifikanın yürürlükte olduğu görülmektedir. </w:t>
            </w:r>
          </w:p>
          <w:p w:rsidR="003B7166" w:rsidRPr="00B10D90" w:rsidRDefault="003B7166" w:rsidP="005D4853">
            <w:pPr>
              <w:jc w:val="both"/>
              <w:rPr>
                <w:rFonts w:ascii="Century" w:hAnsi="Century"/>
                <w:sz w:val="22"/>
                <w:szCs w:val="22"/>
                <w:highlight w:val="yellow"/>
              </w:rPr>
            </w:pPr>
          </w:p>
          <w:p w:rsidR="005D4853" w:rsidRPr="00B10D90" w:rsidRDefault="003B7166" w:rsidP="008D2BAF">
            <w:pPr>
              <w:jc w:val="both"/>
              <w:rPr>
                <w:rFonts w:ascii="Century" w:hAnsi="Century"/>
                <w:sz w:val="22"/>
                <w:szCs w:val="22"/>
                <w:highlight w:val="yellow"/>
              </w:rPr>
            </w:pPr>
            <w:r w:rsidRPr="002E5EAC">
              <w:rPr>
                <w:rFonts w:ascii="Century" w:hAnsi="Century"/>
                <w:sz w:val="22"/>
                <w:szCs w:val="22"/>
              </w:rPr>
              <w:t>B</w:t>
            </w:r>
            <w:r w:rsidR="005D4853" w:rsidRPr="002E5EAC">
              <w:rPr>
                <w:rFonts w:ascii="Century" w:hAnsi="Century"/>
                <w:sz w:val="22"/>
                <w:szCs w:val="22"/>
              </w:rPr>
              <w:t xml:space="preserve">ireysel emeklilik sisteminde </w:t>
            </w:r>
            <w:r w:rsidRPr="002E5EAC">
              <w:rPr>
                <w:rFonts w:ascii="Century" w:hAnsi="Century"/>
                <w:sz w:val="22"/>
                <w:szCs w:val="22"/>
              </w:rPr>
              <w:t xml:space="preserve">ise </w:t>
            </w:r>
            <w:r w:rsidR="005D4853" w:rsidRPr="002E5EAC">
              <w:rPr>
                <w:rFonts w:ascii="Century" w:hAnsi="Century"/>
                <w:sz w:val="22"/>
                <w:szCs w:val="22"/>
              </w:rPr>
              <w:t xml:space="preserve">yıl sonu </w:t>
            </w:r>
            <w:r w:rsidR="00354E2E" w:rsidRPr="002E5EAC">
              <w:rPr>
                <w:rFonts w:ascii="Century" w:hAnsi="Century"/>
                <w:sz w:val="22"/>
                <w:szCs w:val="22"/>
              </w:rPr>
              <w:t xml:space="preserve">itibarıyla </w:t>
            </w:r>
            <w:r w:rsidR="00401091" w:rsidRPr="002E5EAC">
              <w:rPr>
                <w:rFonts w:ascii="Century" w:hAnsi="Century"/>
                <w:sz w:val="22"/>
                <w:szCs w:val="22"/>
              </w:rPr>
              <w:t>6.</w:t>
            </w:r>
            <w:r w:rsidR="002E5EAC" w:rsidRPr="002E5EAC">
              <w:rPr>
                <w:rFonts w:ascii="Century" w:hAnsi="Century"/>
                <w:sz w:val="22"/>
                <w:szCs w:val="22"/>
              </w:rPr>
              <w:t>877</w:t>
            </w:r>
            <w:r w:rsidR="00401091" w:rsidRPr="002E5EAC">
              <w:rPr>
                <w:rFonts w:ascii="Century" w:hAnsi="Century"/>
                <w:sz w:val="22"/>
                <w:szCs w:val="22"/>
              </w:rPr>
              <w:t>.</w:t>
            </w:r>
            <w:r w:rsidR="002E5EAC" w:rsidRPr="002E5EAC">
              <w:rPr>
                <w:rFonts w:ascii="Century" w:hAnsi="Century"/>
                <w:sz w:val="22"/>
                <w:szCs w:val="22"/>
              </w:rPr>
              <w:t>737</w:t>
            </w:r>
            <w:r w:rsidR="00401091" w:rsidRPr="002E5EAC">
              <w:rPr>
                <w:rFonts w:ascii="Century" w:hAnsi="Century"/>
                <w:sz w:val="22"/>
                <w:szCs w:val="22"/>
              </w:rPr>
              <w:t xml:space="preserve"> </w:t>
            </w:r>
            <w:r w:rsidR="005D4853" w:rsidRPr="002E5EAC">
              <w:rPr>
                <w:rFonts w:ascii="Century" w:hAnsi="Century"/>
                <w:sz w:val="22"/>
                <w:szCs w:val="22"/>
              </w:rPr>
              <w:t xml:space="preserve">katılımcı ve bu katılımcılara ait </w:t>
            </w:r>
            <w:r w:rsidR="00CE70E1" w:rsidRPr="002E5EAC">
              <w:rPr>
                <w:rFonts w:ascii="Century" w:hAnsi="Century"/>
                <w:sz w:val="22"/>
                <w:szCs w:val="22"/>
              </w:rPr>
              <w:t>8</w:t>
            </w:r>
            <w:r w:rsidR="00662D2B" w:rsidRPr="002E5EAC">
              <w:rPr>
                <w:rFonts w:ascii="Century" w:hAnsi="Century"/>
                <w:sz w:val="22"/>
                <w:szCs w:val="22"/>
              </w:rPr>
              <w:t>.</w:t>
            </w:r>
            <w:r w:rsidR="002E5EAC" w:rsidRPr="002E5EAC">
              <w:rPr>
                <w:rFonts w:ascii="Century" w:hAnsi="Century"/>
                <w:sz w:val="22"/>
                <w:szCs w:val="22"/>
              </w:rPr>
              <w:t>156</w:t>
            </w:r>
            <w:r w:rsidR="00662D2B" w:rsidRPr="002E5EAC">
              <w:rPr>
                <w:rFonts w:ascii="Century" w:hAnsi="Century"/>
                <w:sz w:val="22"/>
                <w:szCs w:val="22"/>
              </w:rPr>
              <w:t>.</w:t>
            </w:r>
            <w:r w:rsidR="002E5EAC" w:rsidRPr="002E5EAC">
              <w:rPr>
                <w:rFonts w:ascii="Century" w:hAnsi="Century"/>
                <w:sz w:val="22"/>
                <w:szCs w:val="22"/>
              </w:rPr>
              <w:t>3</w:t>
            </w:r>
            <w:r w:rsidR="00CE70E1" w:rsidRPr="002E5EAC">
              <w:rPr>
                <w:rFonts w:ascii="Century" w:hAnsi="Century"/>
                <w:sz w:val="22"/>
                <w:szCs w:val="22"/>
              </w:rPr>
              <w:t>5</w:t>
            </w:r>
            <w:r w:rsidR="002E5EAC" w:rsidRPr="002E5EAC">
              <w:rPr>
                <w:rFonts w:ascii="Century" w:hAnsi="Century"/>
                <w:sz w:val="22"/>
                <w:szCs w:val="22"/>
              </w:rPr>
              <w:t>7</w:t>
            </w:r>
            <w:r w:rsidR="00662D2B" w:rsidRPr="002E5EAC">
              <w:rPr>
                <w:rFonts w:ascii="Century" w:hAnsi="Century"/>
                <w:sz w:val="22"/>
                <w:szCs w:val="22"/>
              </w:rPr>
              <w:t xml:space="preserve"> </w:t>
            </w:r>
            <w:r w:rsidRPr="002E5EAC">
              <w:rPr>
                <w:rFonts w:ascii="Century" w:hAnsi="Century"/>
                <w:sz w:val="22"/>
                <w:szCs w:val="22"/>
              </w:rPr>
              <w:t xml:space="preserve">adet sözleşme bulunmaktadır. </w:t>
            </w:r>
          </w:p>
          <w:p w:rsidR="008D2BAF" w:rsidRPr="00B10D90" w:rsidRDefault="008D2BAF" w:rsidP="00693745">
            <w:pPr>
              <w:jc w:val="both"/>
              <w:rPr>
                <w:rFonts w:ascii="Century" w:hAnsi="Century"/>
                <w:sz w:val="22"/>
                <w:szCs w:val="22"/>
                <w:highlight w:val="yellow"/>
              </w:rPr>
            </w:pPr>
          </w:p>
          <w:p w:rsidR="00ED6758" w:rsidRPr="00A54C0B" w:rsidRDefault="008D2BAF" w:rsidP="00693745">
            <w:pPr>
              <w:jc w:val="both"/>
              <w:rPr>
                <w:rFonts w:ascii="Century" w:hAnsi="Century"/>
                <w:sz w:val="22"/>
                <w:szCs w:val="22"/>
              </w:rPr>
            </w:pPr>
            <w:r w:rsidRPr="00A54C0B">
              <w:rPr>
                <w:rFonts w:ascii="Century" w:hAnsi="Century"/>
                <w:sz w:val="22"/>
                <w:szCs w:val="22"/>
              </w:rPr>
              <w:t xml:space="preserve">Son beş yıl </w:t>
            </w:r>
            <w:r w:rsidR="00354E2E" w:rsidRPr="00A54C0B">
              <w:rPr>
                <w:rFonts w:ascii="Century" w:hAnsi="Century"/>
                <w:sz w:val="22"/>
                <w:szCs w:val="22"/>
              </w:rPr>
              <w:t xml:space="preserve">itibarıyla </w:t>
            </w:r>
            <w:r w:rsidRPr="00A54C0B">
              <w:rPr>
                <w:rFonts w:ascii="Century" w:hAnsi="Century"/>
                <w:sz w:val="22"/>
                <w:szCs w:val="22"/>
              </w:rPr>
              <w:t>t</w:t>
            </w:r>
            <w:r w:rsidR="005D4853" w:rsidRPr="00A54C0B">
              <w:rPr>
                <w:rFonts w:ascii="Century" w:hAnsi="Century"/>
                <w:sz w:val="22"/>
                <w:szCs w:val="22"/>
              </w:rPr>
              <w:t>anzim edilen poliçe ve sözleşme sayıları ile katılımcı sayı</w:t>
            </w:r>
            <w:r w:rsidRPr="00A54C0B">
              <w:rPr>
                <w:rFonts w:ascii="Century" w:hAnsi="Century"/>
                <w:sz w:val="22"/>
                <w:szCs w:val="22"/>
              </w:rPr>
              <w:t>larına</w:t>
            </w:r>
            <w:r w:rsidR="00A60816" w:rsidRPr="00A54C0B">
              <w:rPr>
                <w:rFonts w:ascii="Century" w:hAnsi="Century"/>
                <w:sz w:val="22"/>
                <w:szCs w:val="22"/>
              </w:rPr>
              <w:t xml:space="preserve"> </w:t>
            </w:r>
            <w:r w:rsidR="005D4853" w:rsidRPr="00A54C0B">
              <w:rPr>
                <w:rFonts w:ascii="Century" w:hAnsi="Century"/>
                <w:sz w:val="22"/>
                <w:szCs w:val="22"/>
              </w:rPr>
              <w:t>ilişkin bilgilere aşağıdaki tabloda yer verilmiştir.</w:t>
            </w:r>
          </w:p>
          <w:p w:rsidR="005D4853" w:rsidRPr="00B10D90" w:rsidRDefault="005D4853" w:rsidP="005D4853">
            <w:pPr>
              <w:rPr>
                <w:highlight w:val="yellow"/>
              </w:rPr>
            </w:pPr>
          </w:p>
        </w:tc>
        <w:tc>
          <w:tcPr>
            <w:tcW w:w="236" w:type="dxa"/>
            <w:gridSpan w:val="4"/>
          </w:tcPr>
          <w:p w:rsidR="00ED6758" w:rsidRPr="00B10D90" w:rsidRDefault="00ED6758" w:rsidP="00EF2418">
            <w:pPr>
              <w:jc w:val="both"/>
              <w:rPr>
                <w:rFonts w:ascii="Century" w:hAnsi="Century"/>
                <w:sz w:val="22"/>
                <w:szCs w:val="22"/>
                <w:highlight w:val="yellow"/>
              </w:rPr>
            </w:pPr>
          </w:p>
        </w:tc>
        <w:tc>
          <w:tcPr>
            <w:tcW w:w="4667" w:type="dxa"/>
            <w:gridSpan w:val="4"/>
          </w:tcPr>
          <w:p w:rsidR="005D4853" w:rsidRPr="002E5EAC" w:rsidRDefault="005D4853" w:rsidP="005D4853">
            <w:pPr>
              <w:jc w:val="both"/>
              <w:rPr>
                <w:rFonts w:ascii="Century" w:hAnsi="Century"/>
                <w:b/>
                <w:color w:val="003366"/>
                <w:sz w:val="22"/>
                <w:szCs w:val="22"/>
              </w:rPr>
            </w:pPr>
            <w:r w:rsidRPr="002E5EAC">
              <w:rPr>
                <w:rFonts w:ascii="Century" w:hAnsi="Century"/>
                <w:b/>
                <w:color w:val="003366"/>
                <w:sz w:val="22"/>
                <w:szCs w:val="22"/>
              </w:rPr>
              <w:t xml:space="preserve">2.2. </w:t>
            </w:r>
            <w:r w:rsidR="00130981" w:rsidRPr="002E5EAC">
              <w:rPr>
                <w:rFonts w:ascii="Century" w:hAnsi="Century"/>
                <w:b/>
                <w:color w:val="003366"/>
                <w:sz w:val="22"/>
                <w:szCs w:val="22"/>
              </w:rPr>
              <w:t>The number of</w:t>
            </w:r>
            <w:r w:rsidRPr="002E5EAC">
              <w:rPr>
                <w:rFonts w:ascii="Century" w:hAnsi="Century"/>
                <w:b/>
                <w:color w:val="003366"/>
                <w:sz w:val="22"/>
                <w:szCs w:val="22"/>
              </w:rPr>
              <w:t xml:space="preserve"> Policies and Contracts</w:t>
            </w:r>
          </w:p>
          <w:p w:rsidR="005D4853" w:rsidRPr="002E5EAC" w:rsidRDefault="005D4853" w:rsidP="005D4853">
            <w:pPr>
              <w:jc w:val="both"/>
              <w:rPr>
                <w:rFonts w:ascii="Century" w:hAnsi="Century"/>
                <w:b/>
                <w:color w:val="003366"/>
                <w:sz w:val="22"/>
                <w:szCs w:val="22"/>
              </w:rPr>
            </w:pPr>
          </w:p>
          <w:p w:rsidR="00B637B6" w:rsidRPr="002E5EAC" w:rsidRDefault="00B637B6" w:rsidP="00B637B6">
            <w:pPr>
              <w:jc w:val="both"/>
              <w:rPr>
                <w:rFonts w:ascii="Century" w:hAnsi="Century"/>
                <w:color w:val="333333"/>
                <w:sz w:val="22"/>
                <w:szCs w:val="22"/>
              </w:rPr>
            </w:pPr>
            <w:r w:rsidRPr="002E5EAC">
              <w:rPr>
                <w:rFonts w:ascii="Century" w:hAnsi="Century"/>
                <w:color w:val="333333"/>
                <w:sz w:val="22"/>
                <w:szCs w:val="22"/>
              </w:rPr>
              <w:t xml:space="preserve">Insurance and pension companies have issued </w:t>
            </w:r>
            <w:r w:rsidR="008D610F" w:rsidRPr="002E5EAC">
              <w:rPr>
                <w:rFonts w:ascii="Century" w:hAnsi="Century"/>
                <w:color w:val="333333"/>
                <w:sz w:val="22"/>
                <w:szCs w:val="22"/>
              </w:rPr>
              <w:t>6</w:t>
            </w:r>
            <w:r w:rsidR="002E5EAC" w:rsidRPr="002E5EAC">
              <w:rPr>
                <w:rFonts w:ascii="Century" w:hAnsi="Century"/>
                <w:color w:val="333333"/>
                <w:sz w:val="22"/>
                <w:szCs w:val="22"/>
              </w:rPr>
              <w:t>5</w:t>
            </w:r>
            <w:r w:rsidR="00486895" w:rsidRPr="002E5EAC">
              <w:rPr>
                <w:rFonts w:ascii="Century" w:hAnsi="Century"/>
                <w:color w:val="333333"/>
                <w:sz w:val="22"/>
                <w:szCs w:val="22"/>
              </w:rPr>
              <w:t>,</w:t>
            </w:r>
            <w:r w:rsidR="00CC2BD5">
              <w:rPr>
                <w:rFonts w:ascii="Century" w:hAnsi="Century"/>
                <w:color w:val="333333"/>
                <w:sz w:val="22"/>
                <w:szCs w:val="22"/>
              </w:rPr>
              <w:t>163</w:t>
            </w:r>
            <w:r w:rsidR="00486895" w:rsidRPr="002E5EAC">
              <w:rPr>
                <w:rFonts w:ascii="Century" w:hAnsi="Century"/>
                <w:color w:val="333333"/>
                <w:sz w:val="22"/>
                <w:szCs w:val="22"/>
              </w:rPr>
              <w:t>,</w:t>
            </w:r>
            <w:r w:rsidR="00CC2BD5">
              <w:rPr>
                <w:rFonts w:ascii="Century" w:hAnsi="Century"/>
                <w:color w:val="333333"/>
                <w:sz w:val="22"/>
                <w:szCs w:val="22"/>
              </w:rPr>
              <w:t>369</w:t>
            </w:r>
            <w:r w:rsidRPr="002E5EAC">
              <w:rPr>
                <w:rFonts w:ascii="Century" w:hAnsi="Century"/>
                <w:color w:val="333333"/>
                <w:sz w:val="22"/>
                <w:szCs w:val="22"/>
              </w:rPr>
              <w:t xml:space="preserve"> policies in non-life and </w:t>
            </w:r>
            <w:r w:rsidR="008D610F" w:rsidRPr="00CC2BD5">
              <w:rPr>
                <w:rFonts w:ascii="Century" w:hAnsi="Century"/>
                <w:color w:val="333333"/>
                <w:sz w:val="22"/>
                <w:szCs w:val="22"/>
              </w:rPr>
              <w:t>20</w:t>
            </w:r>
            <w:r w:rsidR="00486895" w:rsidRPr="00CC2BD5">
              <w:rPr>
                <w:rFonts w:ascii="Century" w:hAnsi="Century"/>
                <w:color w:val="333333"/>
                <w:sz w:val="22"/>
                <w:szCs w:val="22"/>
              </w:rPr>
              <w:t>,</w:t>
            </w:r>
            <w:r w:rsidR="002E5EAC" w:rsidRPr="00CC2BD5">
              <w:rPr>
                <w:rFonts w:ascii="Century" w:hAnsi="Century"/>
                <w:color w:val="333333"/>
                <w:sz w:val="22"/>
                <w:szCs w:val="22"/>
              </w:rPr>
              <w:t>709</w:t>
            </w:r>
            <w:r w:rsidR="00486895" w:rsidRPr="00CC2BD5">
              <w:rPr>
                <w:rFonts w:ascii="Century" w:hAnsi="Century"/>
                <w:color w:val="333333"/>
                <w:sz w:val="22"/>
                <w:szCs w:val="22"/>
              </w:rPr>
              <w:t>,</w:t>
            </w:r>
            <w:r w:rsidR="002E5EAC" w:rsidRPr="00CC2BD5">
              <w:rPr>
                <w:rFonts w:ascii="Century" w:hAnsi="Century"/>
                <w:color w:val="333333"/>
                <w:sz w:val="22"/>
                <w:szCs w:val="22"/>
              </w:rPr>
              <w:t>916</w:t>
            </w:r>
            <w:r w:rsidR="006B5718" w:rsidRPr="00CC2BD5">
              <w:rPr>
                <w:rFonts w:ascii="Century" w:hAnsi="Century"/>
                <w:color w:val="333333"/>
                <w:sz w:val="22"/>
                <w:szCs w:val="22"/>
              </w:rPr>
              <w:t xml:space="preserve"> </w:t>
            </w:r>
            <w:r w:rsidRPr="002E5EAC">
              <w:rPr>
                <w:rFonts w:ascii="Century" w:hAnsi="Century"/>
                <w:color w:val="333333"/>
                <w:sz w:val="22"/>
                <w:szCs w:val="22"/>
              </w:rPr>
              <w:t xml:space="preserve">policies in life insurance that totally </w:t>
            </w:r>
            <w:r w:rsidR="00E53C39" w:rsidRPr="002E5EAC">
              <w:rPr>
                <w:rFonts w:ascii="Century" w:hAnsi="Century"/>
                <w:color w:val="333333"/>
                <w:sz w:val="22"/>
                <w:szCs w:val="22"/>
              </w:rPr>
              <w:t xml:space="preserve">makes </w:t>
            </w:r>
            <w:r w:rsidR="00CC2BD5" w:rsidRPr="00CC2BD5">
              <w:rPr>
                <w:rFonts w:ascii="Century" w:hAnsi="Century"/>
                <w:color w:val="333333"/>
                <w:sz w:val="22"/>
                <w:szCs w:val="22"/>
              </w:rPr>
              <w:t>85</w:t>
            </w:r>
            <w:r w:rsidR="00CC2BD5">
              <w:rPr>
                <w:rFonts w:ascii="Century" w:hAnsi="Century"/>
                <w:color w:val="333333"/>
                <w:sz w:val="22"/>
                <w:szCs w:val="22"/>
              </w:rPr>
              <w:t>,</w:t>
            </w:r>
            <w:r w:rsidR="00CC2BD5" w:rsidRPr="00CC2BD5">
              <w:rPr>
                <w:rFonts w:ascii="Century" w:hAnsi="Century"/>
                <w:color w:val="333333"/>
                <w:sz w:val="22"/>
                <w:szCs w:val="22"/>
              </w:rPr>
              <w:t>873</w:t>
            </w:r>
            <w:r w:rsidR="00CC2BD5">
              <w:rPr>
                <w:rFonts w:ascii="Century" w:hAnsi="Century"/>
                <w:color w:val="333333"/>
                <w:sz w:val="22"/>
                <w:szCs w:val="22"/>
              </w:rPr>
              <w:t>,</w:t>
            </w:r>
            <w:r w:rsidR="00CC2BD5" w:rsidRPr="00CC2BD5">
              <w:rPr>
                <w:rFonts w:ascii="Century" w:hAnsi="Century"/>
                <w:color w:val="333333"/>
                <w:sz w:val="22"/>
                <w:szCs w:val="22"/>
              </w:rPr>
              <w:t>285</w:t>
            </w:r>
            <w:r w:rsidR="00CC2BD5">
              <w:rPr>
                <w:rFonts w:ascii="Century" w:hAnsi="Century"/>
                <w:color w:val="333333"/>
                <w:sz w:val="22"/>
                <w:szCs w:val="22"/>
              </w:rPr>
              <w:t xml:space="preserve"> </w:t>
            </w:r>
            <w:r w:rsidRPr="002E5EAC">
              <w:rPr>
                <w:rFonts w:ascii="Century" w:hAnsi="Century"/>
                <w:color w:val="333333"/>
                <w:sz w:val="22"/>
                <w:szCs w:val="22"/>
              </w:rPr>
              <w:t>in 201</w:t>
            </w:r>
            <w:r w:rsidR="002E5EAC" w:rsidRPr="002E5EAC">
              <w:rPr>
                <w:rFonts w:ascii="Century" w:hAnsi="Century"/>
                <w:color w:val="333333"/>
                <w:sz w:val="22"/>
                <w:szCs w:val="22"/>
              </w:rPr>
              <w:t>8</w:t>
            </w:r>
            <w:r w:rsidRPr="002E5EAC">
              <w:rPr>
                <w:rFonts w:ascii="Century" w:hAnsi="Century"/>
                <w:color w:val="333333"/>
                <w:sz w:val="22"/>
                <w:szCs w:val="22"/>
              </w:rPr>
              <w:t xml:space="preserve">. The number of policies has </w:t>
            </w:r>
            <w:r w:rsidR="006B5718" w:rsidRPr="002E5EAC">
              <w:rPr>
                <w:rFonts w:ascii="Century" w:hAnsi="Century"/>
                <w:color w:val="333333"/>
                <w:sz w:val="22"/>
                <w:szCs w:val="22"/>
              </w:rPr>
              <w:t>increased</w:t>
            </w:r>
            <w:r w:rsidRPr="002E5EAC">
              <w:rPr>
                <w:rFonts w:ascii="Century" w:hAnsi="Century"/>
                <w:color w:val="333333"/>
                <w:sz w:val="22"/>
                <w:szCs w:val="22"/>
              </w:rPr>
              <w:t xml:space="preserve"> by </w:t>
            </w:r>
            <w:r w:rsidR="00CC2BD5">
              <w:rPr>
                <w:rFonts w:ascii="Century" w:hAnsi="Century"/>
                <w:color w:val="333333"/>
                <w:sz w:val="22"/>
                <w:szCs w:val="22"/>
              </w:rPr>
              <w:t>3</w:t>
            </w:r>
            <w:r w:rsidRPr="002E5EAC">
              <w:rPr>
                <w:rFonts w:ascii="Century" w:hAnsi="Century"/>
                <w:color w:val="333333"/>
                <w:sz w:val="22"/>
                <w:szCs w:val="22"/>
              </w:rPr>
              <w:t>.</w:t>
            </w:r>
            <w:r w:rsidR="00CC2BD5">
              <w:rPr>
                <w:rFonts w:ascii="Century" w:hAnsi="Century"/>
                <w:color w:val="333333"/>
                <w:sz w:val="22"/>
                <w:szCs w:val="22"/>
              </w:rPr>
              <w:t>8</w:t>
            </w:r>
            <w:r w:rsidR="00B57179" w:rsidRPr="002E5EAC">
              <w:rPr>
                <w:rFonts w:ascii="Century" w:hAnsi="Century"/>
                <w:color w:val="333333"/>
                <w:sz w:val="22"/>
                <w:szCs w:val="22"/>
              </w:rPr>
              <w:t>%</w:t>
            </w:r>
            <w:r w:rsidRPr="002E5EAC">
              <w:rPr>
                <w:rFonts w:ascii="Century" w:hAnsi="Century"/>
                <w:color w:val="333333"/>
                <w:sz w:val="22"/>
                <w:szCs w:val="22"/>
              </w:rPr>
              <w:t xml:space="preserve"> compared </w:t>
            </w:r>
            <w:r w:rsidR="00E53C39" w:rsidRPr="002E5EAC">
              <w:rPr>
                <w:rFonts w:ascii="Century" w:hAnsi="Century"/>
                <w:color w:val="333333"/>
                <w:sz w:val="22"/>
                <w:szCs w:val="22"/>
              </w:rPr>
              <w:t xml:space="preserve">to </w:t>
            </w:r>
            <w:r w:rsidRPr="002E5EAC">
              <w:rPr>
                <w:rFonts w:ascii="Century" w:hAnsi="Century"/>
                <w:color w:val="333333"/>
                <w:sz w:val="22"/>
                <w:szCs w:val="22"/>
              </w:rPr>
              <w:t xml:space="preserve">the previous year. </w:t>
            </w:r>
          </w:p>
          <w:p w:rsidR="00B637B6" w:rsidRDefault="00B637B6" w:rsidP="005D4853">
            <w:pPr>
              <w:jc w:val="both"/>
              <w:rPr>
                <w:rFonts w:ascii="Century" w:hAnsi="Century"/>
                <w:color w:val="333333"/>
                <w:sz w:val="22"/>
                <w:szCs w:val="22"/>
                <w:highlight w:val="yellow"/>
              </w:rPr>
            </w:pPr>
          </w:p>
          <w:p w:rsidR="005B31A7" w:rsidRPr="00B10D90" w:rsidRDefault="005B31A7" w:rsidP="005D4853">
            <w:pPr>
              <w:jc w:val="both"/>
              <w:rPr>
                <w:rFonts w:ascii="Century" w:hAnsi="Century"/>
                <w:color w:val="333333"/>
                <w:sz w:val="22"/>
                <w:szCs w:val="22"/>
                <w:highlight w:val="yellow"/>
              </w:rPr>
            </w:pPr>
          </w:p>
          <w:p w:rsidR="003B7166" w:rsidRPr="002E5EAC" w:rsidRDefault="0018251F" w:rsidP="005D4853">
            <w:pPr>
              <w:jc w:val="both"/>
              <w:rPr>
                <w:rFonts w:ascii="Century" w:hAnsi="Century"/>
                <w:color w:val="333333"/>
                <w:sz w:val="22"/>
                <w:szCs w:val="22"/>
              </w:rPr>
            </w:pPr>
            <w:r w:rsidRPr="002E5EAC">
              <w:rPr>
                <w:rFonts w:ascii="Century" w:hAnsi="Century"/>
                <w:color w:val="333333"/>
                <w:sz w:val="22"/>
              </w:rPr>
              <w:t>Considering the policies terminated because of dea</w:t>
            </w:r>
            <w:r w:rsidRPr="002E5EAC">
              <w:rPr>
                <w:rFonts w:ascii="Century" w:hAnsi="Century"/>
                <w:color w:val="333333"/>
                <w:sz w:val="22"/>
                <w:szCs w:val="22"/>
              </w:rPr>
              <w:t>th, maturity and purchasing in long term policies, t</w:t>
            </w:r>
            <w:r w:rsidR="005D4853" w:rsidRPr="002E5EAC">
              <w:rPr>
                <w:rFonts w:ascii="Century" w:hAnsi="Century"/>
                <w:color w:val="333333"/>
                <w:sz w:val="22"/>
              </w:rPr>
              <w:t xml:space="preserve">he number of the policies </w:t>
            </w:r>
            <w:r w:rsidR="006E475F" w:rsidRPr="002E5EAC">
              <w:rPr>
                <w:rFonts w:ascii="Century" w:hAnsi="Century"/>
                <w:color w:val="333333"/>
                <w:sz w:val="22"/>
              </w:rPr>
              <w:t xml:space="preserve">in force </w:t>
            </w:r>
            <w:r w:rsidRPr="002E5EAC">
              <w:rPr>
                <w:rFonts w:ascii="Century" w:hAnsi="Century"/>
                <w:color w:val="333333"/>
                <w:sz w:val="22"/>
              </w:rPr>
              <w:t>has been realized</w:t>
            </w:r>
            <w:r w:rsidR="00E53C39" w:rsidRPr="002E5EAC">
              <w:rPr>
                <w:rFonts w:ascii="Century" w:hAnsi="Century"/>
                <w:color w:val="333333"/>
                <w:sz w:val="22"/>
              </w:rPr>
              <w:t xml:space="preserve"> as</w:t>
            </w:r>
            <w:r w:rsidRPr="002E5EAC">
              <w:rPr>
                <w:rFonts w:ascii="Century" w:hAnsi="Century"/>
                <w:color w:val="333333"/>
                <w:sz w:val="22"/>
              </w:rPr>
              <w:t xml:space="preserve"> </w:t>
            </w:r>
            <w:r w:rsidR="008D610F" w:rsidRPr="002E5EAC">
              <w:rPr>
                <w:rFonts w:ascii="Century" w:hAnsi="Century"/>
                <w:color w:val="333333"/>
                <w:sz w:val="22"/>
              </w:rPr>
              <w:t>3</w:t>
            </w:r>
            <w:r w:rsidR="002E5EAC" w:rsidRPr="002E5EAC">
              <w:rPr>
                <w:rFonts w:ascii="Century" w:hAnsi="Century"/>
                <w:color w:val="333333"/>
                <w:sz w:val="22"/>
              </w:rPr>
              <w:t>2</w:t>
            </w:r>
            <w:r w:rsidR="00486895" w:rsidRPr="002E5EAC">
              <w:rPr>
                <w:rFonts w:ascii="Century" w:hAnsi="Century"/>
                <w:color w:val="333333"/>
                <w:sz w:val="22"/>
              </w:rPr>
              <w:t>,</w:t>
            </w:r>
            <w:r w:rsidR="008D610F" w:rsidRPr="002E5EAC">
              <w:rPr>
                <w:rFonts w:ascii="Century" w:hAnsi="Century"/>
                <w:color w:val="333333"/>
                <w:sz w:val="22"/>
              </w:rPr>
              <w:t>3</w:t>
            </w:r>
            <w:r w:rsidR="002E5EAC" w:rsidRPr="002E5EAC">
              <w:rPr>
                <w:rFonts w:ascii="Century" w:hAnsi="Century"/>
                <w:color w:val="333333"/>
                <w:sz w:val="22"/>
              </w:rPr>
              <w:t>95</w:t>
            </w:r>
            <w:r w:rsidR="00486895" w:rsidRPr="002E5EAC">
              <w:rPr>
                <w:rFonts w:ascii="Century" w:hAnsi="Century"/>
                <w:color w:val="333333"/>
                <w:sz w:val="22"/>
              </w:rPr>
              <w:t>,</w:t>
            </w:r>
            <w:r w:rsidR="002E5EAC" w:rsidRPr="002E5EAC">
              <w:rPr>
                <w:rFonts w:ascii="Century" w:hAnsi="Century"/>
                <w:color w:val="333333"/>
                <w:sz w:val="22"/>
              </w:rPr>
              <w:t>433</w:t>
            </w:r>
            <w:r w:rsidR="006B5718" w:rsidRPr="002E5EAC">
              <w:rPr>
                <w:rFonts w:ascii="Century" w:hAnsi="Century"/>
                <w:color w:val="333333"/>
                <w:sz w:val="22"/>
              </w:rPr>
              <w:t xml:space="preserve"> </w:t>
            </w:r>
            <w:r w:rsidR="005D4853" w:rsidRPr="002E5EAC">
              <w:rPr>
                <w:rFonts w:ascii="Century" w:hAnsi="Century"/>
                <w:color w:val="333333"/>
                <w:sz w:val="22"/>
              </w:rPr>
              <w:t xml:space="preserve">in life </w:t>
            </w:r>
            <w:r w:rsidRPr="002E5EAC">
              <w:rPr>
                <w:rFonts w:ascii="Century" w:hAnsi="Century"/>
                <w:color w:val="333333"/>
                <w:sz w:val="22"/>
              </w:rPr>
              <w:t>insurance</w:t>
            </w:r>
            <w:r w:rsidR="009B2BF4" w:rsidRPr="002E5EAC">
              <w:rPr>
                <w:rFonts w:ascii="Century" w:hAnsi="Century"/>
                <w:color w:val="333333"/>
                <w:sz w:val="22"/>
              </w:rPr>
              <w:t xml:space="preserve"> </w:t>
            </w:r>
            <w:r w:rsidR="00E53C39" w:rsidRPr="002E5EAC">
              <w:rPr>
                <w:rFonts w:ascii="Century" w:hAnsi="Century"/>
                <w:color w:val="333333"/>
                <w:sz w:val="22"/>
              </w:rPr>
              <w:t>by the end of</w:t>
            </w:r>
            <w:r w:rsidR="009B2BF4" w:rsidRPr="002E5EAC">
              <w:rPr>
                <w:rFonts w:ascii="Century" w:hAnsi="Century"/>
                <w:color w:val="333333"/>
                <w:sz w:val="22"/>
              </w:rPr>
              <w:t xml:space="preserve"> 201</w:t>
            </w:r>
            <w:r w:rsidR="002E5EAC" w:rsidRPr="002E5EAC">
              <w:rPr>
                <w:rFonts w:ascii="Century" w:hAnsi="Century"/>
                <w:color w:val="333333"/>
                <w:sz w:val="22"/>
              </w:rPr>
              <w:t>8</w:t>
            </w:r>
            <w:r w:rsidRPr="002E5EAC">
              <w:rPr>
                <w:rFonts w:ascii="Century" w:hAnsi="Century"/>
                <w:color w:val="333333"/>
                <w:sz w:val="22"/>
              </w:rPr>
              <w:t>.</w:t>
            </w:r>
          </w:p>
          <w:p w:rsidR="003B7166" w:rsidRPr="00B10D90" w:rsidRDefault="003B7166" w:rsidP="005D4853">
            <w:pPr>
              <w:jc w:val="both"/>
              <w:rPr>
                <w:rFonts w:ascii="Century" w:hAnsi="Century"/>
                <w:color w:val="333333"/>
                <w:sz w:val="22"/>
                <w:szCs w:val="22"/>
                <w:highlight w:val="yellow"/>
              </w:rPr>
            </w:pPr>
          </w:p>
          <w:p w:rsidR="008D2BAF" w:rsidRPr="00B10D90" w:rsidRDefault="00E53C39" w:rsidP="005D4853">
            <w:pPr>
              <w:jc w:val="both"/>
              <w:rPr>
                <w:rFonts w:ascii="Century" w:hAnsi="Century"/>
                <w:color w:val="333333"/>
                <w:sz w:val="22"/>
                <w:szCs w:val="22"/>
                <w:highlight w:val="yellow"/>
              </w:rPr>
            </w:pPr>
            <w:r w:rsidRPr="00A54C0B">
              <w:rPr>
                <w:rFonts w:ascii="Century" w:hAnsi="Century"/>
                <w:color w:val="333333"/>
                <w:sz w:val="22"/>
                <w:szCs w:val="22"/>
              </w:rPr>
              <w:t>By the end of</w:t>
            </w:r>
            <w:r w:rsidR="009B2BF4" w:rsidRPr="00A54C0B">
              <w:rPr>
                <w:rFonts w:ascii="Century" w:hAnsi="Century"/>
                <w:color w:val="333333"/>
                <w:sz w:val="22"/>
                <w:szCs w:val="22"/>
              </w:rPr>
              <w:t xml:space="preserve"> 201</w:t>
            </w:r>
            <w:r w:rsidR="00A54C0B" w:rsidRPr="00A54C0B">
              <w:rPr>
                <w:rFonts w:ascii="Century" w:hAnsi="Century"/>
                <w:color w:val="333333"/>
                <w:sz w:val="22"/>
                <w:szCs w:val="22"/>
              </w:rPr>
              <w:t>8</w:t>
            </w:r>
            <w:r w:rsidR="009B2BF4" w:rsidRPr="00A54C0B">
              <w:rPr>
                <w:rFonts w:ascii="Century" w:hAnsi="Century"/>
                <w:color w:val="333333"/>
                <w:sz w:val="22"/>
                <w:szCs w:val="22"/>
              </w:rPr>
              <w:t>, there are 6</w:t>
            </w:r>
            <w:r w:rsidR="00486895" w:rsidRPr="00A54C0B">
              <w:rPr>
                <w:rFonts w:ascii="Century" w:hAnsi="Century"/>
                <w:color w:val="333333"/>
                <w:sz w:val="22"/>
                <w:szCs w:val="22"/>
              </w:rPr>
              <w:t>,</w:t>
            </w:r>
            <w:r w:rsidR="00A54C0B" w:rsidRPr="00A54C0B">
              <w:rPr>
                <w:rFonts w:ascii="Century" w:hAnsi="Century"/>
                <w:color w:val="333333"/>
                <w:sz w:val="22"/>
                <w:szCs w:val="22"/>
              </w:rPr>
              <w:t>877</w:t>
            </w:r>
            <w:r w:rsidR="00486895" w:rsidRPr="00A54C0B">
              <w:rPr>
                <w:rFonts w:ascii="Century" w:hAnsi="Century"/>
                <w:color w:val="333333"/>
                <w:sz w:val="22"/>
                <w:szCs w:val="22"/>
              </w:rPr>
              <w:t>,</w:t>
            </w:r>
            <w:r w:rsidR="00A54C0B" w:rsidRPr="00A54C0B">
              <w:rPr>
                <w:rFonts w:ascii="Century" w:hAnsi="Century"/>
                <w:color w:val="333333"/>
                <w:sz w:val="22"/>
                <w:szCs w:val="22"/>
              </w:rPr>
              <w:t>737</w:t>
            </w:r>
            <w:r w:rsidR="009B2BF4" w:rsidRPr="00A54C0B">
              <w:rPr>
                <w:rFonts w:ascii="Century" w:hAnsi="Century"/>
                <w:color w:val="333333"/>
                <w:sz w:val="22"/>
                <w:szCs w:val="22"/>
              </w:rPr>
              <w:t xml:space="preserve"> participants and </w:t>
            </w:r>
            <w:r w:rsidR="00CE70E1" w:rsidRPr="00CC2BD5">
              <w:rPr>
                <w:rFonts w:ascii="Century" w:hAnsi="Century"/>
                <w:color w:val="333333"/>
                <w:sz w:val="22"/>
                <w:szCs w:val="22"/>
              </w:rPr>
              <w:t>8</w:t>
            </w:r>
            <w:r w:rsidR="00486895" w:rsidRPr="00CC2BD5">
              <w:rPr>
                <w:rFonts w:ascii="Century" w:hAnsi="Century"/>
                <w:color w:val="333333"/>
                <w:sz w:val="22"/>
                <w:szCs w:val="22"/>
              </w:rPr>
              <w:t>,</w:t>
            </w:r>
            <w:r w:rsidR="00A54C0B" w:rsidRPr="00CC2BD5">
              <w:rPr>
                <w:rFonts w:ascii="Century" w:hAnsi="Century"/>
                <w:color w:val="333333"/>
                <w:sz w:val="22"/>
                <w:szCs w:val="22"/>
              </w:rPr>
              <w:t>156</w:t>
            </w:r>
            <w:r w:rsidR="00486895" w:rsidRPr="00CC2BD5">
              <w:rPr>
                <w:rFonts w:ascii="Century" w:hAnsi="Century"/>
                <w:color w:val="333333"/>
                <w:sz w:val="22"/>
                <w:szCs w:val="22"/>
              </w:rPr>
              <w:t>,</w:t>
            </w:r>
            <w:r w:rsidR="00A54C0B" w:rsidRPr="00CC2BD5">
              <w:rPr>
                <w:rFonts w:ascii="Century" w:hAnsi="Century"/>
                <w:color w:val="333333"/>
                <w:sz w:val="22"/>
                <w:szCs w:val="22"/>
              </w:rPr>
              <w:t xml:space="preserve">357 </w:t>
            </w:r>
            <w:r w:rsidR="009B2BF4" w:rsidRPr="00A54C0B">
              <w:rPr>
                <w:rFonts w:ascii="Century" w:hAnsi="Century"/>
                <w:color w:val="333333"/>
                <w:sz w:val="22"/>
                <w:szCs w:val="22"/>
              </w:rPr>
              <w:t xml:space="preserve">pension contracts in the private pension system. </w:t>
            </w:r>
          </w:p>
          <w:p w:rsidR="000E544C" w:rsidRDefault="000E544C" w:rsidP="005D4853">
            <w:pPr>
              <w:jc w:val="both"/>
              <w:rPr>
                <w:rFonts w:ascii="Century" w:hAnsi="Century"/>
                <w:color w:val="333333"/>
                <w:sz w:val="22"/>
                <w:szCs w:val="22"/>
                <w:highlight w:val="yellow"/>
              </w:rPr>
            </w:pPr>
          </w:p>
          <w:p w:rsidR="005B31A7" w:rsidRPr="00B10D90" w:rsidRDefault="005B31A7" w:rsidP="005D4853">
            <w:pPr>
              <w:jc w:val="both"/>
              <w:rPr>
                <w:rFonts w:ascii="Century" w:hAnsi="Century"/>
                <w:color w:val="333333"/>
                <w:sz w:val="22"/>
                <w:szCs w:val="22"/>
                <w:highlight w:val="yellow"/>
              </w:rPr>
            </w:pPr>
          </w:p>
          <w:p w:rsidR="005D4853" w:rsidRPr="00A54C0B" w:rsidRDefault="005D4853" w:rsidP="005D4853">
            <w:pPr>
              <w:jc w:val="both"/>
              <w:rPr>
                <w:rFonts w:ascii="Century" w:hAnsi="Century"/>
                <w:color w:val="333333"/>
                <w:sz w:val="22"/>
                <w:szCs w:val="22"/>
              </w:rPr>
            </w:pPr>
            <w:r w:rsidRPr="00A54C0B">
              <w:rPr>
                <w:rFonts w:ascii="Century" w:hAnsi="Century"/>
                <w:color w:val="333333"/>
                <w:sz w:val="22"/>
                <w:szCs w:val="22"/>
              </w:rPr>
              <w:t xml:space="preserve">The </w:t>
            </w:r>
            <w:r w:rsidR="00376C1D" w:rsidRPr="00A54C0B">
              <w:rPr>
                <w:rFonts w:ascii="Century" w:hAnsi="Century"/>
                <w:color w:val="333333"/>
                <w:sz w:val="22"/>
                <w:szCs w:val="22"/>
              </w:rPr>
              <w:t xml:space="preserve">following </w:t>
            </w:r>
            <w:r w:rsidRPr="00A54C0B">
              <w:rPr>
                <w:rFonts w:ascii="Century" w:hAnsi="Century"/>
                <w:color w:val="333333"/>
                <w:sz w:val="22"/>
                <w:szCs w:val="22"/>
              </w:rPr>
              <w:t xml:space="preserve">table </w:t>
            </w:r>
            <w:r w:rsidR="00E53C39" w:rsidRPr="00A54C0B">
              <w:rPr>
                <w:rFonts w:ascii="Century" w:hAnsi="Century"/>
                <w:color w:val="333333"/>
                <w:sz w:val="22"/>
                <w:szCs w:val="22"/>
              </w:rPr>
              <w:t>re</w:t>
            </w:r>
            <w:r w:rsidRPr="00A54C0B">
              <w:rPr>
                <w:rFonts w:ascii="Century" w:hAnsi="Century"/>
                <w:color w:val="333333"/>
                <w:sz w:val="22"/>
                <w:szCs w:val="22"/>
              </w:rPr>
              <w:t xml:space="preserve">presents the number of policies, contracts and participants in insurance and </w:t>
            </w:r>
            <w:r w:rsidR="0023565B" w:rsidRPr="00A54C0B">
              <w:rPr>
                <w:rFonts w:ascii="Century" w:hAnsi="Century"/>
                <w:color w:val="333333"/>
                <w:sz w:val="22"/>
                <w:szCs w:val="22"/>
              </w:rPr>
              <w:t>private</w:t>
            </w:r>
            <w:r w:rsidRPr="00A54C0B">
              <w:rPr>
                <w:rFonts w:ascii="Century" w:hAnsi="Century"/>
                <w:color w:val="333333"/>
                <w:sz w:val="22"/>
                <w:szCs w:val="22"/>
              </w:rPr>
              <w:t xml:space="preserve"> pension systems for the last five years.</w:t>
            </w:r>
          </w:p>
          <w:p w:rsidR="00ED6758" w:rsidRPr="00B10D90" w:rsidRDefault="00ED6758" w:rsidP="00C27D7C">
            <w:pPr>
              <w:jc w:val="both"/>
              <w:rPr>
                <w:rFonts w:ascii="Century" w:hAnsi="Century"/>
                <w:b/>
                <w:color w:val="003366"/>
                <w:sz w:val="22"/>
                <w:szCs w:val="22"/>
                <w:highlight w:val="yellow"/>
              </w:rPr>
            </w:pPr>
          </w:p>
        </w:tc>
      </w:tr>
      <w:tr w:rsidR="00ED6758" w:rsidRPr="00B10D90" w:rsidTr="00441D50">
        <w:trPr>
          <w:gridAfter w:val="2"/>
          <w:wAfter w:w="38" w:type="dxa"/>
          <w:trHeight w:val="360"/>
        </w:trPr>
        <w:tc>
          <w:tcPr>
            <w:tcW w:w="9820" w:type="dxa"/>
            <w:gridSpan w:val="14"/>
          </w:tcPr>
          <w:p w:rsidR="00ED6758" w:rsidRDefault="00ED6758" w:rsidP="00ED6758">
            <w:pPr>
              <w:jc w:val="center"/>
              <w:rPr>
                <w:rFonts w:ascii="Century" w:hAnsi="Century"/>
                <w:i/>
                <w:color w:val="000080"/>
                <w:sz w:val="20"/>
                <w:szCs w:val="20"/>
              </w:rPr>
            </w:pPr>
            <w:r w:rsidRPr="00A54C0B">
              <w:rPr>
                <w:rFonts w:ascii="Century" w:hAnsi="Century"/>
                <w:b/>
                <w:color w:val="000080"/>
                <w:sz w:val="20"/>
                <w:szCs w:val="20"/>
              </w:rPr>
              <w:t xml:space="preserve">Tablo </w:t>
            </w:r>
            <w:r w:rsidR="005D0DBF" w:rsidRPr="00A54C0B">
              <w:rPr>
                <w:rFonts w:ascii="Century" w:hAnsi="Century"/>
                <w:b/>
                <w:color w:val="000080"/>
                <w:sz w:val="20"/>
                <w:szCs w:val="20"/>
              </w:rPr>
              <w:t>2</w:t>
            </w:r>
            <w:r w:rsidRPr="00A54C0B">
              <w:rPr>
                <w:rFonts w:ascii="Century" w:hAnsi="Century"/>
                <w:b/>
                <w:color w:val="000080"/>
                <w:sz w:val="20"/>
                <w:szCs w:val="20"/>
              </w:rPr>
              <w:t>.2.</w:t>
            </w:r>
            <w:r w:rsidR="005D0DBF" w:rsidRPr="00A54C0B">
              <w:rPr>
                <w:rFonts w:ascii="Century" w:hAnsi="Century"/>
                <w:b/>
                <w:color w:val="000080"/>
                <w:sz w:val="20"/>
                <w:szCs w:val="20"/>
              </w:rPr>
              <w:t>1</w:t>
            </w:r>
            <w:r w:rsidRPr="00A54C0B">
              <w:rPr>
                <w:rFonts w:ascii="Century" w:hAnsi="Century"/>
                <w:b/>
                <w:color w:val="000080"/>
                <w:sz w:val="20"/>
                <w:szCs w:val="20"/>
              </w:rPr>
              <w:t xml:space="preserve">: Poliçe, Sözleşme ve Katılımcı Sayıları – </w:t>
            </w:r>
            <w:r w:rsidRPr="00A54C0B">
              <w:rPr>
                <w:rFonts w:ascii="Century" w:hAnsi="Century"/>
                <w:i/>
                <w:color w:val="000080"/>
                <w:sz w:val="20"/>
                <w:szCs w:val="20"/>
              </w:rPr>
              <w:t>No.of Policies, Contracts and Participants</w:t>
            </w:r>
          </w:p>
          <w:p w:rsidR="007C5FD3" w:rsidRDefault="007C5FD3" w:rsidP="00ED6758">
            <w:pPr>
              <w:jc w:val="center"/>
              <w:rPr>
                <w:rFonts w:ascii="Century" w:hAnsi="Century"/>
                <w:i/>
                <w:color w:val="000080"/>
                <w:sz w:val="20"/>
                <w:szCs w:val="20"/>
              </w:rPr>
            </w:pPr>
            <w:r>
              <w:rPr>
                <w:rFonts w:ascii="Century" w:hAnsi="Century"/>
                <w:i/>
                <w:noProof/>
                <w:color w:val="000080"/>
                <w:sz w:val="20"/>
                <w:szCs w:val="20"/>
              </w:rPr>
              <w:drawing>
                <wp:inline distT="0" distB="0" distL="0" distR="0" wp14:anchorId="1763A26B" wp14:editId="645AB344">
                  <wp:extent cx="6090034" cy="1598212"/>
                  <wp:effectExtent l="0" t="0" r="635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0920" cy="1598445"/>
                          </a:xfrm>
                          <a:prstGeom prst="rect">
                            <a:avLst/>
                          </a:prstGeom>
                          <a:noFill/>
                          <a:ln>
                            <a:noFill/>
                          </a:ln>
                        </pic:spPr>
                      </pic:pic>
                    </a:graphicData>
                  </a:graphic>
                </wp:inline>
              </w:drawing>
            </w:r>
          </w:p>
          <w:p w:rsidR="00695364" w:rsidRPr="00A54C0B" w:rsidRDefault="003A73C2" w:rsidP="003A73C2">
            <w:pPr>
              <w:jc w:val="both"/>
              <w:rPr>
                <w:rFonts w:ascii="Century" w:hAnsi="Century"/>
                <w:sz w:val="16"/>
                <w:szCs w:val="16"/>
              </w:rPr>
            </w:pPr>
            <w:r w:rsidRPr="00A54C0B">
              <w:rPr>
                <w:rFonts w:ascii="Century" w:hAnsi="Century"/>
                <w:sz w:val="16"/>
                <w:szCs w:val="16"/>
              </w:rPr>
              <w:t>(*) Paket poliçe içinde yer alan sözleşmelerle b</w:t>
            </w:r>
            <w:r w:rsidR="00695364" w:rsidRPr="00A54C0B">
              <w:rPr>
                <w:rFonts w:ascii="Century" w:hAnsi="Century"/>
                <w:sz w:val="16"/>
                <w:szCs w:val="16"/>
              </w:rPr>
              <w:t>irlikte toplam sözleşme sayısı.</w:t>
            </w:r>
          </w:p>
          <w:p w:rsidR="00A55188" w:rsidRPr="00A54C0B" w:rsidRDefault="003A73C2" w:rsidP="003A73C2">
            <w:pPr>
              <w:jc w:val="both"/>
              <w:rPr>
                <w:rFonts w:ascii="Century" w:hAnsi="Century"/>
                <w:i/>
                <w:sz w:val="16"/>
                <w:szCs w:val="16"/>
              </w:rPr>
            </w:pPr>
            <w:r w:rsidRPr="00A54C0B">
              <w:rPr>
                <w:rFonts w:ascii="Century" w:hAnsi="Century"/>
                <w:i/>
                <w:sz w:val="16"/>
                <w:szCs w:val="16"/>
              </w:rPr>
              <w:t xml:space="preserve">Included total number of contract in the </w:t>
            </w:r>
            <w:r w:rsidR="00A55188" w:rsidRPr="00A54C0B">
              <w:rPr>
                <w:rFonts w:ascii="Century" w:hAnsi="Century"/>
                <w:i/>
                <w:sz w:val="16"/>
                <w:szCs w:val="16"/>
              </w:rPr>
              <w:t>multiline contracts.</w:t>
            </w:r>
          </w:p>
          <w:p w:rsidR="00FA49B6" w:rsidRPr="00A54C0B" w:rsidRDefault="00E10CEA" w:rsidP="003A73C2">
            <w:pPr>
              <w:jc w:val="both"/>
              <w:rPr>
                <w:rFonts w:ascii="Century" w:hAnsi="Century"/>
                <w:sz w:val="16"/>
                <w:szCs w:val="16"/>
              </w:rPr>
            </w:pPr>
            <w:r w:rsidRPr="00A54C0B">
              <w:rPr>
                <w:rFonts w:ascii="Century" w:hAnsi="Century"/>
                <w:sz w:val="16"/>
                <w:szCs w:val="16"/>
              </w:rPr>
              <w:t>Hayat dışı branşlar poliç</w:t>
            </w:r>
            <w:r w:rsidR="00FA49B6" w:rsidRPr="00A54C0B">
              <w:rPr>
                <w:rFonts w:ascii="Century" w:hAnsi="Century"/>
                <w:sz w:val="16"/>
                <w:szCs w:val="16"/>
              </w:rPr>
              <w:t>e</w:t>
            </w:r>
            <w:r w:rsidR="00AB2AA0" w:rsidRPr="00A54C0B">
              <w:rPr>
                <w:rFonts w:ascii="Century" w:hAnsi="Century"/>
                <w:sz w:val="16"/>
                <w:szCs w:val="16"/>
              </w:rPr>
              <w:t xml:space="preserve"> ve sözleşme sayısı içerisinde DASK</w:t>
            </w:r>
            <w:r w:rsidR="00FA49B6" w:rsidRPr="00A54C0B">
              <w:rPr>
                <w:rFonts w:ascii="Century" w:hAnsi="Century"/>
                <w:sz w:val="16"/>
                <w:szCs w:val="16"/>
              </w:rPr>
              <w:t xml:space="preserve"> ve </w:t>
            </w:r>
            <w:r w:rsidR="00AB2AA0" w:rsidRPr="00A54C0B">
              <w:rPr>
                <w:rFonts w:ascii="Century" w:hAnsi="Century"/>
                <w:sz w:val="16"/>
                <w:szCs w:val="16"/>
              </w:rPr>
              <w:t>TARSİM</w:t>
            </w:r>
            <w:r w:rsidR="00FA49B6" w:rsidRPr="00A54C0B">
              <w:rPr>
                <w:rFonts w:ascii="Century" w:hAnsi="Century"/>
                <w:sz w:val="16"/>
                <w:szCs w:val="16"/>
              </w:rPr>
              <w:t xml:space="preserve"> verileri </w:t>
            </w:r>
            <w:r w:rsidR="002F5013" w:rsidRPr="00A54C0B">
              <w:rPr>
                <w:rFonts w:ascii="Century" w:hAnsi="Century"/>
                <w:sz w:val="16"/>
                <w:szCs w:val="16"/>
              </w:rPr>
              <w:t>dahil edilmişti</w:t>
            </w:r>
            <w:r w:rsidR="00FA49B6" w:rsidRPr="00A54C0B">
              <w:rPr>
                <w:rFonts w:ascii="Century" w:hAnsi="Century"/>
                <w:sz w:val="16"/>
                <w:szCs w:val="16"/>
              </w:rPr>
              <w:t>r.</w:t>
            </w:r>
          </w:p>
          <w:p w:rsidR="00695364" w:rsidRPr="00A54C0B" w:rsidRDefault="00695364" w:rsidP="00695364">
            <w:pPr>
              <w:jc w:val="both"/>
              <w:rPr>
                <w:rFonts w:ascii="Century" w:hAnsi="Century"/>
                <w:i/>
                <w:sz w:val="16"/>
                <w:szCs w:val="16"/>
              </w:rPr>
            </w:pPr>
            <w:r w:rsidRPr="00A54C0B">
              <w:rPr>
                <w:rFonts w:ascii="Century" w:hAnsi="Century"/>
                <w:i/>
                <w:sz w:val="16"/>
                <w:szCs w:val="16"/>
              </w:rPr>
              <w:t xml:space="preserve">TCIP and Agricultural Insurance Pool data have </w:t>
            </w:r>
            <w:r w:rsidR="008611BF" w:rsidRPr="00A54C0B">
              <w:rPr>
                <w:rFonts w:ascii="Century" w:hAnsi="Century"/>
                <w:i/>
                <w:sz w:val="16"/>
                <w:szCs w:val="16"/>
              </w:rPr>
              <w:t>been included in policy and cer</w:t>
            </w:r>
            <w:r w:rsidRPr="00A54C0B">
              <w:rPr>
                <w:rFonts w:ascii="Century" w:hAnsi="Century"/>
                <w:i/>
                <w:sz w:val="16"/>
                <w:szCs w:val="16"/>
              </w:rPr>
              <w:t>tificate amount.</w:t>
            </w:r>
          </w:p>
          <w:p w:rsidR="00695364" w:rsidRPr="00A54C0B" w:rsidRDefault="00695364" w:rsidP="003A73C2">
            <w:pPr>
              <w:jc w:val="both"/>
              <w:rPr>
                <w:rFonts w:ascii="Century" w:hAnsi="Century"/>
                <w:i/>
                <w:sz w:val="16"/>
                <w:szCs w:val="16"/>
              </w:rPr>
            </w:pPr>
          </w:p>
          <w:p w:rsidR="00A36E90" w:rsidRPr="00A54C0B" w:rsidRDefault="00A36E90" w:rsidP="003A73C2">
            <w:pPr>
              <w:jc w:val="both"/>
              <w:rPr>
                <w:rFonts w:ascii="Century" w:hAnsi="Century"/>
                <w:i/>
                <w:sz w:val="18"/>
                <w:szCs w:val="18"/>
              </w:rPr>
            </w:pPr>
          </w:p>
        </w:tc>
      </w:tr>
      <w:tr w:rsidR="007C5FD3" w:rsidRPr="00B10D90" w:rsidTr="00441D50">
        <w:trPr>
          <w:gridAfter w:val="2"/>
          <w:wAfter w:w="38" w:type="dxa"/>
          <w:trHeight w:val="360"/>
        </w:trPr>
        <w:tc>
          <w:tcPr>
            <w:tcW w:w="9820" w:type="dxa"/>
            <w:gridSpan w:val="14"/>
          </w:tcPr>
          <w:p w:rsidR="007C5FD3" w:rsidRPr="00A54C0B" w:rsidRDefault="007C5FD3" w:rsidP="00ED6758">
            <w:pPr>
              <w:jc w:val="center"/>
              <w:rPr>
                <w:rFonts w:ascii="Century" w:hAnsi="Century"/>
                <w:b/>
                <w:color w:val="000080"/>
                <w:sz w:val="20"/>
                <w:szCs w:val="20"/>
              </w:rPr>
            </w:pPr>
          </w:p>
        </w:tc>
      </w:tr>
      <w:tr w:rsidR="00ED6758" w:rsidRPr="00B10D90" w:rsidTr="00441D50">
        <w:trPr>
          <w:gridAfter w:val="2"/>
          <w:wAfter w:w="38" w:type="dxa"/>
          <w:trHeight w:val="360"/>
        </w:trPr>
        <w:tc>
          <w:tcPr>
            <w:tcW w:w="4917" w:type="dxa"/>
            <w:gridSpan w:val="6"/>
          </w:tcPr>
          <w:p w:rsidR="00ED6758" w:rsidRPr="00B10D90" w:rsidRDefault="00ED6758" w:rsidP="00CF23F3">
            <w:pPr>
              <w:jc w:val="both"/>
              <w:rPr>
                <w:rFonts w:ascii="Century" w:hAnsi="Century"/>
                <w:i/>
                <w:sz w:val="22"/>
                <w:szCs w:val="22"/>
                <w:highlight w:val="yellow"/>
              </w:rPr>
            </w:pPr>
          </w:p>
        </w:tc>
        <w:tc>
          <w:tcPr>
            <w:tcW w:w="236" w:type="dxa"/>
            <w:gridSpan w:val="4"/>
          </w:tcPr>
          <w:p w:rsidR="00ED6758" w:rsidRPr="00B10D90" w:rsidRDefault="00ED6758" w:rsidP="00EF2418">
            <w:pPr>
              <w:jc w:val="both"/>
              <w:rPr>
                <w:rFonts w:ascii="Century" w:hAnsi="Century"/>
                <w:sz w:val="22"/>
                <w:szCs w:val="22"/>
                <w:highlight w:val="yellow"/>
              </w:rPr>
            </w:pPr>
          </w:p>
        </w:tc>
        <w:tc>
          <w:tcPr>
            <w:tcW w:w="4667" w:type="dxa"/>
            <w:gridSpan w:val="4"/>
          </w:tcPr>
          <w:p w:rsidR="00ED6758" w:rsidRPr="00B10D90" w:rsidRDefault="00ED6758" w:rsidP="00CF23F3">
            <w:pPr>
              <w:jc w:val="both"/>
              <w:rPr>
                <w:rFonts w:ascii="Century" w:hAnsi="Century"/>
                <w:b/>
                <w:color w:val="003366"/>
                <w:sz w:val="22"/>
                <w:szCs w:val="22"/>
                <w:highlight w:val="yellow"/>
              </w:rPr>
            </w:pPr>
          </w:p>
        </w:tc>
      </w:tr>
      <w:tr w:rsidR="00C85053" w:rsidRPr="00B10D90" w:rsidTr="00441D50">
        <w:trPr>
          <w:gridAfter w:val="2"/>
          <w:wAfter w:w="38" w:type="dxa"/>
          <w:trHeight w:val="163"/>
        </w:trPr>
        <w:tc>
          <w:tcPr>
            <w:tcW w:w="4917" w:type="dxa"/>
            <w:gridSpan w:val="6"/>
          </w:tcPr>
          <w:p w:rsidR="00ED6758" w:rsidRPr="00A62AA6" w:rsidRDefault="00ED6758" w:rsidP="00642411">
            <w:pPr>
              <w:pStyle w:val="Heading2"/>
              <w:tabs>
                <w:tab w:val="clear" w:pos="717"/>
                <w:tab w:val="num" w:pos="394"/>
                <w:tab w:val="left" w:pos="671"/>
              </w:tabs>
              <w:spacing w:before="0" w:after="0"/>
              <w:ind w:left="0"/>
              <w:rPr>
                <w:rFonts w:ascii="Century" w:hAnsi="Century"/>
                <w:i w:val="0"/>
                <w:color w:val="000080"/>
                <w:sz w:val="22"/>
                <w:szCs w:val="22"/>
              </w:rPr>
            </w:pPr>
            <w:bookmarkStart w:id="182" w:name="_Toc358380193"/>
            <w:bookmarkStart w:id="183" w:name="_Toc12957663"/>
            <w:r w:rsidRPr="00A62AA6">
              <w:rPr>
                <w:rFonts w:ascii="Century" w:hAnsi="Century"/>
                <w:i w:val="0"/>
                <w:color w:val="000080"/>
                <w:sz w:val="22"/>
                <w:szCs w:val="22"/>
              </w:rPr>
              <w:lastRenderedPageBreak/>
              <w:t>İstihdam</w:t>
            </w:r>
            <w:bookmarkEnd w:id="182"/>
            <w:bookmarkEnd w:id="183"/>
          </w:p>
          <w:p w:rsidR="002F1D7A" w:rsidRPr="00A62AA6" w:rsidRDefault="002F1D7A" w:rsidP="002F1D7A"/>
          <w:p w:rsidR="00ED6758" w:rsidRPr="00B10D90" w:rsidRDefault="00ED6758" w:rsidP="00ED6758">
            <w:pPr>
              <w:jc w:val="both"/>
              <w:rPr>
                <w:rFonts w:ascii="Century" w:hAnsi="Century"/>
                <w:sz w:val="22"/>
                <w:szCs w:val="22"/>
                <w:highlight w:val="yellow"/>
              </w:rPr>
            </w:pPr>
            <w:r w:rsidRPr="00A62AA6">
              <w:rPr>
                <w:rFonts w:ascii="Century" w:hAnsi="Century"/>
                <w:sz w:val="22"/>
                <w:szCs w:val="22"/>
              </w:rPr>
              <w:t xml:space="preserve">Ülkemizde sigortacılık ve bireysel emeklilik  sektörlerinde faaliyet gösteren </w:t>
            </w:r>
            <w:r w:rsidR="00687102" w:rsidRPr="00A62AA6">
              <w:rPr>
                <w:rFonts w:ascii="Century" w:hAnsi="Century"/>
                <w:sz w:val="22"/>
                <w:szCs w:val="22"/>
              </w:rPr>
              <w:t>6</w:t>
            </w:r>
            <w:r w:rsidR="00711A04" w:rsidRPr="00A62AA6">
              <w:rPr>
                <w:rFonts w:ascii="Century" w:hAnsi="Century"/>
                <w:sz w:val="22"/>
                <w:szCs w:val="22"/>
              </w:rPr>
              <w:t>2</w:t>
            </w:r>
            <w:r w:rsidRPr="00A62AA6">
              <w:rPr>
                <w:rFonts w:ascii="Century" w:hAnsi="Century"/>
                <w:sz w:val="22"/>
                <w:szCs w:val="22"/>
              </w:rPr>
              <w:t xml:space="preserve"> sigorta, reasürans ve emeklilik şirketinde 201</w:t>
            </w:r>
            <w:r w:rsidR="00A62AA6" w:rsidRPr="00A62AA6">
              <w:rPr>
                <w:rFonts w:ascii="Century" w:hAnsi="Century"/>
                <w:sz w:val="22"/>
                <w:szCs w:val="22"/>
              </w:rPr>
              <w:t>8</w:t>
            </w:r>
            <w:r w:rsidR="00B57879" w:rsidRPr="00A62AA6">
              <w:rPr>
                <w:rFonts w:ascii="Century" w:hAnsi="Century"/>
                <w:sz w:val="22"/>
                <w:szCs w:val="22"/>
              </w:rPr>
              <w:t xml:space="preserve"> yılı sonu </w:t>
            </w:r>
            <w:r w:rsidR="00354E2E" w:rsidRPr="00A62AA6">
              <w:rPr>
                <w:rFonts w:ascii="Century" w:hAnsi="Century"/>
                <w:sz w:val="22"/>
                <w:szCs w:val="22"/>
              </w:rPr>
              <w:t xml:space="preserve">itibarıyla </w:t>
            </w:r>
            <w:r w:rsidR="00A62AA6" w:rsidRPr="00A62AA6">
              <w:rPr>
                <w:rFonts w:ascii="Century" w:hAnsi="Century"/>
                <w:sz w:val="22"/>
                <w:szCs w:val="22"/>
              </w:rPr>
              <w:t>toplam 20</w:t>
            </w:r>
            <w:r w:rsidR="00B57879" w:rsidRPr="00A62AA6">
              <w:rPr>
                <w:rFonts w:ascii="Century" w:hAnsi="Century"/>
                <w:sz w:val="22"/>
                <w:szCs w:val="22"/>
              </w:rPr>
              <w:t>.</w:t>
            </w:r>
            <w:r w:rsidR="00A62AA6" w:rsidRPr="00A62AA6">
              <w:rPr>
                <w:rFonts w:ascii="Century" w:hAnsi="Century"/>
                <w:sz w:val="22"/>
                <w:szCs w:val="22"/>
              </w:rPr>
              <w:t>097</w:t>
            </w:r>
            <w:r w:rsidRPr="00A62AA6">
              <w:rPr>
                <w:rFonts w:ascii="Century" w:hAnsi="Century"/>
                <w:sz w:val="22"/>
                <w:szCs w:val="22"/>
              </w:rPr>
              <w:t xml:space="preserve"> kişi istih</w:t>
            </w:r>
            <w:r w:rsidR="001D053D" w:rsidRPr="00A62AA6">
              <w:rPr>
                <w:rFonts w:ascii="Century" w:hAnsi="Century"/>
                <w:sz w:val="22"/>
                <w:szCs w:val="22"/>
              </w:rPr>
              <w:t xml:space="preserve">dam edilmektedir. </w:t>
            </w:r>
            <w:r w:rsidR="001D053D" w:rsidRPr="00D64AD6">
              <w:rPr>
                <w:rFonts w:ascii="Century" w:hAnsi="Century"/>
                <w:sz w:val="22"/>
                <w:szCs w:val="22"/>
              </w:rPr>
              <w:t xml:space="preserve">Diğer yandan, </w:t>
            </w:r>
            <w:r w:rsidRPr="00D64AD6">
              <w:rPr>
                <w:rFonts w:ascii="Century" w:hAnsi="Century"/>
                <w:sz w:val="22"/>
                <w:szCs w:val="22"/>
              </w:rPr>
              <w:t>sigortacılık faaliyetine aracılık etmek üzere kurulan ve Türkiye Odalar ve Borsalar Birliği nezdinde tutulan Levha’ya kayı</w:t>
            </w:r>
            <w:r w:rsidR="004D08E0" w:rsidRPr="00D64AD6">
              <w:rPr>
                <w:rFonts w:ascii="Century" w:hAnsi="Century"/>
                <w:sz w:val="22"/>
                <w:szCs w:val="22"/>
              </w:rPr>
              <w:t>t yaptırmış acente sayısı 1</w:t>
            </w:r>
            <w:r w:rsidR="00156C62" w:rsidRPr="00D64AD6">
              <w:rPr>
                <w:rFonts w:ascii="Century" w:hAnsi="Century"/>
                <w:sz w:val="22"/>
                <w:szCs w:val="22"/>
              </w:rPr>
              <w:t>5</w:t>
            </w:r>
            <w:r w:rsidR="004D08E0" w:rsidRPr="00D64AD6">
              <w:rPr>
                <w:rFonts w:ascii="Century" w:hAnsi="Century"/>
                <w:sz w:val="22"/>
                <w:szCs w:val="22"/>
              </w:rPr>
              <w:t>.</w:t>
            </w:r>
            <w:r w:rsidR="00D64AD6" w:rsidRPr="00D64AD6">
              <w:rPr>
                <w:rFonts w:ascii="Century" w:hAnsi="Century"/>
                <w:sz w:val="22"/>
                <w:szCs w:val="22"/>
              </w:rPr>
              <w:t>782</w:t>
            </w:r>
            <w:r w:rsidRPr="00D64AD6">
              <w:rPr>
                <w:rFonts w:ascii="Century" w:hAnsi="Century"/>
                <w:sz w:val="22"/>
                <w:szCs w:val="22"/>
              </w:rPr>
              <w:t xml:space="preserve">, bireysel emeklilik sisteminde aracılık yapmak üzere EGM’ye kayıtlı </w:t>
            </w:r>
            <w:r w:rsidR="00945F36" w:rsidRPr="00D64AD6">
              <w:rPr>
                <w:rFonts w:ascii="Century" w:hAnsi="Century"/>
                <w:sz w:val="22"/>
                <w:szCs w:val="22"/>
              </w:rPr>
              <w:t xml:space="preserve">satışa yetkili </w:t>
            </w:r>
            <w:r w:rsidRPr="00D64AD6">
              <w:rPr>
                <w:rFonts w:ascii="Century" w:hAnsi="Century"/>
                <w:sz w:val="22"/>
                <w:szCs w:val="22"/>
              </w:rPr>
              <w:t xml:space="preserve">bireysel emeklilik aracısı sayısı ise </w:t>
            </w:r>
            <w:r w:rsidR="00D64AD6" w:rsidRPr="00D64AD6">
              <w:rPr>
                <w:rFonts w:ascii="Century" w:hAnsi="Century"/>
                <w:sz w:val="22"/>
                <w:szCs w:val="22"/>
              </w:rPr>
              <w:t>48</w:t>
            </w:r>
            <w:r w:rsidR="00945F36" w:rsidRPr="00D64AD6">
              <w:rPr>
                <w:rFonts w:ascii="Century" w:hAnsi="Century"/>
                <w:sz w:val="22"/>
                <w:szCs w:val="22"/>
              </w:rPr>
              <w:t>.</w:t>
            </w:r>
            <w:r w:rsidR="00D64AD6" w:rsidRPr="002A48AC">
              <w:rPr>
                <w:rFonts w:ascii="Century" w:hAnsi="Century"/>
                <w:sz w:val="22"/>
                <w:szCs w:val="22"/>
              </w:rPr>
              <w:t>039</w:t>
            </w:r>
            <w:r w:rsidRPr="002A48AC">
              <w:rPr>
                <w:rFonts w:ascii="Century" w:hAnsi="Century"/>
                <w:sz w:val="22"/>
                <w:szCs w:val="22"/>
              </w:rPr>
              <w:t>’</w:t>
            </w:r>
            <w:r w:rsidR="00FC575D" w:rsidRPr="002A48AC">
              <w:rPr>
                <w:rFonts w:ascii="Century" w:hAnsi="Century"/>
                <w:sz w:val="22"/>
                <w:szCs w:val="22"/>
              </w:rPr>
              <w:t>d</w:t>
            </w:r>
            <w:r w:rsidR="00D64AD6" w:rsidRPr="002A48AC">
              <w:rPr>
                <w:rFonts w:ascii="Century" w:hAnsi="Century"/>
                <w:sz w:val="22"/>
                <w:szCs w:val="22"/>
              </w:rPr>
              <w:t>u</w:t>
            </w:r>
            <w:r w:rsidR="00B86B4E" w:rsidRPr="002A48AC">
              <w:rPr>
                <w:rFonts w:ascii="Century" w:hAnsi="Century"/>
                <w:sz w:val="22"/>
                <w:szCs w:val="22"/>
              </w:rPr>
              <w:t>r</w:t>
            </w:r>
            <w:r w:rsidR="004D08E0" w:rsidRPr="002A48AC">
              <w:rPr>
                <w:rFonts w:ascii="Century" w:hAnsi="Century"/>
                <w:sz w:val="22"/>
                <w:szCs w:val="22"/>
              </w:rPr>
              <w:t xml:space="preserve">. </w:t>
            </w:r>
            <w:r w:rsidR="004D08E0" w:rsidRPr="002A48AC">
              <w:rPr>
                <w:rFonts w:ascii="Century" w:hAnsi="Century"/>
                <w:color w:val="000000" w:themeColor="text1"/>
                <w:sz w:val="22"/>
                <w:szCs w:val="22"/>
              </w:rPr>
              <w:t xml:space="preserve">Yıl sonu </w:t>
            </w:r>
            <w:r w:rsidR="00354E2E" w:rsidRPr="002A48AC">
              <w:rPr>
                <w:rFonts w:ascii="Century" w:hAnsi="Century"/>
                <w:color w:val="000000" w:themeColor="text1"/>
                <w:sz w:val="22"/>
                <w:szCs w:val="22"/>
              </w:rPr>
              <w:t xml:space="preserve">itibarıyla </w:t>
            </w:r>
            <w:r w:rsidR="004D08E0" w:rsidRPr="002A48AC">
              <w:rPr>
                <w:rFonts w:ascii="Century" w:hAnsi="Century"/>
                <w:color w:val="000000" w:themeColor="text1"/>
                <w:sz w:val="22"/>
                <w:szCs w:val="22"/>
              </w:rPr>
              <w:t xml:space="preserve">mevcut </w:t>
            </w:r>
            <w:r w:rsidR="00156C62" w:rsidRPr="002A48AC">
              <w:rPr>
                <w:rFonts w:ascii="Century" w:hAnsi="Century"/>
                <w:color w:val="000000" w:themeColor="text1"/>
                <w:sz w:val="22"/>
                <w:szCs w:val="22"/>
              </w:rPr>
              <w:t>1</w:t>
            </w:r>
            <w:r w:rsidR="00D64AD6" w:rsidRPr="002A48AC">
              <w:rPr>
                <w:rFonts w:ascii="Century" w:hAnsi="Century"/>
                <w:color w:val="000000" w:themeColor="text1"/>
                <w:sz w:val="22"/>
                <w:szCs w:val="22"/>
              </w:rPr>
              <w:t>4</w:t>
            </w:r>
            <w:r w:rsidR="002A48AC" w:rsidRPr="002A48AC">
              <w:rPr>
                <w:rFonts w:ascii="Century" w:hAnsi="Century"/>
                <w:color w:val="000000" w:themeColor="text1"/>
                <w:sz w:val="22"/>
                <w:szCs w:val="22"/>
              </w:rPr>
              <w:t>2</w:t>
            </w:r>
            <w:r w:rsidR="00217332" w:rsidRPr="002A48AC">
              <w:rPr>
                <w:rFonts w:ascii="Century" w:hAnsi="Century"/>
                <w:color w:val="000000" w:themeColor="text1"/>
                <w:sz w:val="22"/>
                <w:szCs w:val="22"/>
              </w:rPr>
              <w:t xml:space="preserve"> adet brokerin </w:t>
            </w:r>
            <w:r w:rsidR="00E4525F" w:rsidRPr="002A48AC">
              <w:rPr>
                <w:rFonts w:ascii="Century" w:hAnsi="Century"/>
                <w:color w:val="000000" w:themeColor="text1"/>
                <w:sz w:val="22"/>
                <w:szCs w:val="22"/>
              </w:rPr>
              <w:t>8</w:t>
            </w:r>
            <w:r w:rsidR="00664E5E" w:rsidRPr="002A48AC">
              <w:rPr>
                <w:rFonts w:ascii="Century" w:hAnsi="Century"/>
                <w:color w:val="000000" w:themeColor="text1"/>
                <w:sz w:val="22"/>
                <w:szCs w:val="22"/>
              </w:rPr>
              <w:t>8</w:t>
            </w:r>
            <w:r w:rsidRPr="002A48AC">
              <w:rPr>
                <w:rFonts w:ascii="Century" w:hAnsi="Century"/>
                <w:color w:val="000000" w:themeColor="text1"/>
                <w:sz w:val="22"/>
                <w:szCs w:val="22"/>
              </w:rPr>
              <w:t>’</w:t>
            </w:r>
            <w:r w:rsidR="00865E35" w:rsidRPr="002A48AC">
              <w:rPr>
                <w:rFonts w:ascii="Century" w:hAnsi="Century"/>
                <w:color w:val="000000" w:themeColor="text1"/>
                <w:sz w:val="22"/>
                <w:szCs w:val="22"/>
              </w:rPr>
              <w:t>i</w:t>
            </w:r>
            <w:r w:rsidR="00217332" w:rsidRPr="002A48AC">
              <w:rPr>
                <w:rFonts w:ascii="Century" w:hAnsi="Century"/>
                <w:color w:val="000000" w:themeColor="text1"/>
                <w:sz w:val="22"/>
                <w:szCs w:val="22"/>
              </w:rPr>
              <w:t xml:space="preserve"> sigorta ve reasürans, </w:t>
            </w:r>
            <w:r w:rsidR="006C5F7C" w:rsidRPr="002A48AC">
              <w:rPr>
                <w:rFonts w:ascii="Century" w:hAnsi="Century"/>
                <w:color w:val="000000" w:themeColor="text1"/>
                <w:sz w:val="22"/>
                <w:szCs w:val="22"/>
              </w:rPr>
              <w:t>4</w:t>
            </w:r>
            <w:r w:rsidR="002A48AC" w:rsidRPr="002A48AC">
              <w:rPr>
                <w:rFonts w:ascii="Century" w:hAnsi="Century"/>
                <w:color w:val="000000" w:themeColor="text1"/>
                <w:sz w:val="22"/>
                <w:szCs w:val="22"/>
              </w:rPr>
              <w:t>8</w:t>
            </w:r>
            <w:r w:rsidR="00217332" w:rsidRPr="002A48AC">
              <w:rPr>
                <w:rFonts w:ascii="Century" w:hAnsi="Century"/>
                <w:color w:val="000000" w:themeColor="text1"/>
                <w:sz w:val="22"/>
                <w:szCs w:val="22"/>
              </w:rPr>
              <w:t>’</w:t>
            </w:r>
            <w:r w:rsidR="00865E35" w:rsidRPr="002A48AC">
              <w:rPr>
                <w:rFonts w:ascii="Century" w:hAnsi="Century"/>
                <w:color w:val="000000" w:themeColor="text1"/>
                <w:sz w:val="22"/>
                <w:szCs w:val="22"/>
              </w:rPr>
              <w:t>i</w:t>
            </w:r>
            <w:r w:rsidR="00E4525F" w:rsidRPr="002A48AC">
              <w:rPr>
                <w:rFonts w:ascii="Century" w:hAnsi="Century"/>
                <w:color w:val="000000" w:themeColor="text1"/>
                <w:sz w:val="22"/>
                <w:szCs w:val="22"/>
              </w:rPr>
              <w:t xml:space="preserve"> </w:t>
            </w:r>
            <w:r w:rsidRPr="002A48AC">
              <w:rPr>
                <w:rFonts w:ascii="Century" w:hAnsi="Century"/>
                <w:color w:val="000000" w:themeColor="text1"/>
                <w:sz w:val="22"/>
                <w:szCs w:val="22"/>
              </w:rPr>
              <w:t xml:space="preserve">sadece sigorta, </w:t>
            </w:r>
            <w:r w:rsidR="002A48AC" w:rsidRPr="002A48AC">
              <w:rPr>
                <w:rFonts w:ascii="Century" w:hAnsi="Century"/>
                <w:color w:val="000000" w:themeColor="text1"/>
                <w:sz w:val="22"/>
                <w:szCs w:val="22"/>
              </w:rPr>
              <w:t>6</w:t>
            </w:r>
            <w:r w:rsidRPr="002A48AC">
              <w:rPr>
                <w:rFonts w:ascii="Century" w:hAnsi="Century"/>
                <w:color w:val="000000" w:themeColor="text1"/>
                <w:sz w:val="22"/>
                <w:szCs w:val="22"/>
              </w:rPr>
              <w:t>’</w:t>
            </w:r>
            <w:r w:rsidR="002A48AC" w:rsidRPr="002A48AC">
              <w:rPr>
                <w:rFonts w:ascii="Century" w:hAnsi="Century"/>
                <w:color w:val="000000" w:themeColor="text1"/>
                <w:sz w:val="22"/>
                <w:szCs w:val="22"/>
              </w:rPr>
              <w:t>sı</w:t>
            </w:r>
            <w:r w:rsidRPr="002A48AC">
              <w:rPr>
                <w:rFonts w:ascii="Century" w:hAnsi="Century"/>
                <w:color w:val="000000" w:themeColor="text1"/>
                <w:sz w:val="22"/>
                <w:szCs w:val="22"/>
              </w:rPr>
              <w:t xml:space="preserve"> ise sadece reasürans alanında ruhsat</w:t>
            </w:r>
            <w:r w:rsidRPr="00D64AD6">
              <w:rPr>
                <w:rFonts w:ascii="Century" w:hAnsi="Century"/>
                <w:color w:val="000000" w:themeColor="text1"/>
                <w:sz w:val="22"/>
                <w:szCs w:val="22"/>
              </w:rPr>
              <w:t xml:space="preserve"> </w:t>
            </w:r>
            <w:r w:rsidR="00293F9D" w:rsidRPr="00D64AD6">
              <w:rPr>
                <w:rFonts w:ascii="Century" w:hAnsi="Century"/>
                <w:color w:val="000000" w:themeColor="text1"/>
                <w:sz w:val="22"/>
                <w:szCs w:val="22"/>
              </w:rPr>
              <w:t xml:space="preserve">sahibidir. </w:t>
            </w:r>
            <w:r w:rsidR="00293F9D" w:rsidRPr="002B54B3">
              <w:rPr>
                <w:rFonts w:ascii="Century" w:hAnsi="Century"/>
                <w:color w:val="000000" w:themeColor="text1"/>
                <w:sz w:val="22"/>
                <w:szCs w:val="22"/>
              </w:rPr>
              <w:t>Sektörde mevcut 1.</w:t>
            </w:r>
            <w:r w:rsidR="00507030" w:rsidRPr="002B54B3">
              <w:rPr>
                <w:rFonts w:ascii="Century" w:hAnsi="Century"/>
                <w:color w:val="000000" w:themeColor="text1"/>
                <w:sz w:val="22"/>
                <w:szCs w:val="22"/>
              </w:rPr>
              <w:t>2</w:t>
            </w:r>
            <w:r w:rsidR="00E81B13" w:rsidRPr="002B54B3">
              <w:rPr>
                <w:rFonts w:ascii="Century" w:hAnsi="Century"/>
                <w:color w:val="000000" w:themeColor="text1"/>
                <w:sz w:val="22"/>
                <w:szCs w:val="22"/>
              </w:rPr>
              <w:t>43</w:t>
            </w:r>
            <w:r w:rsidRPr="002B54B3">
              <w:rPr>
                <w:rFonts w:ascii="Century" w:hAnsi="Century"/>
                <w:color w:val="000000" w:themeColor="text1"/>
                <w:sz w:val="22"/>
                <w:szCs w:val="22"/>
              </w:rPr>
              <w:t xml:space="preserve"> adet gerçek kişi </w:t>
            </w:r>
            <w:r w:rsidRPr="002B54B3">
              <w:rPr>
                <w:rFonts w:ascii="Century" w:hAnsi="Century"/>
                <w:sz w:val="22"/>
                <w:szCs w:val="22"/>
              </w:rPr>
              <w:t xml:space="preserve">sigorta eksperinden </w:t>
            </w:r>
            <w:r w:rsidR="002B54B3" w:rsidRPr="002B54B3">
              <w:rPr>
                <w:rFonts w:ascii="Century" w:hAnsi="Century"/>
                <w:sz w:val="22"/>
                <w:szCs w:val="22"/>
              </w:rPr>
              <w:t>435</w:t>
            </w:r>
            <w:r w:rsidRPr="002B54B3">
              <w:rPr>
                <w:rFonts w:ascii="Century" w:hAnsi="Century"/>
                <w:sz w:val="22"/>
                <w:szCs w:val="22"/>
              </w:rPr>
              <w:t xml:space="preserve"> adedi tek başına, </w:t>
            </w:r>
            <w:r w:rsidR="002B54B3" w:rsidRPr="002B54B3">
              <w:rPr>
                <w:rFonts w:ascii="Century" w:hAnsi="Century"/>
                <w:sz w:val="22"/>
                <w:szCs w:val="22"/>
              </w:rPr>
              <w:t>808</w:t>
            </w:r>
            <w:r w:rsidRPr="002B54B3">
              <w:rPr>
                <w:rFonts w:ascii="Century" w:hAnsi="Century"/>
                <w:sz w:val="22"/>
                <w:szCs w:val="22"/>
              </w:rPr>
              <w:t xml:space="preserve"> adedi ise bir tüzel kişi sigorta eksperi nezdinde çalışmaktadır. Sektörde </w:t>
            </w:r>
            <w:r w:rsidRPr="00B824FE">
              <w:rPr>
                <w:rFonts w:ascii="Century" w:hAnsi="Century"/>
                <w:sz w:val="22"/>
                <w:szCs w:val="22"/>
              </w:rPr>
              <w:t xml:space="preserve">ayrıca </w:t>
            </w:r>
            <w:r w:rsidR="00865E35" w:rsidRPr="00B824FE">
              <w:rPr>
                <w:rFonts w:ascii="Century" w:hAnsi="Century"/>
                <w:sz w:val="22"/>
                <w:szCs w:val="22"/>
              </w:rPr>
              <w:t>3</w:t>
            </w:r>
            <w:r w:rsidR="00F63100" w:rsidRPr="00B824FE">
              <w:rPr>
                <w:rFonts w:ascii="Century" w:hAnsi="Century"/>
                <w:sz w:val="22"/>
                <w:szCs w:val="22"/>
              </w:rPr>
              <w:t>,</w:t>
            </w:r>
            <w:r w:rsidR="002B54B3" w:rsidRPr="00B824FE">
              <w:rPr>
                <w:rFonts w:ascii="Century" w:hAnsi="Century"/>
                <w:sz w:val="22"/>
                <w:szCs w:val="22"/>
              </w:rPr>
              <w:t>26</w:t>
            </w:r>
            <w:r w:rsidR="00865E35" w:rsidRPr="00B824FE">
              <w:rPr>
                <w:rFonts w:ascii="Century" w:hAnsi="Century"/>
                <w:sz w:val="22"/>
                <w:szCs w:val="22"/>
              </w:rPr>
              <w:t>0</w:t>
            </w:r>
            <w:r w:rsidR="00293F9D" w:rsidRPr="00B824FE">
              <w:rPr>
                <w:rFonts w:ascii="Century" w:hAnsi="Century"/>
                <w:sz w:val="22"/>
                <w:szCs w:val="22"/>
              </w:rPr>
              <w:t xml:space="preserve"> </w:t>
            </w:r>
            <w:r w:rsidRPr="00B824FE">
              <w:rPr>
                <w:rFonts w:ascii="Century" w:hAnsi="Century"/>
                <w:sz w:val="22"/>
                <w:szCs w:val="22"/>
              </w:rPr>
              <w:t xml:space="preserve">adet tarım eksperi bulunmaktadır. </w:t>
            </w:r>
            <w:r w:rsidR="00571BC6" w:rsidRPr="00B824FE">
              <w:rPr>
                <w:rFonts w:ascii="Century" w:hAnsi="Century"/>
                <w:sz w:val="22"/>
                <w:szCs w:val="22"/>
              </w:rPr>
              <w:t>Aktüerler siciline kayıtlı 1</w:t>
            </w:r>
            <w:r w:rsidR="00B824FE" w:rsidRPr="00B824FE">
              <w:rPr>
                <w:rFonts w:ascii="Century" w:hAnsi="Century"/>
                <w:sz w:val="22"/>
                <w:szCs w:val="22"/>
              </w:rPr>
              <w:t>49</w:t>
            </w:r>
            <w:r w:rsidR="00571BC6" w:rsidRPr="00B824FE">
              <w:rPr>
                <w:rFonts w:ascii="Century" w:hAnsi="Century"/>
                <w:sz w:val="22"/>
                <w:szCs w:val="22"/>
              </w:rPr>
              <w:t xml:space="preserve"> aktüerden </w:t>
            </w:r>
            <w:r w:rsidRPr="00B824FE">
              <w:rPr>
                <w:rFonts w:ascii="Century" w:hAnsi="Century"/>
                <w:sz w:val="22"/>
                <w:szCs w:val="22"/>
              </w:rPr>
              <w:t xml:space="preserve">Şirketlerle </w:t>
            </w:r>
            <w:r w:rsidRPr="003E7A00">
              <w:rPr>
                <w:rFonts w:ascii="Century" w:hAnsi="Century"/>
                <w:sz w:val="22"/>
                <w:szCs w:val="22"/>
              </w:rPr>
              <w:t xml:space="preserve">anlaşmalı olarak faaliyet gösteren aktüer sayısı ise </w:t>
            </w:r>
            <w:r w:rsidR="003E7A00" w:rsidRPr="003E7A00">
              <w:rPr>
                <w:rFonts w:ascii="Century" w:hAnsi="Century"/>
                <w:sz w:val="22"/>
                <w:szCs w:val="22"/>
              </w:rPr>
              <w:t>4</w:t>
            </w:r>
            <w:r w:rsidR="00324E3D">
              <w:rPr>
                <w:rFonts w:ascii="Century" w:hAnsi="Century"/>
                <w:sz w:val="22"/>
                <w:szCs w:val="22"/>
              </w:rPr>
              <w:t>0</w:t>
            </w:r>
            <w:r w:rsidRPr="003E7A00">
              <w:rPr>
                <w:rFonts w:ascii="Century" w:hAnsi="Century"/>
                <w:sz w:val="22"/>
                <w:szCs w:val="22"/>
              </w:rPr>
              <w:t>’</w:t>
            </w:r>
            <w:r w:rsidR="00413412" w:rsidRPr="003E7A00">
              <w:rPr>
                <w:rFonts w:ascii="Century" w:hAnsi="Century"/>
                <w:sz w:val="22"/>
                <w:szCs w:val="22"/>
              </w:rPr>
              <w:t>d</w:t>
            </w:r>
            <w:r w:rsidR="00324E3D">
              <w:rPr>
                <w:rFonts w:ascii="Century" w:hAnsi="Century"/>
                <w:sz w:val="22"/>
                <w:szCs w:val="22"/>
              </w:rPr>
              <w:t>ı</w:t>
            </w:r>
            <w:r w:rsidR="00413412" w:rsidRPr="003E7A00">
              <w:rPr>
                <w:rFonts w:ascii="Century" w:hAnsi="Century"/>
                <w:sz w:val="22"/>
                <w:szCs w:val="22"/>
              </w:rPr>
              <w:t>r</w:t>
            </w:r>
            <w:r w:rsidRPr="003E7A00">
              <w:rPr>
                <w:rFonts w:ascii="Century" w:hAnsi="Century"/>
                <w:sz w:val="22"/>
                <w:szCs w:val="22"/>
              </w:rPr>
              <w:t>.</w:t>
            </w:r>
          </w:p>
          <w:p w:rsidR="00ED6758" w:rsidRPr="00B10D90" w:rsidRDefault="00ED6758" w:rsidP="00ED6758">
            <w:pPr>
              <w:jc w:val="both"/>
              <w:rPr>
                <w:rFonts w:ascii="Century" w:hAnsi="Century"/>
                <w:sz w:val="22"/>
                <w:szCs w:val="22"/>
                <w:highlight w:val="yellow"/>
              </w:rPr>
            </w:pPr>
          </w:p>
          <w:p w:rsidR="003C7E79" w:rsidRPr="002B54B3" w:rsidRDefault="00ED6758" w:rsidP="00ED6758">
            <w:pPr>
              <w:jc w:val="both"/>
              <w:rPr>
                <w:rFonts w:ascii="Century" w:hAnsi="Century"/>
                <w:sz w:val="22"/>
                <w:szCs w:val="22"/>
              </w:rPr>
            </w:pPr>
            <w:r w:rsidRPr="002B54B3">
              <w:rPr>
                <w:rFonts w:ascii="Century" w:hAnsi="Century"/>
                <w:sz w:val="22"/>
                <w:szCs w:val="22"/>
              </w:rPr>
              <w:t>Yukarıda açıklanan rakamlar, sigortacılık ve bireysel emeklilik sektörleri</w:t>
            </w:r>
            <w:r w:rsidR="00F54DCB" w:rsidRPr="002B54B3">
              <w:rPr>
                <w:rFonts w:ascii="Century" w:hAnsi="Century"/>
                <w:sz w:val="22"/>
                <w:szCs w:val="22"/>
              </w:rPr>
              <w:t>n</w:t>
            </w:r>
            <w:r w:rsidR="008D2BAF" w:rsidRPr="002B54B3">
              <w:rPr>
                <w:rFonts w:ascii="Century" w:hAnsi="Century"/>
                <w:sz w:val="22"/>
                <w:szCs w:val="22"/>
              </w:rPr>
              <w:t>in</w:t>
            </w:r>
            <w:r w:rsidR="00F54DCB" w:rsidRPr="002B54B3">
              <w:rPr>
                <w:rFonts w:ascii="Century" w:hAnsi="Century"/>
                <w:sz w:val="22"/>
                <w:szCs w:val="22"/>
              </w:rPr>
              <w:t xml:space="preserve"> 201</w:t>
            </w:r>
            <w:r w:rsidR="002B54B3" w:rsidRPr="002B54B3">
              <w:rPr>
                <w:rFonts w:ascii="Century" w:hAnsi="Century"/>
                <w:sz w:val="22"/>
                <w:szCs w:val="22"/>
              </w:rPr>
              <w:t>8</w:t>
            </w:r>
            <w:r w:rsidRPr="002B54B3">
              <w:rPr>
                <w:rFonts w:ascii="Century" w:hAnsi="Century"/>
                <w:sz w:val="22"/>
                <w:szCs w:val="22"/>
              </w:rPr>
              <w:t xml:space="preserve"> yılı sonu </w:t>
            </w:r>
            <w:r w:rsidR="00354E2E" w:rsidRPr="002B54B3">
              <w:rPr>
                <w:rFonts w:ascii="Century" w:hAnsi="Century"/>
                <w:sz w:val="22"/>
                <w:szCs w:val="22"/>
              </w:rPr>
              <w:t xml:space="preserve">itibarıyla </w:t>
            </w:r>
            <w:r w:rsidR="00054176">
              <w:rPr>
                <w:rFonts w:ascii="Century" w:hAnsi="Century"/>
                <w:sz w:val="22"/>
                <w:szCs w:val="22"/>
              </w:rPr>
              <w:t>2</w:t>
            </w:r>
            <w:r w:rsidR="002B54B3" w:rsidRPr="002B54B3">
              <w:rPr>
                <w:rFonts w:ascii="Century" w:hAnsi="Century"/>
                <w:sz w:val="22"/>
                <w:szCs w:val="22"/>
              </w:rPr>
              <w:t>00</w:t>
            </w:r>
            <w:r w:rsidRPr="002B54B3">
              <w:rPr>
                <w:rFonts w:ascii="Century" w:hAnsi="Century"/>
                <w:sz w:val="22"/>
                <w:szCs w:val="22"/>
              </w:rPr>
              <w:t xml:space="preserve"> binden fazla kişiye </w:t>
            </w:r>
            <w:r w:rsidR="003C7E79" w:rsidRPr="002B54B3">
              <w:rPr>
                <w:rFonts w:ascii="Century" w:hAnsi="Century"/>
                <w:sz w:val="22"/>
                <w:szCs w:val="22"/>
              </w:rPr>
              <w:t xml:space="preserve">direkt  </w:t>
            </w:r>
            <w:r w:rsidR="008D2BAF" w:rsidRPr="002B54B3">
              <w:rPr>
                <w:rFonts w:ascii="Century" w:hAnsi="Century"/>
                <w:sz w:val="22"/>
                <w:szCs w:val="22"/>
              </w:rPr>
              <w:t>istihdam sağla</w:t>
            </w:r>
            <w:r w:rsidRPr="002B54B3">
              <w:rPr>
                <w:rFonts w:ascii="Century" w:hAnsi="Century"/>
                <w:sz w:val="22"/>
                <w:szCs w:val="22"/>
              </w:rPr>
              <w:t xml:space="preserve">dığını göstermektedir. </w:t>
            </w:r>
          </w:p>
          <w:p w:rsidR="003C7E79" w:rsidRPr="00B10D90" w:rsidRDefault="003C7E79" w:rsidP="00ED6758">
            <w:pPr>
              <w:jc w:val="both"/>
              <w:rPr>
                <w:rFonts w:ascii="Century" w:hAnsi="Century"/>
                <w:sz w:val="22"/>
                <w:szCs w:val="22"/>
                <w:highlight w:val="yellow"/>
              </w:rPr>
            </w:pPr>
          </w:p>
          <w:p w:rsidR="00C85053" w:rsidRPr="00B10D90" w:rsidRDefault="008D2BAF" w:rsidP="008D2BAF">
            <w:pPr>
              <w:jc w:val="both"/>
              <w:rPr>
                <w:rFonts w:ascii="Century" w:hAnsi="Century"/>
                <w:color w:val="000080"/>
                <w:sz w:val="22"/>
                <w:szCs w:val="22"/>
                <w:highlight w:val="yellow"/>
              </w:rPr>
            </w:pPr>
            <w:r w:rsidRPr="002B54B3">
              <w:rPr>
                <w:rFonts w:ascii="Century" w:hAnsi="Century"/>
                <w:sz w:val="22"/>
                <w:szCs w:val="22"/>
              </w:rPr>
              <w:t>Aşağıdaki tabloda s</w:t>
            </w:r>
            <w:r w:rsidR="00ED6758" w:rsidRPr="002B54B3">
              <w:rPr>
                <w:rFonts w:ascii="Century" w:hAnsi="Century"/>
                <w:sz w:val="22"/>
                <w:szCs w:val="22"/>
              </w:rPr>
              <w:t>on beş yıla ait şirket, aracı ve personel sayılarına ilişkin bilgiler verilmiştir.</w:t>
            </w:r>
          </w:p>
        </w:tc>
        <w:tc>
          <w:tcPr>
            <w:tcW w:w="236" w:type="dxa"/>
            <w:gridSpan w:val="4"/>
          </w:tcPr>
          <w:p w:rsidR="00C85053" w:rsidRPr="00B10D90" w:rsidRDefault="00C85053" w:rsidP="00EF2418">
            <w:pPr>
              <w:jc w:val="both"/>
              <w:rPr>
                <w:rFonts w:ascii="Century" w:hAnsi="Century"/>
                <w:sz w:val="22"/>
                <w:szCs w:val="22"/>
                <w:highlight w:val="yellow"/>
              </w:rPr>
            </w:pPr>
          </w:p>
        </w:tc>
        <w:tc>
          <w:tcPr>
            <w:tcW w:w="4667" w:type="dxa"/>
            <w:gridSpan w:val="4"/>
          </w:tcPr>
          <w:p w:rsidR="00ED6758" w:rsidRPr="00A62AA6" w:rsidRDefault="00ED6758" w:rsidP="00ED6758">
            <w:pPr>
              <w:jc w:val="both"/>
              <w:rPr>
                <w:rFonts w:ascii="Century" w:hAnsi="Century"/>
                <w:b/>
                <w:color w:val="003366"/>
                <w:sz w:val="22"/>
                <w:szCs w:val="22"/>
              </w:rPr>
            </w:pPr>
            <w:r w:rsidRPr="00A62AA6">
              <w:rPr>
                <w:rFonts w:ascii="Century" w:hAnsi="Century"/>
                <w:b/>
                <w:color w:val="003366"/>
                <w:sz w:val="22"/>
                <w:szCs w:val="22"/>
              </w:rPr>
              <w:t>2.</w:t>
            </w:r>
            <w:r w:rsidR="00E832EE" w:rsidRPr="00A62AA6">
              <w:rPr>
                <w:rFonts w:ascii="Century" w:hAnsi="Century"/>
                <w:b/>
                <w:color w:val="003366"/>
                <w:sz w:val="22"/>
                <w:szCs w:val="22"/>
              </w:rPr>
              <w:t>3</w:t>
            </w:r>
            <w:r w:rsidRPr="00A62AA6">
              <w:rPr>
                <w:rFonts w:ascii="Century" w:hAnsi="Century"/>
                <w:b/>
                <w:color w:val="003366"/>
                <w:sz w:val="22"/>
                <w:szCs w:val="22"/>
              </w:rPr>
              <w:t>. Employment</w:t>
            </w:r>
          </w:p>
          <w:p w:rsidR="002F1D7A" w:rsidRPr="00A62AA6" w:rsidRDefault="002F1D7A" w:rsidP="00ED6758">
            <w:pPr>
              <w:jc w:val="both"/>
              <w:rPr>
                <w:rFonts w:ascii="Century" w:hAnsi="Century"/>
                <w:b/>
                <w:color w:val="003366"/>
                <w:sz w:val="22"/>
                <w:szCs w:val="22"/>
              </w:rPr>
            </w:pPr>
          </w:p>
          <w:p w:rsidR="00ED6758" w:rsidRPr="00B824FE" w:rsidRDefault="004E3963" w:rsidP="00ED6758">
            <w:pPr>
              <w:jc w:val="both"/>
              <w:rPr>
                <w:rFonts w:ascii="Century" w:hAnsi="Century"/>
                <w:color w:val="333333"/>
                <w:sz w:val="22"/>
                <w:szCs w:val="22"/>
              </w:rPr>
            </w:pPr>
            <w:r w:rsidRPr="00A62AA6">
              <w:rPr>
                <w:rFonts w:ascii="Century" w:hAnsi="Century"/>
                <w:color w:val="333333"/>
                <w:sz w:val="22"/>
                <w:szCs w:val="22"/>
              </w:rPr>
              <w:t>In the</w:t>
            </w:r>
            <w:r w:rsidR="00A62AA6" w:rsidRPr="00A62AA6">
              <w:rPr>
                <w:rFonts w:ascii="Century" w:hAnsi="Century"/>
                <w:color w:val="333333"/>
                <w:sz w:val="22"/>
                <w:szCs w:val="22"/>
              </w:rPr>
              <w:t xml:space="preserve"> Turkish insurance market, 20</w:t>
            </w:r>
            <w:r w:rsidR="00766D35" w:rsidRPr="00A62AA6">
              <w:rPr>
                <w:rFonts w:ascii="Century" w:hAnsi="Century"/>
                <w:color w:val="333333"/>
                <w:sz w:val="22"/>
                <w:szCs w:val="22"/>
              </w:rPr>
              <w:t>,</w:t>
            </w:r>
            <w:r w:rsidR="00A62AA6" w:rsidRPr="00A62AA6">
              <w:rPr>
                <w:rFonts w:ascii="Century" w:hAnsi="Century"/>
                <w:color w:val="333333"/>
                <w:sz w:val="22"/>
                <w:szCs w:val="22"/>
              </w:rPr>
              <w:t>097</w:t>
            </w:r>
            <w:r w:rsidRPr="00A62AA6">
              <w:rPr>
                <w:rFonts w:ascii="Century" w:hAnsi="Century"/>
                <w:color w:val="333333"/>
                <w:sz w:val="22"/>
                <w:szCs w:val="22"/>
              </w:rPr>
              <w:t xml:space="preserve"> people have been hired by 6</w:t>
            </w:r>
            <w:r w:rsidR="00711A04" w:rsidRPr="00A62AA6">
              <w:rPr>
                <w:rFonts w:ascii="Century" w:hAnsi="Century"/>
                <w:color w:val="333333"/>
                <w:sz w:val="22"/>
                <w:szCs w:val="22"/>
              </w:rPr>
              <w:t>2</w:t>
            </w:r>
            <w:r w:rsidRPr="00A62AA6">
              <w:rPr>
                <w:rFonts w:ascii="Century" w:hAnsi="Century"/>
                <w:color w:val="333333"/>
                <w:sz w:val="22"/>
                <w:szCs w:val="22"/>
              </w:rPr>
              <w:t xml:space="preserve"> active insurance, reinsurance and pension </w:t>
            </w:r>
            <w:r w:rsidRPr="00D64AD6">
              <w:rPr>
                <w:rFonts w:ascii="Century" w:hAnsi="Century"/>
                <w:color w:val="333333"/>
                <w:sz w:val="22"/>
                <w:szCs w:val="22"/>
              </w:rPr>
              <w:t>companies as of December 31,</w:t>
            </w:r>
            <w:r w:rsidRPr="00D64AD6" w:rsidDel="00693A12">
              <w:rPr>
                <w:rFonts w:ascii="Century" w:hAnsi="Century"/>
                <w:color w:val="333333"/>
                <w:sz w:val="22"/>
                <w:szCs w:val="22"/>
              </w:rPr>
              <w:t xml:space="preserve"> </w:t>
            </w:r>
            <w:r w:rsidRPr="00D64AD6">
              <w:rPr>
                <w:rFonts w:ascii="Century" w:hAnsi="Century"/>
                <w:color w:val="333333"/>
                <w:sz w:val="22"/>
                <w:szCs w:val="22"/>
              </w:rPr>
              <w:t>201</w:t>
            </w:r>
            <w:r w:rsidR="00A62AA6" w:rsidRPr="00D64AD6">
              <w:rPr>
                <w:rFonts w:ascii="Century" w:hAnsi="Century"/>
                <w:color w:val="333333"/>
                <w:sz w:val="22"/>
                <w:szCs w:val="22"/>
              </w:rPr>
              <w:t>8</w:t>
            </w:r>
            <w:r w:rsidRPr="00D64AD6">
              <w:rPr>
                <w:rFonts w:ascii="Century" w:hAnsi="Century"/>
                <w:color w:val="333333"/>
                <w:sz w:val="22"/>
                <w:szCs w:val="22"/>
              </w:rPr>
              <w:t>. There are 15,</w:t>
            </w:r>
            <w:r w:rsidR="00D64AD6" w:rsidRPr="00D64AD6">
              <w:rPr>
                <w:rFonts w:ascii="Century" w:hAnsi="Century"/>
                <w:color w:val="333333"/>
                <w:sz w:val="22"/>
                <w:szCs w:val="22"/>
              </w:rPr>
              <w:t>782</w:t>
            </w:r>
            <w:r w:rsidRPr="00D64AD6">
              <w:rPr>
                <w:rFonts w:ascii="Century" w:hAnsi="Century"/>
                <w:color w:val="333333"/>
                <w:sz w:val="22"/>
                <w:szCs w:val="22"/>
              </w:rPr>
              <w:t xml:space="preserve"> insurance agencies </w:t>
            </w:r>
            <w:r w:rsidR="009B2BF4" w:rsidRPr="00D64AD6">
              <w:rPr>
                <w:rFonts w:ascii="Century" w:hAnsi="Century"/>
                <w:color w:val="333333"/>
                <w:sz w:val="22"/>
                <w:szCs w:val="22"/>
              </w:rPr>
              <w:t>wh</w:t>
            </w:r>
            <w:r w:rsidR="00E66FE6" w:rsidRPr="00D64AD6">
              <w:rPr>
                <w:rFonts w:ascii="Century" w:hAnsi="Century"/>
                <w:color w:val="333333"/>
                <w:sz w:val="22"/>
                <w:szCs w:val="22"/>
              </w:rPr>
              <w:t>ich</w:t>
            </w:r>
            <w:r w:rsidR="009B2BF4" w:rsidRPr="00D64AD6">
              <w:rPr>
                <w:rFonts w:ascii="Century" w:hAnsi="Century"/>
                <w:color w:val="333333"/>
                <w:sz w:val="22"/>
                <w:szCs w:val="22"/>
              </w:rPr>
              <w:t xml:space="preserve"> </w:t>
            </w:r>
            <w:r w:rsidRPr="00D64AD6">
              <w:rPr>
                <w:rFonts w:ascii="Century" w:hAnsi="Century"/>
                <w:color w:val="333333"/>
                <w:sz w:val="22"/>
                <w:szCs w:val="22"/>
              </w:rPr>
              <w:t xml:space="preserve">have been licensed and registered to the List and also </w:t>
            </w:r>
            <w:r w:rsidR="002C6792" w:rsidRPr="00D64AD6">
              <w:rPr>
                <w:rFonts w:ascii="Century" w:hAnsi="Century"/>
                <w:color w:val="333333"/>
                <w:sz w:val="22"/>
                <w:szCs w:val="22"/>
              </w:rPr>
              <w:t>4</w:t>
            </w:r>
            <w:r w:rsidR="00D64AD6" w:rsidRPr="00D64AD6">
              <w:rPr>
                <w:rFonts w:ascii="Century" w:hAnsi="Century"/>
                <w:color w:val="333333"/>
                <w:sz w:val="22"/>
                <w:szCs w:val="22"/>
              </w:rPr>
              <w:t>8</w:t>
            </w:r>
            <w:r w:rsidRPr="00D64AD6">
              <w:rPr>
                <w:rFonts w:ascii="Century" w:hAnsi="Century"/>
                <w:color w:val="333333"/>
                <w:sz w:val="22"/>
                <w:szCs w:val="22"/>
              </w:rPr>
              <w:t>,</w:t>
            </w:r>
            <w:r w:rsidR="00D64AD6" w:rsidRPr="00D64AD6">
              <w:rPr>
                <w:rFonts w:ascii="Century" w:hAnsi="Century"/>
                <w:color w:val="333333"/>
                <w:sz w:val="22"/>
                <w:szCs w:val="22"/>
              </w:rPr>
              <w:t>039</w:t>
            </w:r>
            <w:r w:rsidRPr="00D64AD6">
              <w:rPr>
                <w:rFonts w:ascii="Century" w:hAnsi="Century"/>
                <w:color w:val="333333"/>
                <w:sz w:val="22"/>
                <w:szCs w:val="22"/>
              </w:rPr>
              <w:t xml:space="preserve"> </w:t>
            </w:r>
            <w:r w:rsidR="003A4066" w:rsidRPr="00D64AD6">
              <w:rPr>
                <w:rFonts w:ascii="Century" w:hAnsi="Century"/>
                <w:color w:val="333333"/>
                <w:sz w:val="22"/>
                <w:szCs w:val="22"/>
              </w:rPr>
              <w:t xml:space="preserve">authorised </w:t>
            </w:r>
            <w:r w:rsidRPr="00D64AD6">
              <w:rPr>
                <w:rFonts w:ascii="Century" w:hAnsi="Century"/>
                <w:color w:val="333333"/>
                <w:sz w:val="22"/>
                <w:szCs w:val="22"/>
              </w:rPr>
              <w:t xml:space="preserve">pension </w:t>
            </w:r>
            <w:r w:rsidR="003A4066" w:rsidRPr="00D64AD6">
              <w:rPr>
                <w:rFonts w:ascii="Century" w:hAnsi="Century"/>
                <w:color w:val="333333"/>
                <w:sz w:val="22"/>
                <w:szCs w:val="22"/>
              </w:rPr>
              <w:t>agent</w:t>
            </w:r>
            <w:r w:rsidR="00486895" w:rsidRPr="00D64AD6">
              <w:rPr>
                <w:rFonts w:ascii="Century" w:hAnsi="Century"/>
                <w:color w:val="333333"/>
                <w:sz w:val="22"/>
                <w:szCs w:val="22"/>
              </w:rPr>
              <w:t>s</w:t>
            </w:r>
            <w:r w:rsidRPr="00D64AD6">
              <w:rPr>
                <w:rFonts w:ascii="Century" w:hAnsi="Century"/>
                <w:color w:val="333333"/>
                <w:sz w:val="22"/>
                <w:szCs w:val="22"/>
              </w:rPr>
              <w:t xml:space="preserve"> have been registered to Pension Monitoring Center (EGM). The </w:t>
            </w:r>
            <w:r w:rsidR="00D64AD6" w:rsidRPr="00D64AD6">
              <w:rPr>
                <w:rFonts w:ascii="Century" w:hAnsi="Century"/>
                <w:color w:val="333333"/>
                <w:sz w:val="22"/>
                <w:szCs w:val="22"/>
              </w:rPr>
              <w:t>n</w:t>
            </w:r>
            <w:r w:rsidR="002A48AC">
              <w:rPr>
                <w:rFonts w:ascii="Century" w:hAnsi="Century"/>
                <w:color w:val="333333"/>
                <w:sz w:val="22"/>
                <w:szCs w:val="22"/>
              </w:rPr>
              <w:t xml:space="preserve">umber of licensed brokers </w:t>
            </w:r>
            <w:r w:rsidR="002A48AC" w:rsidRPr="002A48AC">
              <w:rPr>
                <w:rFonts w:ascii="Century" w:hAnsi="Century"/>
                <w:color w:val="333333"/>
                <w:sz w:val="22"/>
                <w:szCs w:val="22"/>
              </w:rPr>
              <w:t>is 142</w:t>
            </w:r>
            <w:r w:rsidRPr="002A48AC">
              <w:rPr>
                <w:rFonts w:ascii="Century" w:hAnsi="Century"/>
                <w:color w:val="333333"/>
                <w:sz w:val="22"/>
                <w:szCs w:val="22"/>
              </w:rPr>
              <w:t xml:space="preserve"> and 8</w:t>
            </w:r>
            <w:r w:rsidR="002A48AC" w:rsidRPr="002A48AC">
              <w:rPr>
                <w:rFonts w:ascii="Century" w:hAnsi="Century"/>
                <w:color w:val="333333"/>
                <w:sz w:val="22"/>
                <w:szCs w:val="22"/>
              </w:rPr>
              <w:t>8</w:t>
            </w:r>
            <w:r w:rsidRPr="002A48AC">
              <w:rPr>
                <w:rFonts w:ascii="Century" w:hAnsi="Century"/>
                <w:color w:val="333333"/>
                <w:sz w:val="22"/>
                <w:szCs w:val="22"/>
              </w:rPr>
              <w:t xml:space="preserve"> of them operate both in insurance and reinsurance activities </w:t>
            </w:r>
            <w:r w:rsidR="006C5F7C" w:rsidRPr="002A48AC">
              <w:rPr>
                <w:rFonts w:ascii="Century" w:hAnsi="Century"/>
                <w:color w:val="333333"/>
                <w:sz w:val="22"/>
                <w:szCs w:val="22"/>
              </w:rPr>
              <w:t>while 4</w:t>
            </w:r>
            <w:r w:rsidR="001839F9" w:rsidRPr="002A48AC">
              <w:rPr>
                <w:rFonts w:ascii="Century" w:hAnsi="Century"/>
                <w:color w:val="333333"/>
                <w:sz w:val="22"/>
                <w:szCs w:val="22"/>
              </w:rPr>
              <w:t>8</w:t>
            </w:r>
            <w:r w:rsidRPr="002A48AC">
              <w:rPr>
                <w:rFonts w:ascii="Century" w:hAnsi="Century"/>
                <w:color w:val="333333"/>
                <w:sz w:val="22"/>
                <w:szCs w:val="22"/>
              </w:rPr>
              <w:t xml:space="preserve"> solely i</w:t>
            </w:r>
            <w:r w:rsidR="002A48AC" w:rsidRPr="002A48AC">
              <w:rPr>
                <w:rFonts w:ascii="Century" w:hAnsi="Century"/>
                <w:color w:val="333333"/>
                <w:sz w:val="22"/>
                <w:szCs w:val="22"/>
              </w:rPr>
              <w:t>n insurance and 6</w:t>
            </w:r>
            <w:r w:rsidRPr="002A48AC">
              <w:rPr>
                <w:rFonts w:ascii="Century" w:hAnsi="Century"/>
                <w:color w:val="333333"/>
                <w:sz w:val="22"/>
                <w:szCs w:val="22"/>
              </w:rPr>
              <w:t xml:space="preserve"> just is reinsurance side. As for loss adjuster, there are 1,2</w:t>
            </w:r>
            <w:r w:rsidR="002B54B3" w:rsidRPr="002A48AC">
              <w:rPr>
                <w:rFonts w:ascii="Century" w:hAnsi="Century"/>
                <w:color w:val="333333"/>
                <w:sz w:val="22"/>
                <w:szCs w:val="22"/>
              </w:rPr>
              <w:t>43</w:t>
            </w:r>
            <w:r w:rsidRPr="002A48AC">
              <w:rPr>
                <w:rFonts w:ascii="Century" w:hAnsi="Century"/>
                <w:color w:val="333333"/>
                <w:sz w:val="22"/>
                <w:szCs w:val="22"/>
              </w:rPr>
              <w:t xml:space="preserve"> </w:t>
            </w:r>
            <w:r w:rsidR="00CC3634" w:rsidRPr="002A48AC">
              <w:rPr>
                <w:rFonts w:ascii="Century" w:hAnsi="Century"/>
                <w:color w:val="333333"/>
                <w:sz w:val="22"/>
                <w:szCs w:val="22"/>
              </w:rPr>
              <w:t>people</w:t>
            </w:r>
            <w:r w:rsidRPr="002A48AC">
              <w:rPr>
                <w:rFonts w:ascii="Century" w:hAnsi="Century"/>
                <w:color w:val="333333"/>
                <w:sz w:val="22"/>
                <w:szCs w:val="22"/>
              </w:rPr>
              <w:t>,</w:t>
            </w:r>
            <w:r w:rsidRPr="002B54B3">
              <w:rPr>
                <w:rFonts w:ascii="Century" w:hAnsi="Century"/>
                <w:color w:val="333333"/>
                <w:sz w:val="22"/>
                <w:szCs w:val="22"/>
              </w:rPr>
              <w:t xml:space="preserve"> </w:t>
            </w:r>
            <w:r w:rsidR="008A081C" w:rsidRPr="002B54B3">
              <w:rPr>
                <w:rFonts w:ascii="Century" w:hAnsi="Century"/>
                <w:color w:val="333333"/>
                <w:sz w:val="22"/>
                <w:szCs w:val="22"/>
              </w:rPr>
              <w:t>4</w:t>
            </w:r>
            <w:r w:rsidR="002B54B3">
              <w:rPr>
                <w:rFonts w:ascii="Century" w:hAnsi="Century"/>
                <w:color w:val="333333"/>
                <w:sz w:val="22"/>
                <w:szCs w:val="22"/>
              </w:rPr>
              <w:t>35</w:t>
            </w:r>
            <w:r w:rsidR="008A081C" w:rsidRPr="002B54B3">
              <w:rPr>
                <w:rFonts w:ascii="Century" w:hAnsi="Century"/>
                <w:color w:val="333333"/>
                <w:sz w:val="22"/>
                <w:szCs w:val="22"/>
              </w:rPr>
              <w:t xml:space="preserve"> </w:t>
            </w:r>
            <w:r w:rsidRPr="002B54B3">
              <w:rPr>
                <w:rFonts w:ascii="Century" w:hAnsi="Century"/>
                <w:color w:val="333333"/>
                <w:sz w:val="22"/>
                <w:szCs w:val="22"/>
              </w:rPr>
              <w:t xml:space="preserve">of which work independently and </w:t>
            </w:r>
            <w:r w:rsidR="002B54B3">
              <w:rPr>
                <w:rFonts w:ascii="Century" w:hAnsi="Century"/>
                <w:color w:val="333333"/>
                <w:sz w:val="22"/>
                <w:szCs w:val="22"/>
              </w:rPr>
              <w:t>808</w:t>
            </w:r>
            <w:r w:rsidRPr="002B54B3">
              <w:rPr>
                <w:rFonts w:ascii="Century" w:hAnsi="Century"/>
                <w:color w:val="333333"/>
                <w:sz w:val="22"/>
                <w:szCs w:val="22"/>
              </w:rPr>
              <w:t xml:space="preserve"> work under a legal entity </w:t>
            </w:r>
            <w:r w:rsidR="008A081C" w:rsidRPr="002B54B3">
              <w:rPr>
                <w:rFonts w:ascii="Century" w:hAnsi="Century"/>
                <w:color w:val="333333"/>
                <w:sz w:val="22"/>
                <w:szCs w:val="22"/>
              </w:rPr>
              <w:t>by</w:t>
            </w:r>
            <w:r w:rsidRPr="002B54B3">
              <w:rPr>
                <w:rFonts w:ascii="Century" w:hAnsi="Century"/>
                <w:color w:val="333333"/>
                <w:sz w:val="22"/>
                <w:szCs w:val="22"/>
              </w:rPr>
              <w:t xml:space="preserve"> the end of 201</w:t>
            </w:r>
            <w:r w:rsidR="002B54B3" w:rsidRPr="002B54B3">
              <w:rPr>
                <w:rFonts w:ascii="Century" w:hAnsi="Century"/>
                <w:color w:val="333333"/>
                <w:sz w:val="22"/>
                <w:szCs w:val="22"/>
              </w:rPr>
              <w:t>8</w:t>
            </w:r>
            <w:r w:rsidR="001839F9" w:rsidRPr="002B54B3">
              <w:rPr>
                <w:rFonts w:ascii="Century" w:hAnsi="Century"/>
                <w:color w:val="333333"/>
                <w:sz w:val="22"/>
                <w:szCs w:val="22"/>
              </w:rPr>
              <w:t>. There are also 3</w:t>
            </w:r>
            <w:r w:rsidRPr="002B54B3">
              <w:rPr>
                <w:rFonts w:ascii="Century" w:hAnsi="Century"/>
                <w:color w:val="333333"/>
                <w:sz w:val="22"/>
                <w:szCs w:val="22"/>
              </w:rPr>
              <w:t>,</w:t>
            </w:r>
            <w:r w:rsidR="002B54B3" w:rsidRPr="002B54B3">
              <w:rPr>
                <w:rFonts w:ascii="Century" w:hAnsi="Century"/>
                <w:color w:val="333333"/>
                <w:sz w:val="22"/>
                <w:szCs w:val="22"/>
              </w:rPr>
              <w:t>26</w:t>
            </w:r>
            <w:r w:rsidR="001839F9" w:rsidRPr="002B54B3">
              <w:rPr>
                <w:rFonts w:ascii="Century" w:hAnsi="Century"/>
                <w:color w:val="333333"/>
                <w:sz w:val="22"/>
                <w:szCs w:val="22"/>
              </w:rPr>
              <w:t>0</w:t>
            </w:r>
            <w:r w:rsidRPr="002B54B3">
              <w:rPr>
                <w:rFonts w:ascii="Century" w:hAnsi="Century"/>
                <w:color w:val="333333"/>
                <w:sz w:val="22"/>
                <w:szCs w:val="22"/>
              </w:rPr>
              <w:t xml:space="preserve"> agricultural loss adjusters </w:t>
            </w:r>
            <w:r w:rsidR="008A081C" w:rsidRPr="002B54B3">
              <w:rPr>
                <w:rFonts w:ascii="Century" w:hAnsi="Century"/>
                <w:color w:val="333333"/>
                <w:sz w:val="22"/>
                <w:szCs w:val="22"/>
              </w:rPr>
              <w:t xml:space="preserve">by the end of the </w:t>
            </w:r>
            <w:r w:rsidR="008A081C" w:rsidRPr="003E7A00">
              <w:rPr>
                <w:rFonts w:ascii="Century" w:hAnsi="Century"/>
                <w:color w:val="333333"/>
                <w:sz w:val="22"/>
                <w:szCs w:val="22"/>
              </w:rPr>
              <w:t>year</w:t>
            </w:r>
            <w:r w:rsidRPr="003E7A00">
              <w:rPr>
                <w:rFonts w:ascii="Century" w:hAnsi="Century"/>
                <w:color w:val="333333"/>
                <w:sz w:val="22"/>
                <w:szCs w:val="22"/>
              </w:rPr>
              <w:t>. The number of listed actuaries is 1</w:t>
            </w:r>
            <w:r w:rsidR="00B824FE" w:rsidRPr="003E7A00">
              <w:rPr>
                <w:rFonts w:ascii="Century" w:hAnsi="Century"/>
                <w:color w:val="333333"/>
                <w:sz w:val="22"/>
                <w:szCs w:val="22"/>
              </w:rPr>
              <w:t>49</w:t>
            </w:r>
            <w:r w:rsidRPr="003E7A00">
              <w:rPr>
                <w:rFonts w:ascii="Century" w:hAnsi="Century"/>
                <w:color w:val="333333"/>
                <w:sz w:val="22"/>
                <w:szCs w:val="22"/>
              </w:rPr>
              <w:t xml:space="preserve"> and </w:t>
            </w:r>
            <w:r w:rsidR="003E7A00" w:rsidRPr="003E7A00">
              <w:rPr>
                <w:rFonts w:ascii="Century" w:hAnsi="Century"/>
                <w:color w:val="333333"/>
                <w:sz w:val="22"/>
                <w:szCs w:val="22"/>
              </w:rPr>
              <w:t>4</w:t>
            </w:r>
            <w:r w:rsidR="00324E3D">
              <w:rPr>
                <w:rFonts w:ascii="Century" w:hAnsi="Century"/>
                <w:color w:val="333333"/>
                <w:sz w:val="22"/>
                <w:szCs w:val="22"/>
              </w:rPr>
              <w:t>0</w:t>
            </w:r>
            <w:r w:rsidRPr="003E7A00">
              <w:rPr>
                <w:rFonts w:ascii="Century" w:hAnsi="Century"/>
                <w:color w:val="333333"/>
                <w:sz w:val="22"/>
                <w:szCs w:val="22"/>
              </w:rPr>
              <w:t xml:space="preserve"> of</w:t>
            </w:r>
            <w:r w:rsidRPr="00B824FE">
              <w:rPr>
                <w:rFonts w:ascii="Century" w:hAnsi="Century"/>
                <w:color w:val="333333"/>
                <w:sz w:val="22"/>
                <w:szCs w:val="22"/>
              </w:rPr>
              <w:t xml:space="preserve"> them </w:t>
            </w:r>
            <w:r w:rsidR="008A081C" w:rsidRPr="00B824FE">
              <w:rPr>
                <w:rFonts w:ascii="Century" w:hAnsi="Century"/>
                <w:color w:val="333333"/>
                <w:sz w:val="22"/>
                <w:szCs w:val="22"/>
              </w:rPr>
              <w:t xml:space="preserve">are actively working </w:t>
            </w:r>
            <w:r w:rsidRPr="00B824FE">
              <w:rPr>
                <w:rFonts w:ascii="Century" w:hAnsi="Century"/>
                <w:color w:val="333333"/>
                <w:sz w:val="22"/>
                <w:szCs w:val="22"/>
              </w:rPr>
              <w:t xml:space="preserve">in the market </w:t>
            </w:r>
            <w:r w:rsidR="008A081C" w:rsidRPr="00B824FE">
              <w:rPr>
                <w:rFonts w:ascii="Century" w:hAnsi="Century"/>
                <w:color w:val="333333"/>
                <w:sz w:val="22"/>
                <w:szCs w:val="22"/>
              </w:rPr>
              <w:t>by</w:t>
            </w:r>
            <w:r w:rsidRPr="00B824FE">
              <w:rPr>
                <w:rFonts w:ascii="Century" w:hAnsi="Century"/>
                <w:color w:val="333333"/>
                <w:sz w:val="22"/>
                <w:szCs w:val="22"/>
              </w:rPr>
              <w:t xml:space="preserve"> the end of 201</w:t>
            </w:r>
            <w:r w:rsidR="00B824FE" w:rsidRPr="00B824FE">
              <w:rPr>
                <w:rFonts w:ascii="Century" w:hAnsi="Century"/>
                <w:color w:val="333333"/>
                <w:sz w:val="22"/>
                <w:szCs w:val="22"/>
              </w:rPr>
              <w:t>8</w:t>
            </w:r>
            <w:r w:rsidR="00ED6758" w:rsidRPr="00B824FE">
              <w:rPr>
                <w:rFonts w:ascii="Century" w:hAnsi="Century"/>
                <w:color w:val="333333"/>
                <w:sz w:val="22"/>
                <w:szCs w:val="22"/>
              </w:rPr>
              <w:t xml:space="preserve">. </w:t>
            </w:r>
          </w:p>
          <w:p w:rsidR="00ED6758" w:rsidRPr="00B10D90" w:rsidRDefault="00ED6758" w:rsidP="00ED6758">
            <w:pPr>
              <w:jc w:val="both"/>
              <w:rPr>
                <w:rFonts w:ascii="Century" w:hAnsi="Century"/>
                <w:color w:val="333333"/>
                <w:sz w:val="22"/>
                <w:szCs w:val="22"/>
                <w:highlight w:val="yellow"/>
              </w:rPr>
            </w:pPr>
          </w:p>
          <w:p w:rsidR="003C7E79" w:rsidRPr="002B54B3" w:rsidRDefault="00B77EFD" w:rsidP="00ED6758">
            <w:pPr>
              <w:jc w:val="both"/>
              <w:rPr>
                <w:rFonts w:ascii="Century" w:hAnsi="Century"/>
                <w:color w:val="333333"/>
                <w:sz w:val="22"/>
                <w:szCs w:val="22"/>
              </w:rPr>
            </w:pPr>
            <w:r w:rsidRPr="002B54B3">
              <w:rPr>
                <w:rFonts w:ascii="Century" w:hAnsi="Century"/>
                <w:color w:val="333333"/>
                <w:sz w:val="22"/>
                <w:szCs w:val="22"/>
              </w:rPr>
              <w:t xml:space="preserve">The statements above have shown that </w:t>
            </w:r>
            <w:r w:rsidR="00D57B10" w:rsidRPr="002B54B3">
              <w:rPr>
                <w:rFonts w:ascii="Century" w:hAnsi="Century"/>
                <w:color w:val="333333"/>
                <w:sz w:val="22"/>
                <w:szCs w:val="22"/>
              </w:rPr>
              <w:t xml:space="preserve">the </w:t>
            </w:r>
            <w:r w:rsidR="00ED6758" w:rsidRPr="002B54B3">
              <w:rPr>
                <w:rFonts w:ascii="Century" w:hAnsi="Century"/>
                <w:color w:val="333333"/>
                <w:sz w:val="22"/>
                <w:szCs w:val="22"/>
              </w:rPr>
              <w:t xml:space="preserve">insurance and </w:t>
            </w:r>
            <w:r w:rsidR="00CA747D" w:rsidRPr="002B54B3">
              <w:rPr>
                <w:rFonts w:ascii="Century" w:hAnsi="Century"/>
                <w:color w:val="333333"/>
                <w:sz w:val="22"/>
                <w:szCs w:val="22"/>
              </w:rPr>
              <w:t>private</w:t>
            </w:r>
            <w:r w:rsidR="00ED6758" w:rsidRPr="002B54B3">
              <w:rPr>
                <w:rFonts w:ascii="Century" w:hAnsi="Century"/>
                <w:color w:val="333333"/>
                <w:sz w:val="22"/>
                <w:szCs w:val="22"/>
              </w:rPr>
              <w:t xml:space="preserve"> pension sectors</w:t>
            </w:r>
            <w:r w:rsidR="000B409D" w:rsidRPr="002B54B3">
              <w:rPr>
                <w:rFonts w:ascii="Century" w:hAnsi="Century"/>
                <w:color w:val="333333"/>
                <w:sz w:val="22"/>
                <w:szCs w:val="22"/>
              </w:rPr>
              <w:t xml:space="preserve"> </w:t>
            </w:r>
            <w:r w:rsidRPr="002B54B3">
              <w:rPr>
                <w:rFonts w:ascii="Century" w:hAnsi="Century"/>
                <w:color w:val="333333"/>
                <w:sz w:val="22"/>
                <w:szCs w:val="22"/>
              </w:rPr>
              <w:t xml:space="preserve">in Turkey </w:t>
            </w:r>
            <w:r w:rsidR="004E3963" w:rsidRPr="002B54B3">
              <w:rPr>
                <w:rFonts w:ascii="Century" w:hAnsi="Century"/>
                <w:color w:val="333333"/>
                <w:sz w:val="22"/>
                <w:szCs w:val="22"/>
              </w:rPr>
              <w:t>hire</w:t>
            </w:r>
            <w:r w:rsidR="000B409D" w:rsidRPr="002B54B3">
              <w:rPr>
                <w:rFonts w:ascii="Century" w:hAnsi="Century"/>
                <w:color w:val="333333"/>
                <w:sz w:val="22"/>
                <w:szCs w:val="22"/>
              </w:rPr>
              <w:t xml:space="preserve"> more than </w:t>
            </w:r>
            <w:r w:rsidR="00676DFB">
              <w:rPr>
                <w:rFonts w:ascii="Century" w:hAnsi="Century"/>
                <w:color w:val="333333"/>
                <w:sz w:val="22"/>
                <w:szCs w:val="22"/>
              </w:rPr>
              <w:t>2</w:t>
            </w:r>
            <w:r w:rsidR="002B54B3" w:rsidRPr="002B54B3">
              <w:rPr>
                <w:rFonts w:ascii="Century" w:hAnsi="Century"/>
                <w:color w:val="333333"/>
                <w:sz w:val="22"/>
                <w:szCs w:val="22"/>
              </w:rPr>
              <w:t>0</w:t>
            </w:r>
            <w:r w:rsidR="000B409D" w:rsidRPr="002B54B3">
              <w:rPr>
                <w:rFonts w:ascii="Century" w:hAnsi="Century"/>
                <w:color w:val="333333"/>
                <w:sz w:val="22"/>
                <w:szCs w:val="22"/>
              </w:rPr>
              <w:t>0,</w:t>
            </w:r>
            <w:r w:rsidR="00ED6758" w:rsidRPr="002B54B3">
              <w:rPr>
                <w:rFonts w:ascii="Century" w:hAnsi="Century"/>
                <w:color w:val="333333"/>
                <w:sz w:val="22"/>
                <w:szCs w:val="22"/>
              </w:rPr>
              <w:t>000 people</w:t>
            </w:r>
            <w:r w:rsidR="000B409D" w:rsidRPr="002B54B3">
              <w:rPr>
                <w:rFonts w:ascii="Century" w:hAnsi="Century"/>
                <w:color w:val="333333"/>
                <w:sz w:val="22"/>
                <w:szCs w:val="22"/>
              </w:rPr>
              <w:t xml:space="preserve"> directly</w:t>
            </w:r>
            <w:r w:rsidR="00ED6758" w:rsidRPr="002B54B3">
              <w:rPr>
                <w:rFonts w:ascii="Century" w:hAnsi="Century"/>
                <w:color w:val="333333"/>
                <w:sz w:val="22"/>
                <w:szCs w:val="22"/>
              </w:rPr>
              <w:t xml:space="preserve">. </w:t>
            </w:r>
          </w:p>
          <w:p w:rsidR="003C7E79" w:rsidRPr="00B10D90" w:rsidRDefault="003C7E79" w:rsidP="00ED6758">
            <w:pPr>
              <w:jc w:val="both"/>
              <w:rPr>
                <w:rFonts w:ascii="Century" w:hAnsi="Century"/>
                <w:color w:val="333333"/>
                <w:sz w:val="22"/>
                <w:szCs w:val="22"/>
                <w:highlight w:val="yellow"/>
              </w:rPr>
            </w:pPr>
          </w:p>
          <w:p w:rsidR="00C85053" w:rsidRPr="00B10D90" w:rsidRDefault="00ED6758" w:rsidP="004E3963">
            <w:pPr>
              <w:jc w:val="both"/>
              <w:rPr>
                <w:rFonts w:ascii="Century" w:hAnsi="Century"/>
                <w:b/>
                <w:color w:val="003366"/>
                <w:sz w:val="22"/>
                <w:szCs w:val="22"/>
                <w:highlight w:val="yellow"/>
              </w:rPr>
            </w:pPr>
            <w:r w:rsidRPr="002B54B3">
              <w:rPr>
                <w:rFonts w:ascii="Century" w:hAnsi="Century"/>
                <w:color w:val="333333"/>
                <w:sz w:val="22"/>
                <w:szCs w:val="22"/>
              </w:rPr>
              <w:t>In the table</w:t>
            </w:r>
            <w:r w:rsidR="000B409D" w:rsidRPr="002B54B3">
              <w:rPr>
                <w:rFonts w:ascii="Century" w:hAnsi="Century"/>
                <w:color w:val="333333"/>
                <w:sz w:val="22"/>
                <w:szCs w:val="22"/>
              </w:rPr>
              <w:t xml:space="preserve"> below</w:t>
            </w:r>
            <w:r w:rsidRPr="002B54B3">
              <w:rPr>
                <w:rFonts w:ascii="Century" w:hAnsi="Century"/>
                <w:color w:val="333333"/>
                <w:sz w:val="22"/>
                <w:szCs w:val="22"/>
              </w:rPr>
              <w:t xml:space="preserve">, </w:t>
            </w:r>
            <w:r w:rsidR="000B409D" w:rsidRPr="002B54B3">
              <w:rPr>
                <w:rFonts w:ascii="Century" w:hAnsi="Century"/>
                <w:color w:val="333333"/>
                <w:sz w:val="22"/>
                <w:szCs w:val="22"/>
              </w:rPr>
              <w:t xml:space="preserve">the number of </w:t>
            </w:r>
            <w:r w:rsidRPr="002B54B3">
              <w:rPr>
                <w:rFonts w:ascii="Century" w:hAnsi="Century"/>
                <w:color w:val="333333"/>
                <w:sz w:val="22"/>
                <w:szCs w:val="22"/>
              </w:rPr>
              <w:t xml:space="preserve">companies, intermediaries, loss adjusters and employees </w:t>
            </w:r>
            <w:r w:rsidR="004E3963" w:rsidRPr="002B54B3">
              <w:rPr>
                <w:rFonts w:ascii="Century" w:hAnsi="Century"/>
                <w:color w:val="333333"/>
                <w:sz w:val="22"/>
                <w:szCs w:val="22"/>
              </w:rPr>
              <w:t>are</w:t>
            </w:r>
            <w:r w:rsidRPr="002B54B3">
              <w:rPr>
                <w:rFonts w:ascii="Century" w:hAnsi="Century"/>
                <w:color w:val="333333"/>
                <w:sz w:val="22"/>
                <w:szCs w:val="22"/>
              </w:rPr>
              <w:t xml:space="preserve"> shown for the last five years.</w:t>
            </w:r>
          </w:p>
        </w:tc>
      </w:tr>
      <w:tr w:rsidR="00ED6758" w:rsidRPr="00B10D90" w:rsidTr="00441D50">
        <w:trPr>
          <w:gridAfter w:val="2"/>
          <w:wAfter w:w="38" w:type="dxa"/>
          <w:trHeight w:val="163"/>
        </w:trPr>
        <w:tc>
          <w:tcPr>
            <w:tcW w:w="4917" w:type="dxa"/>
            <w:gridSpan w:val="6"/>
          </w:tcPr>
          <w:p w:rsidR="00ED6758" w:rsidRPr="00327B97" w:rsidRDefault="00ED6758" w:rsidP="00327B97">
            <w:pPr>
              <w:jc w:val="both"/>
              <w:rPr>
                <w:rFonts w:ascii="Century" w:hAnsi="Century"/>
                <w:color w:val="000080"/>
                <w:sz w:val="22"/>
                <w:szCs w:val="22"/>
                <w:highlight w:val="yellow"/>
              </w:rPr>
            </w:pPr>
          </w:p>
        </w:tc>
        <w:tc>
          <w:tcPr>
            <w:tcW w:w="236" w:type="dxa"/>
            <w:gridSpan w:val="4"/>
          </w:tcPr>
          <w:p w:rsidR="00ED6758" w:rsidRPr="00B10D90" w:rsidRDefault="00ED6758" w:rsidP="00EF2418">
            <w:pPr>
              <w:jc w:val="both"/>
              <w:rPr>
                <w:rFonts w:ascii="Century" w:hAnsi="Century"/>
                <w:sz w:val="22"/>
                <w:szCs w:val="22"/>
                <w:highlight w:val="yellow"/>
              </w:rPr>
            </w:pPr>
          </w:p>
        </w:tc>
        <w:tc>
          <w:tcPr>
            <w:tcW w:w="4667" w:type="dxa"/>
            <w:gridSpan w:val="4"/>
          </w:tcPr>
          <w:p w:rsidR="00ED6758" w:rsidRPr="00B10D90" w:rsidRDefault="00ED6758" w:rsidP="00ED6758">
            <w:pPr>
              <w:jc w:val="both"/>
              <w:rPr>
                <w:rFonts w:ascii="Century" w:hAnsi="Century"/>
                <w:b/>
                <w:color w:val="003366"/>
                <w:sz w:val="22"/>
                <w:szCs w:val="22"/>
                <w:highlight w:val="yellow"/>
              </w:rPr>
            </w:pPr>
          </w:p>
        </w:tc>
      </w:tr>
      <w:tr w:rsidR="00ED6758" w:rsidRPr="00B10D90" w:rsidTr="00441D50">
        <w:trPr>
          <w:gridAfter w:val="2"/>
          <w:wAfter w:w="38" w:type="dxa"/>
          <w:trHeight w:val="1624"/>
        </w:trPr>
        <w:tc>
          <w:tcPr>
            <w:tcW w:w="9820" w:type="dxa"/>
            <w:gridSpan w:val="14"/>
          </w:tcPr>
          <w:p w:rsidR="00ED6758" w:rsidRDefault="00ED6758" w:rsidP="00ED6758">
            <w:pPr>
              <w:jc w:val="center"/>
              <w:rPr>
                <w:rFonts w:ascii="Century" w:hAnsi="Century" w:cs="Arial TUR"/>
                <w:bCs/>
                <w:i/>
                <w:color w:val="000080"/>
                <w:sz w:val="20"/>
                <w:szCs w:val="20"/>
              </w:rPr>
            </w:pPr>
            <w:r w:rsidRPr="006D314D">
              <w:rPr>
                <w:rFonts w:ascii="Century" w:hAnsi="Century"/>
                <w:b/>
                <w:color w:val="000080"/>
                <w:sz w:val="20"/>
                <w:szCs w:val="20"/>
              </w:rPr>
              <w:t>Tablo 2.</w:t>
            </w:r>
            <w:r w:rsidR="005D0DBF" w:rsidRPr="006D314D">
              <w:rPr>
                <w:rFonts w:ascii="Century" w:hAnsi="Century"/>
                <w:b/>
                <w:color w:val="000080"/>
                <w:sz w:val="20"/>
                <w:szCs w:val="20"/>
              </w:rPr>
              <w:t>3</w:t>
            </w:r>
            <w:r w:rsidRPr="006D314D">
              <w:rPr>
                <w:rFonts w:ascii="Century" w:hAnsi="Century"/>
                <w:b/>
                <w:color w:val="000080"/>
                <w:sz w:val="20"/>
                <w:szCs w:val="20"/>
              </w:rPr>
              <w:t>.</w:t>
            </w:r>
            <w:r w:rsidR="005D0DBF" w:rsidRPr="006D314D">
              <w:rPr>
                <w:rFonts w:ascii="Century" w:hAnsi="Century"/>
                <w:b/>
                <w:color w:val="000080"/>
                <w:sz w:val="20"/>
                <w:szCs w:val="20"/>
              </w:rPr>
              <w:t>1</w:t>
            </w:r>
            <w:r w:rsidRPr="006D314D">
              <w:rPr>
                <w:rFonts w:ascii="Century" w:hAnsi="Century"/>
                <w:b/>
                <w:color w:val="000080"/>
                <w:sz w:val="20"/>
                <w:szCs w:val="20"/>
              </w:rPr>
              <w:t xml:space="preserve">: </w:t>
            </w:r>
            <w:r w:rsidRPr="006D314D">
              <w:rPr>
                <w:rFonts w:ascii="Century" w:hAnsi="Century" w:cs="Arial TUR"/>
                <w:b/>
                <w:bCs/>
                <w:color w:val="000080"/>
                <w:sz w:val="20"/>
                <w:szCs w:val="20"/>
              </w:rPr>
              <w:t xml:space="preserve">Sektörün İstihdam Durumu – </w:t>
            </w:r>
            <w:r w:rsidRPr="006D314D">
              <w:rPr>
                <w:rFonts w:ascii="Century" w:hAnsi="Century" w:cs="Arial TUR"/>
                <w:bCs/>
                <w:i/>
                <w:color w:val="000080"/>
                <w:sz w:val="20"/>
                <w:szCs w:val="20"/>
              </w:rPr>
              <w:t>Capacity of Employement of the Market</w:t>
            </w:r>
          </w:p>
          <w:p w:rsidR="00054176" w:rsidRDefault="00054176" w:rsidP="00ED6758">
            <w:pPr>
              <w:jc w:val="center"/>
              <w:rPr>
                <w:rFonts w:ascii="Century" w:hAnsi="Century" w:cs="Arial TUR"/>
                <w:bCs/>
                <w:i/>
                <w:color w:val="000080"/>
                <w:sz w:val="20"/>
                <w:szCs w:val="20"/>
              </w:rPr>
            </w:pPr>
            <w:r>
              <w:rPr>
                <w:rFonts w:ascii="Century" w:hAnsi="Century" w:cs="Arial TUR"/>
                <w:bCs/>
                <w:i/>
                <w:noProof/>
                <w:color w:val="000080"/>
                <w:sz w:val="20"/>
                <w:szCs w:val="20"/>
              </w:rPr>
              <w:drawing>
                <wp:inline distT="0" distB="0" distL="0" distR="0" wp14:anchorId="069C3417" wp14:editId="3186F78D">
                  <wp:extent cx="6098650" cy="2162754"/>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540" cy="2162715"/>
                          </a:xfrm>
                          <a:prstGeom prst="rect">
                            <a:avLst/>
                          </a:prstGeom>
                          <a:noFill/>
                          <a:ln>
                            <a:noFill/>
                          </a:ln>
                        </pic:spPr>
                      </pic:pic>
                    </a:graphicData>
                  </a:graphic>
                </wp:inline>
              </w:drawing>
            </w:r>
          </w:p>
          <w:p w:rsidR="00ED6758" w:rsidRPr="006D314D" w:rsidRDefault="00ED6758" w:rsidP="00ED6758">
            <w:pPr>
              <w:jc w:val="both"/>
              <w:rPr>
                <w:rFonts w:ascii="Century" w:hAnsi="Century"/>
                <w:i/>
                <w:sz w:val="16"/>
                <w:szCs w:val="16"/>
              </w:rPr>
            </w:pPr>
            <w:r w:rsidRPr="006D314D">
              <w:rPr>
                <w:rFonts w:ascii="Century" w:hAnsi="Century"/>
                <w:sz w:val="16"/>
                <w:szCs w:val="16"/>
              </w:rPr>
              <w:t xml:space="preserve">(*) Prim ve katkı payı üretiminde bulunmayan şirketler hariç – </w:t>
            </w:r>
            <w:r w:rsidRPr="006D314D">
              <w:rPr>
                <w:rFonts w:ascii="Century" w:hAnsi="Century"/>
                <w:i/>
                <w:sz w:val="16"/>
                <w:szCs w:val="16"/>
              </w:rPr>
              <w:t>Ex</w:t>
            </w:r>
            <w:r w:rsidR="006B4B78" w:rsidRPr="006D314D">
              <w:rPr>
                <w:rFonts w:ascii="Century" w:hAnsi="Century"/>
                <w:i/>
                <w:sz w:val="16"/>
                <w:szCs w:val="16"/>
              </w:rPr>
              <w:t>c</w:t>
            </w:r>
            <w:r w:rsidRPr="006D314D">
              <w:rPr>
                <w:rFonts w:ascii="Century" w:hAnsi="Century"/>
                <w:i/>
                <w:sz w:val="16"/>
                <w:szCs w:val="16"/>
              </w:rPr>
              <w:t>luded inactive insurance and pension companies.</w:t>
            </w:r>
          </w:p>
          <w:p w:rsidR="00C923AA" w:rsidRPr="006D314D" w:rsidRDefault="00C923AA" w:rsidP="00F16EBF">
            <w:pPr>
              <w:jc w:val="both"/>
              <w:rPr>
                <w:rFonts w:ascii="Century" w:hAnsi="Century"/>
                <w:b/>
                <w:color w:val="003366"/>
                <w:sz w:val="22"/>
                <w:szCs w:val="22"/>
              </w:rPr>
            </w:pPr>
            <w:r w:rsidRPr="006D314D">
              <w:rPr>
                <w:rFonts w:ascii="Century" w:hAnsi="Century"/>
                <w:sz w:val="16"/>
                <w:szCs w:val="16"/>
              </w:rPr>
              <w:t xml:space="preserve">(**) </w:t>
            </w:r>
            <w:r w:rsidR="009C741D" w:rsidRPr="006D314D">
              <w:rPr>
                <w:rFonts w:ascii="Century" w:hAnsi="Century"/>
                <w:sz w:val="16"/>
                <w:szCs w:val="16"/>
              </w:rPr>
              <w:t>Lisanslı aracı sayısı</w:t>
            </w:r>
            <w:r w:rsidRPr="006D314D">
              <w:rPr>
                <w:rFonts w:ascii="Century" w:hAnsi="Century"/>
                <w:sz w:val="16"/>
                <w:szCs w:val="16"/>
              </w:rPr>
              <w:t xml:space="preserve"> – </w:t>
            </w:r>
            <w:r w:rsidRPr="006D314D">
              <w:rPr>
                <w:rFonts w:ascii="Century" w:hAnsi="Century"/>
                <w:i/>
                <w:sz w:val="16"/>
                <w:szCs w:val="16"/>
              </w:rPr>
              <w:t>No. of</w:t>
            </w:r>
            <w:r w:rsidR="00F16EBF" w:rsidRPr="006D314D">
              <w:rPr>
                <w:rFonts w:ascii="Century" w:hAnsi="Century"/>
                <w:i/>
                <w:sz w:val="16"/>
                <w:szCs w:val="16"/>
              </w:rPr>
              <w:t xml:space="preserve"> licensed</w:t>
            </w:r>
            <w:r w:rsidR="00BB1F7E" w:rsidRPr="006D314D">
              <w:rPr>
                <w:rFonts w:ascii="Century" w:hAnsi="Century"/>
                <w:i/>
                <w:sz w:val="16"/>
                <w:szCs w:val="16"/>
              </w:rPr>
              <w:t xml:space="preserve"> pension intermediaries </w:t>
            </w:r>
          </w:p>
        </w:tc>
      </w:tr>
      <w:tr w:rsidR="009212BB" w:rsidRPr="00B10D90" w:rsidTr="00441D50">
        <w:trPr>
          <w:gridAfter w:val="2"/>
          <w:wAfter w:w="38" w:type="dxa"/>
          <w:trHeight w:val="163"/>
        </w:trPr>
        <w:tc>
          <w:tcPr>
            <w:tcW w:w="4917" w:type="dxa"/>
            <w:gridSpan w:val="6"/>
          </w:tcPr>
          <w:p w:rsidR="009212BB" w:rsidRPr="00004236" w:rsidRDefault="009212BB" w:rsidP="009212BB">
            <w:pPr>
              <w:pStyle w:val="Style2"/>
              <w:numPr>
                <w:ilvl w:val="0"/>
                <w:numId w:val="1"/>
              </w:numPr>
              <w:tabs>
                <w:tab w:val="clear" w:pos="752"/>
              </w:tabs>
              <w:spacing w:before="0" w:after="0"/>
              <w:ind w:left="252" w:hanging="240"/>
              <w:jc w:val="both"/>
              <w:rPr>
                <w:color w:val="000080"/>
                <w:sz w:val="22"/>
                <w:szCs w:val="22"/>
              </w:rPr>
            </w:pPr>
            <w:bookmarkStart w:id="184" w:name="_Toc358380194"/>
            <w:bookmarkStart w:id="185" w:name="_Toc12957664"/>
            <w:r w:rsidRPr="00004236">
              <w:rPr>
                <w:color w:val="000080"/>
                <w:sz w:val="22"/>
                <w:szCs w:val="22"/>
              </w:rPr>
              <w:lastRenderedPageBreak/>
              <w:t>FİNANSAL VE TEKNİK ANALİZ</w:t>
            </w:r>
            <w:bookmarkEnd w:id="184"/>
            <w:bookmarkEnd w:id="185"/>
          </w:p>
          <w:p w:rsidR="009212BB" w:rsidRPr="00327B97" w:rsidRDefault="009212BB" w:rsidP="00327B97">
            <w:pPr>
              <w:pStyle w:val="Style2"/>
              <w:numPr>
                <w:ilvl w:val="0"/>
                <w:numId w:val="0"/>
              </w:numPr>
              <w:spacing w:before="0" w:after="0"/>
              <w:ind w:left="12"/>
              <w:jc w:val="both"/>
              <w:rPr>
                <w:b w:val="0"/>
                <w:color w:val="000080"/>
                <w:sz w:val="22"/>
                <w:szCs w:val="22"/>
              </w:rPr>
            </w:pPr>
          </w:p>
          <w:p w:rsidR="009212BB" w:rsidRPr="00004236" w:rsidRDefault="009212BB" w:rsidP="0005626D">
            <w:pPr>
              <w:pStyle w:val="Heading2"/>
              <w:tabs>
                <w:tab w:val="left" w:pos="394"/>
                <w:tab w:val="left" w:pos="536"/>
              </w:tabs>
              <w:spacing w:before="0" w:after="0"/>
              <w:ind w:left="110" w:hanging="110"/>
              <w:rPr>
                <w:rFonts w:ascii="Century" w:hAnsi="Century"/>
                <w:i w:val="0"/>
                <w:color w:val="000080"/>
                <w:sz w:val="22"/>
                <w:szCs w:val="22"/>
              </w:rPr>
            </w:pPr>
            <w:bookmarkStart w:id="186" w:name="_Toc358380195"/>
            <w:bookmarkStart w:id="187" w:name="_Toc12957665"/>
            <w:r w:rsidRPr="00004236">
              <w:rPr>
                <w:rFonts w:ascii="Century" w:hAnsi="Century"/>
                <w:i w:val="0"/>
                <w:color w:val="000080"/>
                <w:sz w:val="22"/>
                <w:szCs w:val="22"/>
              </w:rPr>
              <w:t>Özet Finansal Tablo Verileri</w:t>
            </w:r>
            <w:bookmarkEnd w:id="186"/>
            <w:bookmarkEnd w:id="187"/>
          </w:p>
          <w:p w:rsidR="009212BB" w:rsidRPr="00004236" w:rsidRDefault="009212BB" w:rsidP="009212BB"/>
          <w:p w:rsidR="009212BB" w:rsidRPr="00004236" w:rsidRDefault="009212BB" w:rsidP="00F330E3">
            <w:pPr>
              <w:pStyle w:val="Heading3"/>
              <w:keepNext w:val="0"/>
              <w:spacing w:before="0" w:after="0"/>
              <w:ind w:left="0"/>
              <w:jc w:val="both"/>
              <w:rPr>
                <w:rFonts w:ascii="Century" w:hAnsi="Century"/>
                <w:color w:val="000080"/>
                <w:sz w:val="22"/>
                <w:szCs w:val="22"/>
              </w:rPr>
            </w:pPr>
            <w:bookmarkStart w:id="188" w:name="_Toc358380196"/>
            <w:bookmarkStart w:id="189" w:name="_Toc12957666"/>
            <w:r w:rsidRPr="00004236">
              <w:rPr>
                <w:rFonts w:ascii="Century" w:hAnsi="Century"/>
                <w:color w:val="000080"/>
                <w:sz w:val="22"/>
                <w:szCs w:val="22"/>
              </w:rPr>
              <w:t>Varlık</w:t>
            </w:r>
            <w:r w:rsidR="00805F78" w:rsidRPr="00004236">
              <w:rPr>
                <w:rFonts w:ascii="Century" w:hAnsi="Century"/>
                <w:color w:val="000080"/>
                <w:sz w:val="22"/>
                <w:szCs w:val="22"/>
              </w:rPr>
              <w:t>lar</w:t>
            </w:r>
            <w:bookmarkEnd w:id="188"/>
            <w:bookmarkEnd w:id="189"/>
          </w:p>
          <w:p w:rsidR="009212BB" w:rsidRPr="00004236" w:rsidRDefault="009212BB" w:rsidP="009212BB"/>
          <w:p w:rsidR="00000865" w:rsidRDefault="009E4138" w:rsidP="00AC442A">
            <w:pPr>
              <w:jc w:val="both"/>
              <w:rPr>
                <w:rFonts w:ascii="Century" w:hAnsi="Century"/>
                <w:sz w:val="22"/>
                <w:szCs w:val="22"/>
              </w:rPr>
            </w:pPr>
            <w:r w:rsidRPr="00004236">
              <w:rPr>
                <w:rFonts w:ascii="Century" w:hAnsi="Century"/>
                <w:sz w:val="22"/>
                <w:szCs w:val="22"/>
              </w:rPr>
              <w:t>Sigortacılık ve bireysel emekl</w:t>
            </w:r>
            <w:r w:rsidR="00004236" w:rsidRPr="00004236">
              <w:rPr>
                <w:rFonts w:ascii="Century" w:hAnsi="Century"/>
                <w:sz w:val="22"/>
                <w:szCs w:val="22"/>
              </w:rPr>
              <w:t>ilik sektörü varlık toplamı 2018 yılında %17</w:t>
            </w:r>
            <w:proofErr w:type="gramStart"/>
            <w:r w:rsidR="00E66FE6" w:rsidRPr="00004236">
              <w:rPr>
                <w:rFonts w:ascii="Century" w:hAnsi="Century"/>
                <w:sz w:val="22"/>
                <w:szCs w:val="22"/>
              </w:rPr>
              <w:t>,</w:t>
            </w:r>
            <w:r w:rsidR="00004236" w:rsidRPr="00004236">
              <w:rPr>
                <w:rFonts w:ascii="Century" w:hAnsi="Century"/>
                <w:sz w:val="22"/>
                <w:szCs w:val="22"/>
              </w:rPr>
              <w:t>1</w:t>
            </w:r>
            <w:proofErr w:type="gramEnd"/>
            <w:r w:rsidR="00004236" w:rsidRPr="00004236">
              <w:rPr>
                <w:rFonts w:ascii="Century" w:hAnsi="Century"/>
                <w:sz w:val="22"/>
                <w:szCs w:val="22"/>
              </w:rPr>
              <w:t xml:space="preserve"> oranında artarak </w:t>
            </w:r>
            <w:r w:rsidR="00004236" w:rsidRPr="0090495F">
              <w:rPr>
                <w:rFonts w:ascii="Century" w:hAnsi="Century"/>
                <w:sz w:val="22"/>
                <w:szCs w:val="22"/>
              </w:rPr>
              <w:t>178</w:t>
            </w:r>
            <w:r w:rsidR="006329A1" w:rsidRPr="0090495F">
              <w:rPr>
                <w:rFonts w:ascii="Century" w:hAnsi="Century"/>
                <w:sz w:val="22"/>
                <w:szCs w:val="22"/>
              </w:rPr>
              <w:t>,</w:t>
            </w:r>
            <w:r w:rsidR="00004236" w:rsidRPr="0090495F">
              <w:rPr>
                <w:rFonts w:ascii="Century" w:hAnsi="Century"/>
                <w:sz w:val="22"/>
                <w:szCs w:val="22"/>
              </w:rPr>
              <w:t>4</w:t>
            </w:r>
            <w:r w:rsidRPr="0090495F">
              <w:rPr>
                <w:rFonts w:ascii="Century" w:hAnsi="Century"/>
                <w:sz w:val="22"/>
                <w:szCs w:val="22"/>
              </w:rPr>
              <w:t xml:space="preserve"> milyar TL’ye yükselmiştir. </w:t>
            </w:r>
            <w:r w:rsidR="00434011" w:rsidRPr="0090495F">
              <w:rPr>
                <w:rFonts w:ascii="Century" w:hAnsi="Century"/>
                <w:sz w:val="22"/>
                <w:szCs w:val="22"/>
              </w:rPr>
              <w:t xml:space="preserve">Emeklilik fonlarının etkisiyle </w:t>
            </w:r>
            <w:r w:rsidR="00705E1F" w:rsidRPr="0090495F">
              <w:rPr>
                <w:rFonts w:ascii="Century" w:hAnsi="Century"/>
                <w:sz w:val="22"/>
                <w:szCs w:val="22"/>
              </w:rPr>
              <w:t>hayat</w:t>
            </w:r>
            <w:r w:rsidRPr="0090495F">
              <w:rPr>
                <w:rFonts w:ascii="Century" w:hAnsi="Century"/>
                <w:sz w:val="22"/>
                <w:szCs w:val="22"/>
              </w:rPr>
              <w:t>/emeklilik şirketlerinin sektördeki payları</w:t>
            </w:r>
            <w:r w:rsidR="00434011" w:rsidRPr="0090495F">
              <w:rPr>
                <w:rFonts w:ascii="Century" w:hAnsi="Century"/>
                <w:sz w:val="22"/>
                <w:szCs w:val="22"/>
              </w:rPr>
              <w:t xml:space="preserve"> %60’ın üzerinde gerçekleşmektedir. </w:t>
            </w:r>
            <w:r w:rsidRPr="0090495F">
              <w:rPr>
                <w:rFonts w:ascii="Century" w:hAnsi="Century"/>
                <w:sz w:val="22"/>
                <w:szCs w:val="22"/>
              </w:rPr>
              <w:t>Söz konusu şirketlerin sektör t</w:t>
            </w:r>
            <w:r w:rsidR="00E05D16" w:rsidRPr="0090495F">
              <w:rPr>
                <w:rFonts w:ascii="Century" w:hAnsi="Century"/>
                <w:sz w:val="22"/>
                <w:szCs w:val="22"/>
              </w:rPr>
              <w:t>oplam varlığı içindeki payı 201</w:t>
            </w:r>
            <w:r w:rsidR="00434011" w:rsidRPr="0090495F">
              <w:rPr>
                <w:rFonts w:ascii="Century" w:hAnsi="Century"/>
                <w:sz w:val="22"/>
                <w:szCs w:val="22"/>
              </w:rPr>
              <w:t>4 yılında %62</w:t>
            </w:r>
            <w:r w:rsidRPr="0090495F">
              <w:rPr>
                <w:rFonts w:ascii="Century" w:hAnsi="Century"/>
                <w:sz w:val="22"/>
                <w:szCs w:val="22"/>
              </w:rPr>
              <w:t>,</w:t>
            </w:r>
            <w:r w:rsidR="00434011" w:rsidRPr="0090495F">
              <w:rPr>
                <w:rFonts w:ascii="Century" w:hAnsi="Century"/>
                <w:sz w:val="22"/>
                <w:szCs w:val="22"/>
              </w:rPr>
              <w:t>7</w:t>
            </w:r>
            <w:r w:rsidRPr="0090495F">
              <w:rPr>
                <w:rFonts w:ascii="Century" w:hAnsi="Century"/>
                <w:sz w:val="22"/>
                <w:szCs w:val="22"/>
              </w:rPr>
              <w:t xml:space="preserve"> iken, bireysel emeklilik faaliyetindeki son yılla</w:t>
            </w:r>
            <w:r w:rsidR="00E05D16" w:rsidRPr="0090495F">
              <w:rPr>
                <w:rFonts w:ascii="Century" w:hAnsi="Century"/>
                <w:sz w:val="22"/>
                <w:szCs w:val="22"/>
              </w:rPr>
              <w:t>rdaki hızlı artış sayesinde 201</w:t>
            </w:r>
            <w:r w:rsidR="00434011" w:rsidRPr="0090495F">
              <w:rPr>
                <w:rFonts w:ascii="Century" w:hAnsi="Century"/>
                <w:sz w:val="22"/>
                <w:szCs w:val="22"/>
              </w:rPr>
              <w:t>8</w:t>
            </w:r>
            <w:r w:rsidR="00E05D16" w:rsidRPr="0090495F">
              <w:rPr>
                <w:rFonts w:ascii="Century" w:hAnsi="Century"/>
                <w:sz w:val="22"/>
                <w:szCs w:val="22"/>
              </w:rPr>
              <w:t xml:space="preserve"> </w:t>
            </w:r>
            <w:r w:rsidR="00434011" w:rsidRPr="0090495F">
              <w:rPr>
                <w:rFonts w:ascii="Century" w:hAnsi="Century"/>
                <w:sz w:val="22"/>
                <w:szCs w:val="22"/>
              </w:rPr>
              <w:t>yılı sonunda %63</w:t>
            </w:r>
            <w:r w:rsidRPr="0090495F">
              <w:rPr>
                <w:rFonts w:ascii="Century" w:hAnsi="Century"/>
                <w:sz w:val="22"/>
                <w:szCs w:val="22"/>
              </w:rPr>
              <w:t>,</w:t>
            </w:r>
            <w:r w:rsidR="00434011" w:rsidRPr="0090495F">
              <w:rPr>
                <w:rFonts w:ascii="Century" w:hAnsi="Century"/>
                <w:sz w:val="22"/>
                <w:szCs w:val="22"/>
              </w:rPr>
              <w:t>7</w:t>
            </w:r>
            <w:r w:rsidRPr="0090495F">
              <w:rPr>
                <w:rFonts w:ascii="Century" w:hAnsi="Century"/>
                <w:sz w:val="22"/>
                <w:szCs w:val="22"/>
              </w:rPr>
              <w:t>’</w:t>
            </w:r>
            <w:r w:rsidR="00434011" w:rsidRPr="0090495F">
              <w:rPr>
                <w:rFonts w:ascii="Century" w:hAnsi="Century"/>
                <w:sz w:val="22"/>
                <w:szCs w:val="22"/>
              </w:rPr>
              <w:t>ye</w:t>
            </w:r>
            <w:r w:rsidRPr="0090495F">
              <w:rPr>
                <w:rFonts w:ascii="Century" w:hAnsi="Century"/>
                <w:sz w:val="22"/>
                <w:szCs w:val="22"/>
              </w:rPr>
              <w:t xml:space="preserve"> yükselmiştir. Aynı</w:t>
            </w:r>
            <w:r w:rsidRPr="00434011">
              <w:rPr>
                <w:rFonts w:ascii="Century" w:hAnsi="Century"/>
                <w:sz w:val="22"/>
                <w:szCs w:val="22"/>
              </w:rPr>
              <w:t xml:space="preserve"> tarih itibarı</w:t>
            </w:r>
            <w:r w:rsidR="00E05D16" w:rsidRPr="00434011">
              <w:rPr>
                <w:rFonts w:ascii="Century" w:hAnsi="Century"/>
                <w:sz w:val="22"/>
                <w:szCs w:val="22"/>
              </w:rPr>
              <w:t>yla sektör varlık toplamının %3</w:t>
            </w:r>
            <w:r w:rsidR="00434011" w:rsidRPr="00434011">
              <w:rPr>
                <w:rFonts w:ascii="Century" w:hAnsi="Century"/>
                <w:sz w:val="22"/>
                <w:szCs w:val="22"/>
              </w:rPr>
              <w:t>4</w:t>
            </w:r>
            <w:proofErr w:type="gramStart"/>
            <w:r w:rsidR="00E05D16" w:rsidRPr="00434011">
              <w:rPr>
                <w:rFonts w:ascii="Century" w:hAnsi="Century"/>
                <w:sz w:val="22"/>
                <w:szCs w:val="22"/>
              </w:rPr>
              <w:t>,</w:t>
            </w:r>
            <w:r w:rsidR="00434011" w:rsidRPr="00434011">
              <w:rPr>
                <w:rFonts w:ascii="Century" w:hAnsi="Century"/>
                <w:sz w:val="22"/>
                <w:szCs w:val="22"/>
              </w:rPr>
              <w:t>1</w:t>
            </w:r>
            <w:r w:rsidRPr="00434011">
              <w:rPr>
                <w:rFonts w:ascii="Century" w:hAnsi="Century"/>
                <w:sz w:val="22"/>
                <w:szCs w:val="22"/>
              </w:rPr>
              <w:t>’i</w:t>
            </w:r>
            <w:proofErr w:type="gramEnd"/>
            <w:r w:rsidRPr="00434011">
              <w:rPr>
                <w:rFonts w:ascii="Century" w:hAnsi="Century"/>
                <w:sz w:val="22"/>
                <w:szCs w:val="22"/>
              </w:rPr>
              <w:t xml:space="preserve"> hayat dışı </w:t>
            </w:r>
            <w:r w:rsidR="00434011" w:rsidRPr="00434011">
              <w:rPr>
                <w:rFonts w:ascii="Century" w:hAnsi="Century"/>
                <w:sz w:val="22"/>
                <w:szCs w:val="22"/>
              </w:rPr>
              <w:t>sigorta şirketlerine, kalan %2,2</w:t>
            </w:r>
            <w:r w:rsidRPr="00434011">
              <w:rPr>
                <w:rFonts w:ascii="Century" w:hAnsi="Century"/>
                <w:sz w:val="22"/>
                <w:szCs w:val="22"/>
              </w:rPr>
              <w:t>’</w:t>
            </w:r>
            <w:r w:rsidR="00434011" w:rsidRPr="00434011">
              <w:rPr>
                <w:rFonts w:ascii="Century" w:hAnsi="Century"/>
                <w:sz w:val="22"/>
                <w:szCs w:val="22"/>
              </w:rPr>
              <w:t>si</w:t>
            </w:r>
            <w:r w:rsidRPr="00434011">
              <w:rPr>
                <w:rFonts w:ascii="Century" w:hAnsi="Century"/>
                <w:sz w:val="22"/>
                <w:szCs w:val="22"/>
              </w:rPr>
              <w:t xml:space="preserve"> ise reasürans şirket</w:t>
            </w:r>
            <w:r w:rsidR="00B3310D" w:rsidRPr="00434011">
              <w:rPr>
                <w:rFonts w:ascii="Century" w:hAnsi="Century"/>
                <w:sz w:val="22"/>
                <w:szCs w:val="22"/>
              </w:rPr>
              <w:t>ler</w:t>
            </w:r>
            <w:r w:rsidRPr="00434011">
              <w:rPr>
                <w:rFonts w:ascii="Century" w:hAnsi="Century"/>
                <w:sz w:val="22"/>
                <w:szCs w:val="22"/>
              </w:rPr>
              <w:t>ine ait bulunmaktadır.</w:t>
            </w:r>
          </w:p>
          <w:p w:rsidR="007C21AF" w:rsidRPr="00D05548" w:rsidRDefault="007C21AF" w:rsidP="00AC442A">
            <w:pPr>
              <w:jc w:val="both"/>
              <w:rPr>
                <w:rFonts w:ascii="Century" w:hAnsi="Century"/>
                <w:sz w:val="22"/>
                <w:szCs w:val="22"/>
              </w:rPr>
            </w:pPr>
          </w:p>
          <w:p w:rsidR="00064E6C" w:rsidRDefault="00B070F6" w:rsidP="007C21AF">
            <w:pPr>
              <w:jc w:val="both"/>
              <w:rPr>
                <w:rFonts w:ascii="Century" w:hAnsi="Century"/>
                <w:sz w:val="22"/>
                <w:szCs w:val="22"/>
              </w:rPr>
            </w:pPr>
            <w:r w:rsidRPr="00434011">
              <w:rPr>
                <w:rFonts w:ascii="Century" w:hAnsi="Century"/>
                <w:sz w:val="22"/>
                <w:szCs w:val="22"/>
              </w:rPr>
              <w:t>Aşağıdaki grafikte</w:t>
            </w:r>
            <w:r w:rsidR="00F93F69" w:rsidRPr="00434011">
              <w:rPr>
                <w:rFonts w:ascii="Century" w:hAnsi="Century"/>
                <w:sz w:val="22"/>
                <w:szCs w:val="22"/>
              </w:rPr>
              <w:t xml:space="preserve">, toplam aktiflerin şirket grupları bazında dağılımı </w:t>
            </w:r>
            <w:r w:rsidR="00AC442A" w:rsidRPr="00434011">
              <w:rPr>
                <w:rFonts w:ascii="Century" w:hAnsi="Century"/>
                <w:sz w:val="22"/>
                <w:szCs w:val="22"/>
              </w:rPr>
              <w:t>gösterilmiştir.</w:t>
            </w:r>
          </w:p>
          <w:p w:rsidR="00D05548" w:rsidRPr="00B10D90" w:rsidRDefault="00D05548" w:rsidP="007C21AF">
            <w:pPr>
              <w:jc w:val="both"/>
              <w:rPr>
                <w:rFonts w:ascii="Century" w:hAnsi="Century"/>
                <w:i/>
                <w:color w:val="000080"/>
                <w:sz w:val="22"/>
                <w:szCs w:val="22"/>
                <w:highlight w:val="yellow"/>
              </w:rPr>
            </w:pPr>
          </w:p>
        </w:tc>
        <w:tc>
          <w:tcPr>
            <w:tcW w:w="236" w:type="dxa"/>
            <w:gridSpan w:val="4"/>
          </w:tcPr>
          <w:p w:rsidR="009212BB" w:rsidRPr="00B10D90" w:rsidRDefault="009212BB" w:rsidP="00EF2418">
            <w:pPr>
              <w:jc w:val="both"/>
              <w:rPr>
                <w:rFonts w:ascii="Century" w:hAnsi="Century"/>
                <w:sz w:val="22"/>
                <w:szCs w:val="22"/>
                <w:highlight w:val="yellow"/>
              </w:rPr>
            </w:pPr>
          </w:p>
        </w:tc>
        <w:tc>
          <w:tcPr>
            <w:tcW w:w="4667" w:type="dxa"/>
            <w:gridSpan w:val="4"/>
          </w:tcPr>
          <w:p w:rsidR="009212BB" w:rsidRPr="00004236" w:rsidRDefault="009212BB" w:rsidP="009212BB">
            <w:pPr>
              <w:jc w:val="both"/>
              <w:rPr>
                <w:rFonts w:ascii="Century" w:hAnsi="Century"/>
                <w:b/>
                <w:color w:val="003366"/>
                <w:sz w:val="22"/>
                <w:szCs w:val="22"/>
              </w:rPr>
            </w:pPr>
            <w:r w:rsidRPr="00004236">
              <w:rPr>
                <w:rFonts w:ascii="Century" w:hAnsi="Century"/>
                <w:b/>
                <w:color w:val="003366"/>
                <w:sz w:val="22"/>
                <w:szCs w:val="22"/>
              </w:rPr>
              <w:t>3. FINANCIAL / TECHNICAL ANALYSIS</w:t>
            </w:r>
          </w:p>
          <w:p w:rsidR="009212BB" w:rsidRPr="00004236" w:rsidRDefault="009212BB" w:rsidP="009212BB">
            <w:pPr>
              <w:jc w:val="both"/>
              <w:rPr>
                <w:rFonts w:ascii="Century" w:hAnsi="Century"/>
                <w:b/>
                <w:color w:val="003366"/>
                <w:sz w:val="22"/>
                <w:szCs w:val="22"/>
              </w:rPr>
            </w:pPr>
          </w:p>
          <w:p w:rsidR="009212BB" w:rsidRPr="00004236" w:rsidRDefault="009212BB" w:rsidP="009212BB">
            <w:pPr>
              <w:jc w:val="both"/>
              <w:rPr>
                <w:rFonts w:ascii="Century" w:hAnsi="Century"/>
                <w:b/>
                <w:color w:val="003366"/>
                <w:sz w:val="22"/>
                <w:szCs w:val="22"/>
              </w:rPr>
            </w:pPr>
            <w:r w:rsidRPr="00004236">
              <w:rPr>
                <w:rFonts w:ascii="Century" w:hAnsi="Century"/>
                <w:b/>
                <w:color w:val="003366"/>
                <w:sz w:val="22"/>
                <w:szCs w:val="22"/>
              </w:rPr>
              <w:t xml:space="preserve">3.1 </w:t>
            </w:r>
            <w:r w:rsidR="008A13F0" w:rsidRPr="00004236">
              <w:rPr>
                <w:rFonts w:ascii="Century" w:hAnsi="Century"/>
                <w:b/>
                <w:color w:val="003366"/>
                <w:sz w:val="22"/>
                <w:szCs w:val="22"/>
              </w:rPr>
              <w:t>Financial Indicators</w:t>
            </w:r>
          </w:p>
          <w:p w:rsidR="009212BB" w:rsidRPr="00004236" w:rsidRDefault="009212BB" w:rsidP="00ED6758">
            <w:pPr>
              <w:jc w:val="both"/>
              <w:rPr>
                <w:rFonts w:ascii="Century" w:hAnsi="Century"/>
                <w:b/>
                <w:color w:val="003366"/>
                <w:sz w:val="22"/>
                <w:szCs w:val="22"/>
              </w:rPr>
            </w:pPr>
          </w:p>
          <w:p w:rsidR="009212BB" w:rsidRPr="00004236" w:rsidRDefault="009212BB" w:rsidP="009212BB">
            <w:pPr>
              <w:jc w:val="both"/>
              <w:rPr>
                <w:rFonts w:ascii="Century" w:hAnsi="Century"/>
                <w:b/>
                <w:color w:val="003366"/>
                <w:sz w:val="22"/>
                <w:szCs w:val="22"/>
              </w:rPr>
            </w:pPr>
            <w:r w:rsidRPr="00004236">
              <w:rPr>
                <w:rFonts w:ascii="Century" w:hAnsi="Century"/>
                <w:b/>
                <w:color w:val="003366"/>
                <w:sz w:val="22"/>
                <w:szCs w:val="22"/>
              </w:rPr>
              <w:t>3.1.1. Assets</w:t>
            </w:r>
          </w:p>
          <w:p w:rsidR="009212BB" w:rsidRPr="00B10D90" w:rsidRDefault="009212BB" w:rsidP="00ED6758">
            <w:pPr>
              <w:jc w:val="both"/>
              <w:rPr>
                <w:rFonts w:ascii="Century" w:hAnsi="Century"/>
                <w:b/>
                <w:color w:val="003366"/>
                <w:sz w:val="22"/>
                <w:szCs w:val="22"/>
                <w:highlight w:val="yellow"/>
              </w:rPr>
            </w:pPr>
          </w:p>
          <w:p w:rsidR="009E4138" w:rsidRPr="00B10D90" w:rsidRDefault="009E4138" w:rsidP="009E4138">
            <w:pPr>
              <w:jc w:val="both"/>
              <w:rPr>
                <w:rFonts w:ascii="Century" w:hAnsi="Century"/>
                <w:color w:val="333333"/>
                <w:sz w:val="22"/>
                <w:szCs w:val="22"/>
                <w:highlight w:val="yellow"/>
              </w:rPr>
            </w:pPr>
            <w:r w:rsidRPr="00004236">
              <w:rPr>
                <w:rFonts w:ascii="Century" w:hAnsi="Century"/>
                <w:color w:val="333333"/>
                <w:sz w:val="22"/>
                <w:szCs w:val="22"/>
              </w:rPr>
              <w:t>Total assets of insurance, reinsurance and p</w:t>
            </w:r>
            <w:r w:rsidR="00963DD4" w:rsidRPr="00004236">
              <w:rPr>
                <w:rFonts w:ascii="Century" w:hAnsi="Century"/>
                <w:color w:val="333333"/>
                <w:sz w:val="22"/>
                <w:szCs w:val="22"/>
              </w:rPr>
              <w:t>ension companies have reached</w:t>
            </w:r>
            <w:r w:rsidRPr="00004236">
              <w:rPr>
                <w:rFonts w:ascii="Century" w:hAnsi="Century"/>
                <w:color w:val="333333"/>
                <w:sz w:val="22"/>
                <w:szCs w:val="22"/>
              </w:rPr>
              <w:t xml:space="preserve"> </w:t>
            </w:r>
            <w:r w:rsidRPr="00004236">
              <w:rPr>
                <w:rFonts w:ascii="AbakuTLSymSans" w:hAnsi="AbakuTLSymSans" w:cs="Arial"/>
                <w:bCs/>
                <w:color w:val="333333"/>
                <w:sz w:val="20"/>
                <w:szCs w:val="20"/>
              </w:rPr>
              <w:t>¨</w:t>
            </w:r>
            <w:r w:rsidR="006329A1" w:rsidRPr="00004236">
              <w:rPr>
                <w:rFonts w:ascii="Century" w:hAnsi="Century" w:cs="Arial"/>
                <w:bCs/>
                <w:color w:val="333333"/>
                <w:sz w:val="22"/>
                <w:szCs w:val="22"/>
              </w:rPr>
              <w:t>1</w:t>
            </w:r>
            <w:r w:rsidR="00004236" w:rsidRPr="00004236">
              <w:rPr>
                <w:rFonts w:ascii="Century" w:hAnsi="Century" w:cs="Arial"/>
                <w:bCs/>
                <w:color w:val="333333"/>
                <w:sz w:val="22"/>
                <w:szCs w:val="22"/>
              </w:rPr>
              <w:t>78</w:t>
            </w:r>
            <w:r w:rsidRPr="00004236">
              <w:rPr>
                <w:rFonts w:ascii="Century" w:hAnsi="Century" w:cs="Arial"/>
                <w:bCs/>
                <w:color w:val="333333"/>
                <w:sz w:val="22"/>
                <w:szCs w:val="22"/>
              </w:rPr>
              <w:t>.</w:t>
            </w:r>
            <w:r w:rsidR="00004236" w:rsidRPr="00004236">
              <w:rPr>
                <w:rFonts w:ascii="Century" w:hAnsi="Century" w:cs="Arial"/>
                <w:bCs/>
                <w:color w:val="333333"/>
                <w:sz w:val="22"/>
                <w:szCs w:val="22"/>
              </w:rPr>
              <w:t>4</w:t>
            </w:r>
            <w:r w:rsidR="00004236" w:rsidRPr="00004236">
              <w:rPr>
                <w:rFonts w:ascii="Century" w:hAnsi="Century"/>
                <w:color w:val="333333"/>
                <w:sz w:val="22"/>
                <w:szCs w:val="22"/>
              </w:rPr>
              <w:t xml:space="preserve"> billion by an increase of 17</w:t>
            </w:r>
            <w:r w:rsidR="006329A1" w:rsidRPr="00004236">
              <w:rPr>
                <w:rFonts w:ascii="Century" w:hAnsi="Century"/>
                <w:color w:val="333333"/>
                <w:sz w:val="22"/>
                <w:szCs w:val="22"/>
              </w:rPr>
              <w:t>.</w:t>
            </w:r>
            <w:r w:rsidR="00004236" w:rsidRPr="00004236">
              <w:rPr>
                <w:rFonts w:ascii="Century" w:hAnsi="Century"/>
                <w:color w:val="333333"/>
                <w:sz w:val="22"/>
                <w:szCs w:val="22"/>
              </w:rPr>
              <w:t>1</w:t>
            </w:r>
            <w:r w:rsidR="00CC3634" w:rsidRPr="00004236">
              <w:rPr>
                <w:rFonts w:ascii="Century" w:hAnsi="Century"/>
                <w:bCs/>
                <w:color w:val="333333"/>
                <w:sz w:val="22"/>
                <w:szCs w:val="22"/>
              </w:rPr>
              <w:t>%</w:t>
            </w:r>
            <w:r w:rsidR="006329A1" w:rsidRPr="00004236">
              <w:rPr>
                <w:rFonts w:ascii="Century" w:hAnsi="Century"/>
                <w:color w:val="333333"/>
                <w:sz w:val="22"/>
                <w:szCs w:val="22"/>
              </w:rPr>
              <w:t xml:space="preserve"> at the end of 201</w:t>
            </w:r>
            <w:r w:rsidR="00004236" w:rsidRPr="00004236">
              <w:rPr>
                <w:rFonts w:ascii="Century" w:hAnsi="Century"/>
                <w:color w:val="333333"/>
                <w:sz w:val="22"/>
                <w:szCs w:val="22"/>
              </w:rPr>
              <w:t>8</w:t>
            </w:r>
            <w:r w:rsidRPr="00004236">
              <w:rPr>
                <w:rFonts w:ascii="Century" w:hAnsi="Century"/>
                <w:color w:val="333333"/>
                <w:sz w:val="22"/>
                <w:szCs w:val="22"/>
              </w:rPr>
              <w:t xml:space="preserve">. </w:t>
            </w:r>
            <w:r w:rsidR="0090495F" w:rsidRPr="0090495F">
              <w:rPr>
                <w:rFonts w:ascii="Century" w:hAnsi="Century"/>
                <w:color w:val="333333"/>
                <w:sz w:val="22"/>
                <w:szCs w:val="22"/>
              </w:rPr>
              <w:t>Over the last years,</w:t>
            </w:r>
            <w:r w:rsidR="0090495F" w:rsidRPr="0090495F" w:rsidDel="00192F6C">
              <w:rPr>
                <w:rFonts w:ascii="Century" w:hAnsi="Century"/>
                <w:color w:val="333333"/>
                <w:sz w:val="22"/>
                <w:szCs w:val="22"/>
              </w:rPr>
              <w:t xml:space="preserve"> </w:t>
            </w:r>
            <w:r w:rsidR="0090495F" w:rsidRPr="0090495F">
              <w:rPr>
                <w:rFonts w:ascii="Century" w:hAnsi="Century"/>
                <w:color w:val="333333"/>
                <w:sz w:val="22"/>
                <w:szCs w:val="22"/>
              </w:rPr>
              <w:t>the share of life / pension companies has been increasing and their share in terms of total assets reached 63.7</w:t>
            </w:r>
            <w:r w:rsidR="0090495F" w:rsidRPr="0090495F">
              <w:rPr>
                <w:rFonts w:ascii="Century" w:hAnsi="Century"/>
                <w:bCs/>
                <w:color w:val="333333"/>
                <w:sz w:val="22"/>
                <w:szCs w:val="22"/>
              </w:rPr>
              <w:t>%</w:t>
            </w:r>
            <w:r w:rsidR="0090495F" w:rsidRPr="0090495F">
              <w:rPr>
                <w:rFonts w:ascii="Century" w:hAnsi="Century"/>
                <w:color w:val="333333"/>
                <w:sz w:val="22"/>
                <w:szCs w:val="22"/>
              </w:rPr>
              <w:t xml:space="preserve"> in 2018 thanks to the increase in the funds accumulated in pension system, while it was 62.7</w:t>
            </w:r>
            <w:r w:rsidR="0090495F" w:rsidRPr="0090495F">
              <w:rPr>
                <w:rFonts w:ascii="Century" w:hAnsi="Century"/>
                <w:bCs/>
                <w:color w:val="333333"/>
                <w:sz w:val="22"/>
                <w:szCs w:val="22"/>
              </w:rPr>
              <w:t>%</w:t>
            </w:r>
            <w:r w:rsidR="0090495F" w:rsidRPr="0090495F">
              <w:rPr>
                <w:rFonts w:ascii="Century" w:hAnsi="Century"/>
                <w:color w:val="333333"/>
                <w:sz w:val="22"/>
                <w:szCs w:val="22"/>
              </w:rPr>
              <w:t xml:space="preserve"> in 2014. </w:t>
            </w:r>
            <w:r w:rsidR="00E05D16" w:rsidRPr="0090495F">
              <w:rPr>
                <w:rFonts w:ascii="Century" w:hAnsi="Century"/>
                <w:color w:val="333333"/>
                <w:sz w:val="22"/>
                <w:szCs w:val="22"/>
              </w:rPr>
              <w:t>As of December 31, 201</w:t>
            </w:r>
            <w:r w:rsidR="00434011" w:rsidRPr="0090495F">
              <w:rPr>
                <w:rFonts w:ascii="Century" w:hAnsi="Century"/>
                <w:color w:val="333333"/>
                <w:sz w:val="22"/>
                <w:szCs w:val="22"/>
              </w:rPr>
              <w:t>8</w:t>
            </w:r>
            <w:r w:rsidRPr="0090495F">
              <w:rPr>
                <w:rFonts w:ascii="Century" w:hAnsi="Century"/>
                <w:color w:val="333333"/>
                <w:sz w:val="22"/>
                <w:szCs w:val="22"/>
              </w:rPr>
              <w:t>, non-life and</w:t>
            </w:r>
            <w:r w:rsidRPr="00434011">
              <w:rPr>
                <w:rFonts w:ascii="Century" w:hAnsi="Century"/>
                <w:color w:val="333333"/>
                <w:sz w:val="22"/>
                <w:szCs w:val="22"/>
              </w:rPr>
              <w:t xml:space="preserve"> reinsurance compan</w:t>
            </w:r>
            <w:r w:rsidR="00E05D16" w:rsidRPr="00434011">
              <w:rPr>
                <w:rFonts w:ascii="Century" w:hAnsi="Century"/>
                <w:color w:val="333333"/>
                <w:sz w:val="22"/>
                <w:szCs w:val="22"/>
              </w:rPr>
              <w:t>ies constituted 3</w:t>
            </w:r>
            <w:r w:rsidR="00434011" w:rsidRPr="00434011">
              <w:rPr>
                <w:rFonts w:ascii="Century" w:hAnsi="Century"/>
                <w:color w:val="333333"/>
                <w:sz w:val="22"/>
                <w:szCs w:val="22"/>
              </w:rPr>
              <w:t>4</w:t>
            </w:r>
            <w:proofErr w:type="gramStart"/>
            <w:r w:rsidR="00E05D16" w:rsidRPr="00434011">
              <w:rPr>
                <w:rFonts w:ascii="Century" w:hAnsi="Century"/>
                <w:color w:val="333333"/>
                <w:sz w:val="22"/>
                <w:szCs w:val="22"/>
              </w:rPr>
              <w:t>,</w:t>
            </w:r>
            <w:r w:rsidR="00434011" w:rsidRPr="00434011">
              <w:rPr>
                <w:rFonts w:ascii="Century" w:hAnsi="Century"/>
                <w:color w:val="333333"/>
                <w:sz w:val="22"/>
                <w:szCs w:val="22"/>
              </w:rPr>
              <w:t>1</w:t>
            </w:r>
            <w:proofErr w:type="gramEnd"/>
            <w:r w:rsidR="00CC3634" w:rsidRPr="00434011">
              <w:rPr>
                <w:rFonts w:ascii="Century" w:hAnsi="Century"/>
                <w:bCs/>
                <w:color w:val="333333"/>
                <w:sz w:val="22"/>
                <w:szCs w:val="22"/>
              </w:rPr>
              <w:t>%</w:t>
            </w:r>
            <w:r w:rsidRPr="00434011">
              <w:rPr>
                <w:rFonts w:ascii="Century" w:hAnsi="Century"/>
                <w:color w:val="333333"/>
                <w:sz w:val="22"/>
                <w:szCs w:val="22"/>
              </w:rPr>
              <w:t xml:space="preserve"> </w:t>
            </w:r>
            <w:r w:rsidR="00E05D16" w:rsidRPr="00434011">
              <w:rPr>
                <w:rFonts w:ascii="Century" w:hAnsi="Century"/>
                <w:color w:val="333333"/>
                <w:sz w:val="22"/>
                <w:szCs w:val="22"/>
              </w:rPr>
              <w:t>and 2.</w:t>
            </w:r>
            <w:r w:rsidR="00434011" w:rsidRPr="00434011">
              <w:rPr>
                <w:rFonts w:ascii="Century" w:hAnsi="Century"/>
                <w:color w:val="333333"/>
                <w:sz w:val="22"/>
                <w:szCs w:val="22"/>
              </w:rPr>
              <w:t>2</w:t>
            </w:r>
            <w:r w:rsidR="00CC3634" w:rsidRPr="00434011">
              <w:rPr>
                <w:rFonts w:ascii="Century" w:hAnsi="Century"/>
                <w:bCs/>
                <w:color w:val="333333"/>
                <w:sz w:val="22"/>
                <w:szCs w:val="22"/>
              </w:rPr>
              <w:t>%</w:t>
            </w:r>
            <w:r w:rsidRPr="00434011">
              <w:rPr>
                <w:rFonts w:ascii="Century" w:hAnsi="Century"/>
                <w:color w:val="333333"/>
                <w:sz w:val="22"/>
                <w:szCs w:val="22"/>
              </w:rPr>
              <w:t xml:space="preserve"> of </w:t>
            </w:r>
            <w:r w:rsidR="000835D9" w:rsidRPr="00434011">
              <w:rPr>
                <w:rFonts w:ascii="Century" w:hAnsi="Century"/>
                <w:color w:val="333333"/>
                <w:sz w:val="22"/>
                <w:szCs w:val="22"/>
              </w:rPr>
              <w:t xml:space="preserve">the </w:t>
            </w:r>
            <w:r w:rsidRPr="00434011">
              <w:rPr>
                <w:rFonts w:ascii="Century" w:hAnsi="Century"/>
                <w:color w:val="333333"/>
                <w:sz w:val="22"/>
                <w:szCs w:val="22"/>
              </w:rPr>
              <w:t>total assets</w:t>
            </w:r>
            <w:r w:rsidR="000835D9" w:rsidRPr="00434011">
              <w:rPr>
                <w:rFonts w:ascii="Century" w:hAnsi="Century"/>
                <w:color w:val="333333"/>
                <w:sz w:val="22"/>
                <w:szCs w:val="22"/>
              </w:rPr>
              <w:t xml:space="preserve"> of the industry</w:t>
            </w:r>
            <w:r w:rsidRPr="00434011">
              <w:rPr>
                <w:rFonts w:ascii="Century" w:hAnsi="Century"/>
                <w:color w:val="333333"/>
                <w:sz w:val="22"/>
                <w:szCs w:val="22"/>
              </w:rPr>
              <w:t xml:space="preserve">, respectively. </w:t>
            </w:r>
          </w:p>
          <w:p w:rsidR="00000865" w:rsidRDefault="00000865" w:rsidP="009212BB">
            <w:pPr>
              <w:jc w:val="both"/>
              <w:rPr>
                <w:rFonts w:ascii="Century" w:hAnsi="Century"/>
                <w:color w:val="333333"/>
                <w:sz w:val="22"/>
                <w:szCs w:val="22"/>
                <w:highlight w:val="yellow"/>
              </w:rPr>
            </w:pPr>
          </w:p>
          <w:p w:rsidR="005B31A7" w:rsidRPr="00B10D90" w:rsidRDefault="005B31A7" w:rsidP="009212BB">
            <w:pPr>
              <w:jc w:val="both"/>
              <w:rPr>
                <w:rFonts w:ascii="Century" w:hAnsi="Century"/>
                <w:color w:val="333333"/>
                <w:sz w:val="22"/>
                <w:szCs w:val="22"/>
                <w:highlight w:val="yellow"/>
              </w:rPr>
            </w:pPr>
          </w:p>
          <w:p w:rsidR="009212BB" w:rsidRDefault="0031019F" w:rsidP="009212BB">
            <w:pPr>
              <w:jc w:val="both"/>
              <w:rPr>
                <w:rFonts w:ascii="Century" w:hAnsi="Century"/>
                <w:color w:val="333333"/>
                <w:sz w:val="22"/>
                <w:szCs w:val="22"/>
              </w:rPr>
            </w:pPr>
            <w:r w:rsidRPr="00434011">
              <w:rPr>
                <w:rFonts w:ascii="Century" w:hAnsi="Century"/>
                <w:color w:val="333333"/>
                <w:sz w:val="22"/>
                <w:szCs w:val="22"/>
              </w:rPr>
              <w:t xml:space="preserve">The following graph </w:t>
            </w:r>
            <w:r w:rsidR="008A081C" w:rsidRPr="00434011">
              <w:rPr>
                <w:rFonts w:ascii="Century" w:hAnsi="Century"/>
                <w:color w:val="333333"/>
                <w:sz w:val="22"/>
                <w:szCs w:val="22"/>
              </w:rPr>
              <w:t>re</w:t>
            </w:r>
            <w:r w:rsidRPr="00434011">
              <w:rPr>
                <w:rFonts w:ascii="Century" w:hAnsi="Century"/>
                <w:color w:val="333333"/>
                <w:sz w:val="22"/>
                <w:szCs w:val="22"/>
              </w:rPr>
              <w:t>present</w:t>
            </w:r>
            <w:r w:rsidR="00713218" w:rsidRPr="00434011">
              <w:rPr>
                <w:rFonts w:ascii="Century" w:hAnsi="Century"/>
                <w:color w:val="333333"/>
                <w:sz w:val="22"/>
                <w:szCs w:val="22"/>
              </w:rPr>
              <w:t>s</w:t>
            </w:r>
            <w:r w:rsidRPr="00434011">
              <w:rPr>
                <w:rFonts w:ascii="Century" w:hAnsi="Century"/>
                <w:color w:val="333333"/>
                <w:sz w:val="22"/>
                <w:szCs w:val="22"/>
              </w:rPr>
              <w:t xml:space="preserve"> total assets of companies for the last five years.</w:t>
            </w:r>
          </w:p>
          <w:p w:rsidR="009212BB" w:rsidRPr="00B10D90" w:rsidRDefault="009212BB" w:rsidP="00DC6BDA">
            <w:pPr>
              <w:jc w:val="both"/>
              <w:rPr>
                <w:rFonts w:ascii="Century" w:hAnsi="Century"/>
                <w:b/>
                <w:color w:val="003366"/>
                <w:sz w:val="22"/>
                <w:szCs w:val="22"/>
                <w:highlight w:val="yellow"/>
              </w:rPr>
            </w:pPr>
          </w:p>
        </w:tc>
      </w:tr>
      <w:tr w:rsidR="0031019F" w:rsidRPr="00B10D90" w:rsidTr="00441D50">
        <w:trPr>
          <w:gridAfter w:val="2"/>
          <w:wAfter w:w="38" w:type="dxa"/>
          <w:trHeight w:val="3879"/>
        </w:trPr>
        <w:tc>
          <w:tcPr>
            <w:tcW w:w="9820" w:type="dxa"/>
            <w:gridSpan w:val="14"/>
          </w:tcPr>
          <w:p w:rsidR="0031019F" w:rsidRPr="00004236" w:rsidRDefault="0031019F" w:rsidP="0031019F">
            <w:pPr>
              <w:jc w:val="center"/>
              <w:rPr>
                <w:rFonts w:ascii="Century" w:hAnsi="Century"/>
                <w:i/>
                <w:color w:val="000080"/>
                <w:sz w:val="20"/>
                <w:szCs w:val="20"/>
              </w:rPr>
            </w:pPr>
            <w:r w:rsidRPr="00004236">
              <w:rPr>
                <w:rFonts w:ascii="Century" w:hAnsi="Century"/>
                <w:b/>
                <w:color w:val="000080"/>
                <w:sz w:val="20"/>
                <w:szCs w:val="20"/>
              </w:rPr>
              <w:t xml:space="preserve">Grafik </w:t>
            </w:r>
            <w:r w:rsidR="005D0DBF" w:rsidRPr="00004236">
              <w:rPr>
                <w:rFonts w:ascii="Century" w:hAnsi="Century"/>
                <w:b/>
                <w:color w:val="000080"/>
                <w:sz w:val="20"/>
                <w:szCs w:val="20"/>
              </w:rPr>
              <w:t>3</w:t>
            </w:r>
            <w:r w:rsidRPr="00004236">
              <w:rPr>
                <w:rFonts w:ascii="Century" w:hAnsi="Century"/>
                <w:b/>
                <w:color w:val="000080"/>
                <w:sz w:val="20"/>
                <w:szCs w:val="20"/>
              </w:rPr>
              <w:t>.</w:t>
            </w:r>
            <w:r w:rsidR="005D0DBF" w:rsidRPr="00004236">
              <w:rPr>
                <w:rFonts w:ascii="Century" w:hAnsi="Century"/>
                <w:b/>
                <w:color w:val="000080"/>
                <w:sz w:val="20"/>
                <w:szCs w:val="20"/>
              </w:rPr>
              <w:t>1</w:t>
            </w:r>
            <w:r w:rsidRPr="00004236">
              <w:rPr>
                <w:rFonts w:ascii="Century" w:hAnsi="Century"/>
                <w:b/>
                <w:color w:val="000080"/>
                <w:sz w:val="20"/>
                <w:szCs w:val="20"/>
              </w:rPr>
              <w:t>.</w:t>
            </w:r>
            <w:r w:rsidR="005D0DBF" w:rsidRPr="00004236">
              <w:rPr>
                <w:rFonts w:ascii="Century" w:hAnsi="Century"/>
                <w:b/>
                <w:color w:val="000080"/>
                <w:sz w:val="20"/>
                <w:szCs w:val="20"/>
              </w:rPr>
              <w:t>1</w:t>
            </w:r>
            <w:r w:rsidRPr="00004236">
              <w:rPr>
                <w:rFonts w:ascii="Century" w:hAnsi="Century"/>
                <w:b/>
                <w:color w:val="000080"/>
                <w:sz w:val="20"/>
                <w:szCs w:val="20"/>
              </w:rPr>
              <w:t>: Sigorta</w:t>
            </w:r>
            <w:r w:rsidR="006300A8" w:rsidRPr="00004236">
              <w:rPr>
                <w:rFonts w:ascii="Century" w:hAnsi="Century"/>
                <w:b/>
                <w:color w:val="000080"/>
                <w:sz w:val="20"/>
                <w:szCs w:val="20"/>
              </w:rPr>
              <w:t xml:space="preserve">, Reasürans </w:t>
            </w:r>
            <w:r w:rsidRPr="00004236">
              <w:rPr>
                <w:rFonts w:ascii="Century" w:hAnsi="Century"/>
                <w:b/>
                <w:color w:val="000080"/>
                <w:sz w:val="20"/>
                <w:szCs w:val="20"/>
              </w:rPr>
              <w:t>ve Emeklilik Şirketleri Varlık Dağılımı (%)</w:t>
            </w:r>
          </w:p>
          <w:p w:rsidR="0031019F" w:rsidRPr="00004236" w:rsidRDefault="0031019F" w:rsidP="0031019F">
            <w:pPr>
              <w:jc w:val="center"/>
              <w:rPr>
                <w:rFonts w:ascii="Century" w:hAnsi="Century"/>
                <w:i/>
                <w:color w:val="000080"/>
                <w:sz w:val="20"/>
                <w:szCs w:val="20"/>
              </w:rPr>
            </w:pPr>
            <w:r w:rsidRPr="00004236">
              <w:rPr>
                <w:rFonts w:ascii="Century" w:hAnsi="Century"/>
                <w:i/>
                <w:color w:val="000080"/>
                <w:sz w:val="20"/>
                <w:szCs w:val="20"/>
              </w:rPr>
              <w:t>Distribution of Total Assets of Insurance, Reinsurance and Pension Companies (%)</w:t>
            </w:r>
          </w:p>
          <w:p w:rsidR="0031019F" w:rsidRPr="00004236" w:rsidRDefault="00004236" w:rsidP="00696E6F">
            <w:pPr>
              <w:jc w:val="center"/>
              <w:rPr>
                <w:rFonts w:ascii="Century" w:hAnsi="Century"/>
                <w:b/>
                <w:color w:val="003366"/>
                <w:sz w:val="22"/>
                <w:szCs w:val="22"/>
              </w:rPr>
            </w:pPr>
            <w:r w:rsidRPr="00004236">
              <w:rPr>
                <w:rFonts w:ascii="Century" w:hAnsi="Century"/>
                <w:b/>
                <w:noProof/>
                <w:color w:val="003366"/>
                <w:sz w:val="22"/>
                <w:szCs w:val="22"/>
              </w:rPr>
              <w:drawing>
                <wp:inline distT="0" distB="0" distL="0" distR="0" wp14:anchorId="21D3A19C" wp14:editId="4EEB98CA">
                  <wp:extent cx="6086475" cy="20955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0920" cy="2097030"/>
                          </a:xfrm>
                          <a:prstGeom prst="rect">
                            <a:avLst/>
                          </a:prstGeom>
                          <a:noFill/>
                          <a:ln>
                            <a:noFill/>
                          </a:ln>
                        </pic:spPr>
                      </pic:pic>
                    </a:graphicData>
                  </a:graphic>
                </wp:inline>
              </w:drawing>
            </w:r>
          </w:p>
        </w:tc>
      </w:tr>
      <w:tr w:rsidR="0031019F" w:rsidRPr="00B10D90" w:rsidTr="00441D50">
        <w:trPr>
          <w:gridAfter w:val="2"/>
          <w:wAfter w:w="38" w:type="dxa"/>
          <w:trHeight w:val="163"/>
        </w:trPr>
        <w:tc>
          <w:tcPr>
            <w:tcW w:w="4917" w:type="dxa"/>
            <w:gridSpan w:val="6"/>
          </w:tcPr>
          <w:p w:rsidR="00950C0A" w:rsidRPr="0090495F" w:rsidRDefault="00950C0A" w:rsidP="00950C0A">
            <w:pPr>
              <w:jc w:val="both"/>
              <w:rPr>
                <w:rFonts w:ascii="Century" w:hAnsi="Century"/>
                <w:sz w:val="22"/>
                <w:szCs w:val="22"/>
              </w:rPr>
            </w:pPr>
            <w:r w:rsidRPr="0090495F">
              <w:rPr>
                <w:rFonts w:ascii="Century" w:hAnsi="Century"/>
                <w:sz w:val="22"/>
                <w:szCs w:val="22"/>
              </w:rPr>
              <w:t xml:space="preserve">Bireysel emeklilik şirketlerinde katılımcılara ait fonlar Esas Faaliyetlerden Alacaklar hesap grubu içinde takip edilmektedir. </w:t>
            </w:r>
            <w:r w:rsidR="007C21AF" w:rsidRPr="0090495F">
              <w:rPr>
                <w:rFonts w:ascii="Century" w:hAnsi="Century"/>
                <w:sz w:val="22"/>
                <w:szCs w:val="22"/>
              </w:rPr>
              <w:t>B</w:t>
            </w:r>
            <w:r w:rsidRPr="0090495F">
              <w:rPr>
                <w:rFonts w:ascii="Century" w:hAnsi="Century"/>
                <w:sz w:val="22"/>
                <w:szCs w:val="22"/>
              </w:rPr>
              <w:t xml:space="preserve">ireysel emeklilik sistemindeki </w:t>
            </w:r>
            <w:r w:rsidR="007C21AF" w:rsidRPr="0090495F">
              <w:rPr>
                <w:rFonts w:ascii="Century" w:hAnsi="Century"/>
                <w:sz w:val="22"/>
                <w:szCs w:val="22"/>
              </w:rPr>
              <w:t xml:space="preserve">fonlarda yaşanan </w:t>
            </w:r>
            <w:r w:rsidRPr="0090495F">
              <w:rPr>
                <w:rFonts w:ascii="Century" w:hAnsi="Century"/>
                <w:sz w:val="22"/>
                <w:szCs w:val="22"/>
              </w:rPr>
              <w:t xml:space="preserve">büyümenin yanı sıra devlet katkısı </w:t>
            </w:r>
            <w:r w:rsidR="00E05D16" w:rsidRPr="0090495F">
              <w:rPr>
                <w:rFonts w:ascii="Century" w:hAnsi="Century"/>
                <w:sz w:val="22"/>
                <w:szCs w:val="22"/>
              </w:rPr>
              <w:t xml:space="preserve">ve otomatik katılım </w:t>
            </w:r>
            <w:r w:rsidRPr="0090495F">
              <w:rPr>
                <w:rFonts w:ascii="Century" w:hAnsi="Century"/>
                <w:sz w:val="22"/>
                <w:szCs w:val="22"/>
              </w:rPr>
              <w:t>sisteminin de uygulamaya geçmesiyle sektör varlık kalemleri içerisinde Esas Faaliyetlerden Alacakl</w:t>
            </w:r>
            <w:r w:rsidR="005C63DB" w:rsidRPr="0090495F">
              <w:rPr>
                <w:rFonts w:ascii="Century" w:hAnsi="Century"/>
                <w:sz w:val="22"/>
                <w:szCs w:val="22"/>
              </w:rPr>
              <w:t>ar grubu payını artırmış ve 201</w:t>
            </w:r>
            <w:r w:rsidR="007C21AF" w:rsidRPr="0090495F">
              <w:rPr>
                <w:rFonts w:ascii="Century" w:hAnsi="Century"/>
                <w:sz w:val="22"/>
                <w:szCs w:val="22"/>
              </w:rPr>
              <w:t>8</w:t>
            </w:r>
            <w:r w:rsidRPr="0090495F">
              <w:rPr>
                <w:rFonts w:ascii="Century" w:hAnsi="Century"/>
                <w:sz w:val="22"/>
                <w:szCs w:val="22"/>
              </w:rPr>
              <w:t xml:space="preserve"> yılı </w:t>
            </w:r>
            <w:r w:rsidR="005C63DB" w:rsidRPr="0090495F">
              <w:rPr>
                <w:rFonts w:ascii="Century" w:hAnsi="Century"/>
                <w:sz w:val="22"/>
                <w:szCs w:val="22"/>
              </w:rPr>
              <w:t>sonunda Aktif toplamı içinde %58</w:t>
            </w:r>
            <w:r w:rsidRPr="0090495F">
              <w:rPr>
                <w:rFonts w:ascii="Century" w:hAnsi="Century"/>
                <w:sz w:val="22"/>
                <w:szCs w:val="22"/>
              </w:rPr>
              <w:t>,</w:t>
            </w:r>
            <w:r w:rsidR="007C21AF" w:rsidRPr="0090495F">
              <w:rPr>
                <w:rFonts w:ascii="Century" w:hAnsi="Century"/>
                <w:sz w:val="22"/>
                <w:szCs w:val="22"/>
              </w:rPr>
              <w:t>9</w:t>
            </w:r>
            <w:r w:rsidRPr="0090495F">
              <w:rPr>
                <w:rFonts w:ascii="Century" w:hAnsi="Century"/>
                <w:sz w:val="22"/>
                <w:szCs w:val="22"/>
              </w:rPr>
              <w:t>’l</w:t>
            </w:r>
            <w:r w:rsidR="00064E6C" w:rsidRPr="0090495F">
              <w:rPr>
                <w:rFonts w:ascii="Century" w:hAnsi="Century"/>
                <w:sz w:val="22"/>
                <w:szCs w:val="22"/>
              </w:rPr>
              <w:t>u</w:t>
            </w:r>
            <w:r w:rsidRPr="0090495F">
              <w:rPr>
                <w:rFonts w:ascii="Century" w:hAnsi="Century"/>
                <w:sz w:val="22"/>
                <w:szCs w:val="22"/>
              </w:rPr>
              <w:t>k bir orana ulaşmıştır.</w:t>
            </w:r>
          </w:p>
          <w:p w:rsidR="00000865" w:rsidRPr="0090495F" w:rsidRDefault="00000865" w:rsidP="0031019F">
            <w:pPr>
              <w:jc w:val="both"/>
              <w:rPr>
                <w:rFonts w:ascii="Century" w:hAnsi="Century"/>
                <w:sz w:val="16"/>
                <w:szCs w:val="16"/>
              </w:rPr>
            </w:pPr>
          </w:p>
          <w:p w:rsidR="005B63CA" w:rsidRPr="0090495F" w:rsidRDefault="0031019F" w:rsidP="000D1A2B">
            <w:pPr>
              <w:jc w:val="both"/>
              <w:rPr>
                <w:rFonts w:ascii="Century" w:hAnsi="Century"/>
                <w:sz w:val="22"/>
                <w:szCs w:val="22"/>
              </w:rPr>
            </w:pPr>
            <w:r w:rsidRPr="0090495F">
              <w:rPr>
                <w:rFonts w:ascii="Century" w:hAnsi="Century"/>
                <w:sz w:val="22"/>
                <w:szCs w:val="22"/>
              </w:rPr>
              <w:t>Aşağıdaki grafikte varlık hesap kalemlerinin payları gösterilmiştir.</w:t>
            </w:r>
          </w:p>
        </w:tc>
        <w:tc>
          <w:tcPr>
            <w:tcW w:w="236" w:type="dxa"/>
            <w:gridSpan w:val="4"/>
          </w:tcPr>
          <w:p w:rsidR="0031019F" w:rsidRPr="0090495F" w:rsidRDefault="0031019F" w:rsidP="00EF2418">
            <w:pPr>
              <w:jc w:val="both"/>
              <w:rPr>
                <w:rFonts w:ascii="Century" w:hAnsi="Century"/>
                <w:sz w:val="22"/>
                <w:szCs w:val="22"/>
              </w:rPr>
            </w:pPr>
          </w:p>
        </w:tc>
        <w:tc>
          <w:tcPr>
            <w:tcW w:w="4667" w:type="dxa"/>
            <w:gridSpan w:val="4"/>
          </w:tcPr>
          <w:p w:rsidR="00D05548" w:rsidRPr="0090495F" w:rsidRDefault="00950C0A" w:rsidP="000D1A2B">
            <w:pPr>
              <w:jc w:val="both"/>
              <w:rPr>
                <w:rFonts w:ascii="Century" w:hAnsi="Century"/>
                <w:color w:val="333333"/>
                <w:sz w:val="22"/>
                <w:szCs w:val="22"/>
              </w:rPr>
            </w:pPr>
            <w:r w:rsidRPr="0090495F">
              <w:rPr>
                <w:rFonts w:ascii="Century" w:hAnsi="Century"/>
                <w:color w:val="333333"/>
                <w:sz w:val="22"/>
                <w:szCs w:val="22"/>
              </w:rPr>
              <w:t>In private pension system, the companies have been accounting the funds</w:t>
            </w:r>
            <w:r w:rsidR="008332CB" w:rsidRPr="0090495F">
              <w:rPr>
                <w:rFonts w:ascii="Century" w:hAnsi="Century"/>
                <w:color w:val="333333"/>
                <w:sz w:val="22"/>
                <w:szCs w:val="22"/>
              </w:rPr>
              <w:t xml:space="preserve"> belonging to the participants</w:t>
            </w:r>
            <w:r w:rsidRPr="0090495F">
              <w:rPr>
                <w:rFonts w:ascii="Century" w:hAnsi="Century"/>
                <w:color w:val="333333"/>
                <w:sz w:val="22"/>
                <w:szCs w:val="22"/>
              </w:rPr>
              <w:t xml:space="preserve"> as receivables stem from insurance and pension activities. </w:t>
            </w:r>
            <w:r w:rsidR="0090495F" w:rsidRPr="0090495F">
              <w:rPr>
                <w:rFonts w:ascii="Century" w:hAnsi="Century"/>
                <w:color w:val="333333"/>
                <w:sz w:val="22"/>
                <w:szCs w:val="22"/>
              </w:rPr>
              <w:t>In 2018, the recievables from main activities reached to 58.9</w:t>
            </w:r>
            <w:r w:rsidR="0090495F" w:rsidRPr="0090495F">
              <w:rPr>
                <w:rFonts w:ascii="Century" w:hAnsi="Century"/>
                <w:bCs/>
                <w:color w:val="333333"/>
                <w:sz w:val="22"/>
                <w:szCs w:val="22"/>
              </w:rPr>
              <w:t>%</w:t>
            </w:r>
            <w:r w:rsidR="0090495F" w:rsidRPr="0090495F">
              <w:rPr>
                <w:rFonts w:ascii="Century" w:hAnsi="Century"/>
                <w:color w:val="333333"/>
                <w:sz w:val="22"/>
                <w:szCs w:val="22"/>
              </w:rPr>
              <w:t xml:space="preserve"> of total assets as a result of growth in pension funds as well as the positive effect of state contribution and auto enrollment.</w:t>
            </w:r>
          </w:p>
          <w:p w:rsidR="00D05548" w:rsidRDefault="00D05548" w:rsidP="000D1A2B">
            <w:pPr>
              <w:jc w:val="both"/>
              <w:rPr>
                <w:rFonts w:ascii="Century" w:hAnsi="Century"/>
                <w:color w:val="333333"/>
                <w:sz w:val="22"/>
                <w:szCs w:val="22"/>
              </w:rPr>
            </w:pPr>
          </w:p>
          <w:p w:rsidR="005B31A7" w:rsidRPr="0090495F" w:rsidRDefault="005B31A7" w:rsidP="000D1A2B">
            <w:pPr>
              <w:jc w:val="both"/>
              <w:rPr>
                <w:rFonts w:ascii="Century" w:hAnsi="Century"/>
                <w:color w:val="333333"/>
                <w:sz w:val="22"/>
                <w:szCs w:val="22"/>
              </w:rPr>
            </w:pPr>
          </w:p>
          <w:p w:rsidR="007C21AF" w:rsidRPr="005B31A7" w:rsidRDefault="00DB644A" w:rsidP="000D1A2B">
            <w:pPr>
              <w:jc w:val="both"/>
              <w:rPr>
                <w:rFonts w:ascii="Century" w:hAnsi="Century"/>
                <w:color w:val="333333"/>
                <w:sz w:val="22"/>
                <w:szCs w:val="22"/>
              </w:rPr>
            </w:pPr>
            <w:r w:rsidRPr="0090495F">
              <w:rPr>
                <w:rFonts w:ascii="Century" w:hAnsi="Century"/>
                <w:color w:val="333333"/>
                <w:sz w:val="22"/>
                <w:szCs w:val="22"/>
              </w:rPr>
              <w:t xml:space="preserve">The following chart shows the shares </w:t>
            </w:r>
            <w:r w:rsidR="00981D52" w:rsidRPr="0090495F">
              <w:rPr>
                <w:rFonts w:ascii="Century" w:hAnsi="Century"/>
                <w:color w:val="333333"/>
                <w:sz w:val="22"/>
                <w:szCs w:val="22"/>
              </w:rPr>
              <w:t xml:space="preserve">of </w:t>
            </w:r>
            <w:r w:rsidR="006A73CB" w:rsidRPr="0090495F">
              <w:rPr>
                <w:rFonts w:ascii="Century" w:hAnsi="Century"/>
                <w:color w:val="333333"/>
                <w:sz w:val="22"/>
                <w:szCs w:val="22"/>
              </w:rPr>
              <w:t>asset</w:t>
            </w:r>
            <w:r w:rsidRPr="0090495F">
              <w:rPr>
                <w:rFonts w:ascii="Century" w:hAnsi="Century"/>
                <w:color w:val="333333"/>
                <w:sz w:val="22"/>
                <w:szCs w:val="22"/>
              </w:rPr>
              <w:t xml:space="preserve"> items.</w:t>
            </w:r>
          </w:p>
        </w:tc>
      </w:tr>
      <w:tr w:rsidR="009212BB" w:rsidRPr="00B10D90" w:rsidTr="00441D50">
        <w:trPr>
          <w:gridAfter w:val="2"/>
          <w:wAfter w:w="38" w:type="dxa"/>
          <w:trHeight w:val="163"/>
        </w:trPr>
        <w:tc>
          <w:tcPr>
            <w:tcW w:w="9820" w:type="dxa"/>
            <w:gridSpan w:val="14"/>
          </w:tcPr>
          <w:p w:rsidR="009212BB" w:rsidRPr="007C21AF" w:rsidRDefault="008C2E29" w:rsidP="009212BB">
            <w:pPr>
              <w:jc w:val="center"/>
              <w:rPr>
                <w:rFonts w:ascii="Century" w:hAnsi="Century"/>
                <w:i/>
                <w:color w:val="000080"/>
                <w:sz w:val="20"/>
                <w:szCs w:val="20"/>
              </w:rPr>
            </w:pPr>
            <w:r w:rsidRPr="007C21AF">
              <w:rPr>
                <w:rFonts w:ascii="Century" w:hAnsi="Century"/>
                <w:b/>
                <w:color w:val="000080"/>
                <w:sz w:val="20"/>
                <w:szCs w:val="20"/>
              </w:rPr>
              <w:lastRenderedPageBreak/>
              <w:t xml:space="preserve">Grafik </w:t>
            </w:r>
            <w:r w:rsidR="005D0DBF" w:rsidRPr="007C21AF">
              <w:rPr>
                <w:rFonts w:ascii="Century" w:hAnsi="Century"/>
                <w:b/>
                <w:color w:val="000080"/>
                <w:sz w:val="20"/>
                <w:szCs w:val="20"/>
              </w:rPr>
              <w:t>3</w:t>
            </w:r>
            <w:r w:rsidRPr="007C21AF">
              <w:rPr>
                <w:rFonts w:ascii="Century" w:hAnsi="Century"/>
                <w:b/>
                <w:color w:val="000080"/>
                <w:sz w:val="20"/>
                <w:szCs w:val="20"/>
              </w:rPr>
              <w:t>.</w:t>
            </w:r>
            <w:r w:rsidR="005D0DBF" w:rsidRPr="007C21AF">
              <w:rPr>
                <w:rFonts w:ascii="Century" w:hAnsi="Century"/>
                <w:b/>
                <w:color w:val="000080"/>
                <w:sz w:val="20"/>
                <w:szCs w:val="20"/>
              </w:rPr>
              <w:t>1</w:t>
            </w:r>
            <w:r w:rsidR="009212BB" w:rsidRPr="007C21AF">
              <w:rPr>
                <w:rFonts w:ascii="Century" w:hAnsi="Century"/>
                <w:b/>
                <w:color w:val="000080"/>
                <w:sz w:val="20"/>
                <w:szCs w:val="20"/>
              </w:rPr>
              <w:t>.</w:t>
            </w:r>
            <w:r w:rsidR="005D0DBF" w:rsidRPr="007C21AF">
              <w:rPr>
                <w:rFonts w:ascii="Century" w:hAnsi="Century"/>
                <w:b/>
                <w:color w:val="000080"/>
                <w:sz w:val="20"/>
                <w:szCs w:val="20"/>
              </w:rPr>
              <w:t>2</w:t>
            </w:r>
            <w:r w:rsidR="009212BB" w:rsidRPr="007C21AF">
              <w:rPr>
                <w:rFonts w:ascii="Century" w:hAnsi="Century"/>
                <w:b/>
                <w:color w:val="000080"/>
                <w:sz w:val="20"/>
                <w:szCs w:val="20"/>
              </w:rPr>
              <w:t>: Varlık Hesap Kalemlerinin Gelişimi (%)</w:t>
            </w:r>
          </w:p>
          <w:p w:rsidR="009212BB" w:rsidRDefault="00544CF8" w:rsidP="009212BB">
            <w:pPr>
              <w:jc w:val="center"/>
              <w:rPr>
                <w:rFonts w:ascii="Century" w:hAnsi="Century"/>
                <w:i/>
                <w:color w:val="000080"/>
                <w:sz w:val="20"/>
                <w:szCs w:val="20"/>
              </w:rPr>
            </w:pPr>
            <w:r w:rsidRPr="007C21AF">
              <w:rPr>
                <w:rFonts w:ascii="Century" w:hAnsi="Century"/>
                <w:i/>
                <w:color w:val="000080"/>
                <w:sz w:val="20"/>
                <w:szCs w:val="20"/>
              </w:rPr>
              <w:t>Distribution of Total Assets</w:t>
            </w:r>
            <w:r w:rsidR="009212BB" w:rsidRPr="007C21AF">
              <w:rPr>
                <w:rFonts w:ascii="Century" w:hAnsi="Century"/>
                <w:i/>
                <w:color w:val="000080"/>
                <w:sz w:val="20"/>
                <w:szCs w:val="20"/>
              </w:rPr>
              <w:t xml:space="preserve"> (%)</w:t>
            </w:r>
          </w:p>
          <w:p w:rsidR="00B467B4" w:rsidRDefault="00B467B4" w:rsidP="009212BB">
            <w:pPr>
              <w:jc w:val="center"/>
              <w:rPr>
                <w:rFonts w:ascii="Century" w:hAnsi="Century"/>
                <w:i/>
                <w:color w:val="000080"/>
                <w:sz w:val="20"/>
                <w:szCs w:val="20"/>
              </w:rPr>
            </w:pPr>
            <w:r>
              <w:rPr>
                <w:rFonts w:ascii="Century" w:hAnsi="Century"/>
                <w:i/>
                <w:noProof/>
                <w:color w:val="000080"/>
                <w:sz w:val="20"/>
                <w:szCs w:val="20"/>
              </w:rPr>
              <w:drawing>
                <wp:inline distT="0" distB="0" distL="0" distR="0" wp14:anchorId="3F516349" wp14:editId="305AC28F">
                  <wp:extent cx="6090920" cy="231394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0920" cy="2313940"/>
                          </a:xfrm>
                          <a:prstGeom prst="rect">
                            <a:avLst/>
                          </a:prstGeom>
                          <a:noFill/>
                          <a:ln>
                            <a:noFill/>
                          </a:ln>
                        </pic:spPr>
                      </pic:pic>
                    </a:graphicData>
                  </a:graphic>
                </wp:inline>
              </w:drawing>
            </w:r>
          </w:p>
          <w:p w:rsidR="007C21AF" w:rsidRPr="00B10D90" w:rsidRDefault="007C21AF" w:rsidP="007C21AF">
            <w:pPr>
              <w:jc w:val="center"/>
              <w:rPr>
                <w:rFonts w:ascii="Century" w:hAnsi="Century"/>
                <w:b/>
                <w:color w:val="003366"/>
                <w:sz w:val="22"/>
                <w:szCs w:val="22"/>
                <w:highlight w:val="yellow"/>
              </w:rPr>
            </w:pPr>
          </w:p>
        </w:tc>
      </w:tr>
      <w:tr w:rsidR="00ED6758" w:rsidRPr="00B10D90" w:rsidTr="00441D50">
        <w:trPr>
          <w:gridAfter w:val="2"/>
          <w:wAfter w:w="38" w:type="dxa"/>
          <w:trHeight w:val="163"/>
        </w:trPr>
        <w:tc>
          <w:tcPr>
            <w:tcW w:w="4917" w:type="dxa"/>
            <w:gridSpan w:val="6"/>
          </w:tcPr>
          <w:p w:rsidR="00950C0A" w:rsidRPr="00CF3145" w:rsidRDefault="00950C0A" w:rsidP="00950C0A">
            <w:pPr>
              <w:jc w:val="both"/>
              <w:rPr>
                <w:rFonts w:ascii="Century" w:hAnsi="Century"/>
                <w:sz w:val="22"/>
                <w:szCs w:val="22"/>
              </w:rPr>
            </w:pPr>
            <w:r w:rsidRPr="00CF3145">
              <w:rPr>
                <w:rFonts w:ascii="Century" w:hAnsi="Century"/>
                <w:sz w:val="22"/>
                <w:szCs w:val="22"/>
              </w:rPr>
              <w:t>201</w:t>
            </w:r>
            <w:r w:rsidR="007C21AF" w:rsidRPr="00CF3145">
              <w:rPr>
                <w:rFonts w:ascii="Century" w:hAnsi="Century"/>
                <w:sz w:val="22"/>
                <w:szCs w:val="22"/>
              </w:rPr>
              <w:t>8</w:t>
            </w:r>
            <w:r w:rsidRPr="00CF3145">
              <w:rPr>
                <w:rFonts w:ascii="Century" w:hAnsi="Century"/>
                <w:sz w:val="22"/>
                <w:szCs w:val="22"/>
              </w:rPr>
              <w:t xml:space="preserve"> yılında aktif hesap kalemlerinin %1</w:t>
            </w:r>
            <w:r w:rsidR="007C21AF" w:rsidRPr="00CF3145">
              <w:rPr>
                <w:rFonts w:ascii="Century" w:hAnsi="Century"/>
                <w:sz w:val="22"/>
                <w:szCs w:val="22"/>
              </w:rPr>
              <w:t>3</w:t>
            </w:r>
            <w:proofErr w:type="gramStart"/>
            <w:r w:rsidR="005C63DB" w:rsidRPr="00CF3145">
              <w:rPr>
                <w:rFonts w:ascii="Century" w:hAnsi="Century"/>
                <w:sz w:val="22"/>
                <w:szCs w:val="22"/>
              </w:rPr>
              <w:t>,</w:t>
            </w:r>
            <w:r w:rsidR="007C21AF" w:rsidRPr="00CF3145">
              <w:rPr>
                <w:rFonts w:ascii="Century" w:hAnsi="Century"/>
                <w:sz w:val="22"/>
                <w:szCs w:val="22"/>
              </w:rPr>
              <w:t>7</w:t>
            </w:r>
            <w:r w:rsidRPr="00CF3145">
              <w:rPr>
                <w:rFonts w:ascii="Century" w:hAnsi="Century"/>
                <w:sz w:val="22"/>
                <w:szCs w:val="22"/>
              </w:rPr>
              <w:t>’s</w:t>
            </w:r>
            <w:r w:rsidR="005C63DB" w:rsidRPr="00CF3145">
              <w:rPr>
                <w:rFonts w:ascii="Century" w:hAnsi="Century"/>
                <w:sz w:val="22"/>
                <w:szCs w:val="22"/>
              </w:rPr>
              <w:t>ini</w:t>
            </w:r>
            <w:proofErr w:type="gramEnd"/>
            <w:r w:rsidRPr="00CF3145">
              <w:rPr>
                <w:rFonts w:ascii="Century" w:hAnsi="Century"/>
                <w:sz w:val="22"/>
                <w:szCs w:val="22"/>
              </w:rPr>
              <w:t xml:space="preserve"> oluşturan finansal varlıklar içerisinde kamu borçlanma senetleri ilk sırayı almaktadır. </w:t>
            </w:r>
          </w:p>
          <w:p w:rsidR="00BD34C1" w:rsidRPr="00B10D90" w:rsidRDefault="00BD34C1" w:rsidP="00BD34C1">
            <w:pPr>
              <w:rPr>
                <w:highlight w:val="yellow"/>
              </w:rPr>
            </w:pPr>
          </w:p>
        </w:tc>
        <w:tc>
          <w:tcPr>
            <w:tcW w:w="236" w:type="dxa"/>
            <w:gridSpan w:val="4"/>
          </w:tcPr>
          <w:p w:rsidR="00ED6758" w:rsidRPr="00B10D90" w:rsidRDefault="00ED6758" w:rsidP="00EF2418">
            <w:pPr>
              <w:jc w:val="both"/>
              <w:rPr>
                <w:rFonts w:ascii="Century" w:hAnsi="Century"/>
                <w:sz w:val="22"/>
                <w:szCs w:val="22"/>
                <w:highlight w:val="yellow"/>
              </w:rPr>
            </w:pPr>
          </w:p>
        </w:tc>
        <w:tc>
          <w:tcPr>
            <w:tcW w:w="4667" w:type="dxa"/>
            <w:gridSpan w:val="4"/>
          </w:tcPr>
          <w:p w:rsidR="000E44AE" w:rsidRPr="00CF3145" w:rsidRDefault="000E44AE" w:rsidP="000E44AE">
            <w:pPr>
              <w:jc w:val="both"/>
              <w:rPr>
                <w:rFonts w:ascii="Century" w:hAnsi="Century" w:cs="Arial"/>
                <w:color w:val="333333"/>
                <w:sz w:val="22"/>
                <w:szCs w:val="22"/>
              </w:rPr>
            </w:pPr>
            <w:r w:rsidRPr="000E44AE">
              <w:rPr>
                <w:rFonts w:ascii="Century" w:hAnsi="Century" w:cs="Arial"/>
                <w:color w:val="333333"/>
                <w:sz w:val="22"/>
                <w:szCs w:val="22"/>
              </w:rPr>
              <w:t>Government debt instruments are the dominant investment tool among the financial assets, which make up the 13.7</w:t>
            </w:r>
            <w:r w:rsidRPr="000E44AE">
              <w:rPr>
                <w:rFonts w:ascii="Century" w:hAnsi="Century"/>
                <w:bCs/>
                <w:color w:val="333333"/>
                <w:sz w:val="22"/>
                <w:szCs w:val="22"/>
              </w:rPr>
              <w:t>%</w:t>
            </w:r>
            <w:r w:rsidRPr="000E44AE">
              <w:rPr>
                <w:rFonts w:ascii="Century" w:hAnsi="Century" w:cs="Arial"/>
                <w:color w:val="333333"/>
                <w:sz w:val="22"/>
                <w:szCs w:val="22"/>
              </w:rPr>
              <w:t xml:space="preserve"> of balance sheet items in 2018.</w:t>
            </w:r>
            <w:r w:rsidRPr="00CF3145">
              <w:rPr>
                <w:rFonts w:ascii="Century" w:hAnsi="Century" w:cs="Arial"/>
                <w:color w:val="333333"/>
                <w:sz w:val="22"/>
                <w:szCs w:val="22"/>
              </w:rPr>
              <w:t xml:space="preserve"> </w:t>
            </w:r>
          </w:p>
          <w:p w:rsidR="00ED6758" w:rsidRPr="00CF3145" w:rsidRDefault="00ED6758" w:rsidP="00ED6758">
            <w:pPr>
              <w:jc w:val="both"/>
              <w:rPr>
                <w:rFonts w:ascii="Century" w:hAnsi="Century" w:cs="Arial"/>
                <w:color w:val="333333"/>
                <w:sz w:val="22"/>
                <w:szCs w:val="22"/>
              </w:rPr>
            </w:pPr>
          </w:p>
          <w:p w:rsidR="00B444DA" w:rsidRPr="00B10D90" w:rsidRDefault="00B444DA" w:rsidP="00ED6758">
            <w:pPr>
              <w:jc w:val="both"/>
              <w:rPr>
                <w:rFonts w:ascii="Century" w:hAnsi="Century"/>
                <w:b/>
                <w:color w:val="003366"/>
                <w:sz w:val="22"/>
                <w:szCs w:val="22"/>
                <w:highlight w:val="yellow"/>
              </w:rPr>
            </w:pPr>
          </w:p>
        </w:tc>
      </w:tr>
      <w:tr w:rsidR="00BD34C1" w:rsidRPr="00B10D90" w:rsidTr="00441D50">
        <w:trPr>
          <w:gridAfter w:val="2"/>
          <w:wAfter w:w="38" w:type="dxa"/>
          <w:trHeight w:val="1125"/>
        </w:trPr>
        <w:tc>
          <w:tcPr>
            <w:tcW w:w="9820" w:type="dxa"/>
            <w:gridSpan w:val="14"/>
          </w:tcPr>
          <w:p w:rsidR="00173D00" w:rsidRDefault="008C2E29" w:rsidP="00173D00">
            <w:pPr>
              <w:pStyle w:val="Caption"/>
              <w:jc w:val="center"/>
              <w:rPr>
                <w:rFonts w:ascii="Century" w:hAnsi="Century"/>
                <w:b w:val="0"/>
                <w:i/>
                <w:iCs/>
                <w:color w:val="000080"/>
              </w:rPr>
            </w:pPr>
            <w:r w:rsidRPr="007C21AF">
              <w:rPr>
                <w:rFonts w:ascii="Century" w:hAnsi="Century"/>
                <w:color w:val="000080"/>
              </w:rPr>
              <w:t xml:space="preserve">Grafik </w:t>
            </w:r>
            <w:r w:rsidR="005D0DBF" w:rsidRPr="007C21AF">
              <w:rPr>
                <w:rFonts w:ascii="Century" w:hAnsi="Century"/>
                <w:color w:val="000080"/>
              </w:rPr>
              <w:t>3</w:t>
            </w:r>
            <w:r w:rsidRPr="007C21AF">
              <w:rPr>
                <w:rFonts w:ascii="Century" w:hAnsi="Century"/>
                <w:color w:val="000080"/>
              </w:rPr>
              <w:t>.</w:t>
            </w:r>
            <w:r w:rsidR="005D0DBF" w:rsidRPr="007C21AF">
              <w:rPr>
                <w:rFonts w:ascii="Century" w:hAnsi="Century"/>
                <w:color w:val="000080"/>
              </w:rPr>
              <w:t>1</w:t>
            </w:r>
            <w:r w:rsidRPr="007C21AF">
              <w:rPr>
                <w:rFonts w:ascii="Century" w:hAnsi="Century"/>
                <w:color w:val="000080"/>
              </w:rPr>
              <w:t>.</w:t>
            </w:r>
            <w:r w:rsidR="005D0DBF" w:rsidRPr="007C21AF">
              <w:rPr>
                <w:rFonts w:ascii="Century" w:hAnsi="Century"/>
                <w:color w:val="000080"/>
              </w:rPr>
              <w:t>3</w:t>
            </w:r>
            <w:r w:rsidR="0023135B" w:rsidRPr="007C21AF">
              <w:rPr>
                <w:rFonts w:ascii="Century" w:hAnsi="Century"/>
                <w:color w:val="000080"/>
              </w:rPr>
              <w:t>:</w:t>
            </w:r>
            <w:r w:rsidR="0023135B" w:rsidRPr="007C21AF">
              <w:rPr>
                <w:rFonts w:ascii="Century" w:hAnsi="Century"/>
                <w:b w:val="0"/>
                <w:color w:val="000080"/>
              </w:rPr>
              <w:t xml:space="preserve"> </w:t>
            </w:r>
            <w:r w:rsidR="0023135B" w:rsidRPr="007C21AF">
              <w:rPr>
                <w:rFonts w:ascii="Century" w:hAnsi="Century"/>
                <w:bCs w:val="0"/>
                <w:color w:val="000080"/>
              </w:rPr>
              <w:t>Finansal Varlıkların Dağılımı</w:t>
            </w:r>
            <w:r w:rsidR="00E51433" w:rsidRPr="007C21AF">
              <w:rPr>
                <w:rFonts w:ascii="Century" w:hAnsi="Century"/>
                <w:bCs w:val="0"/>
                <w:color w:val="000080"/>
              </w:rPr>
              <w:t xml:space="preserve"> (%)</w:t>
            </w:r>
            <w:r w:rsidR="0023135B" w:rsidRPr="007C21AF">
              <w:rPr>
                <w:rFonts w:ascii="Century" w:hAnsi="Century"/>
                <w:bCs w:val="0"/>
                <w:color w:val="000080"/>
              </w:rPr>
              <w:t xml:space="preserve"> – </w:t>
            </w:r>
            <w:r w:rsidR="0023135B" w:rsidRPr="007C21AF">
              <w:rPr>
                <w:rFonts w:ascii="Century" w:hAnsi="Century"/>
                <w:b w:val="0"/>
                <w:bCs w:val="0"/>
                <w:i/>
                <w:color w:val="000080"/>
              </w:rPr>
              <w:t xml:space="preserve">Distribution of </w:t>
            </w:r>
            <w:r w:rsidR="0023135B" w:rsidRPr="007C21AF">
              <w:rPr>
                <w:rFonts w:ascii="Century" w:hAnsi="Century"/>
                <w:b w:val="0"/>
                <w:i/>
                <w:iCs/>
                <w:color w:val="000080"/>
              </w:rPr>
              <w:t xml:space="preserve">Financial Assets </w:t>
            </w:r>
            <w:r w:rsidR="00E51433" w:rsidRPr="007C21AF">
              <w:rPr>
                <w:rFonts w:ascii="Century" w:hAnsi="Century"/>
                <w:b w:val="0"/>
                <w:i/>
                <w:iCs/>
                <w:color w:val="000080"/>
              </w:rPr>
              <w:t xml:space="preserve">(%) </w:t>
            </w:r>
            <w:r w:rsidR="0023135B" w:rsidRPr="007C21AF">
              <w:rPr>
                <w:rFonts w:ascii="Century" w:hAnsi="Century"/>
                <w:b w:val="0"/>
                <w:i/>
                <w:iCs/>
                <w:color w:val="000080"/>
              </w:rPr>
              <w:t>(*)</w:t>
            </w:r>
          </w:p>
          <w:p w:rsidR="00173D00" w:rsidRDefault="00C672FA" w:rsidP="00173D00">
            <w:pPr>
              <w:pStyle w:val="Caption"/>
              <w:jc w:val="center"/>
              <w:rPr>
                <w:rFonts w:ascii="Century" w:hAnsi="Century"/>
                <w:b w:val="0"/>
                <w:i/>
                <w:iCs/>
                <w:color w:val="000080"/>
              </w:rPr>
            </w:pPr>
            <w:r>
              <w:rPr>
                <w:rFonts w:ascii="Century" w:hAnsi="Century"/>
                <w:b w:val="0"/>
                <w:i/>
                <w:iCs/>
                <w:noProof/>
                <w:color w:val="000080"/>
              </w:rPr>
              <w:drawing>
                <wp:inline distT="0" distB="0" distL="0" distR="0" wp14:anchorId="24E6B607" wp14:editId="41E1E85C">
                  <wp:extent cx="6098540" cy="29978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8540" cy="2997835"/>
                          </a:xfrm>
                          <a:prstGeom prst="rect">
                            <a:avLst/>
                          </a:prstGeom>
                          <a:noFill/>
                          <a:ln>
                            <a:noFill/>
                          </a:ln>
                        </pic:spPr>
                      </pic:pic>
                    </a:graphicData>
                  </a:graphic>
                </wp:inline>
              </w:drawing>
            </w:r>
          </w:p>
          <w:p w:rsidR="00BD34C1" w:rsidRPr="007C21AF" w:rsidRDefault="0023135B" w:rsidP="00604E22">
            <w:pPr>
              <w:jc w:val="center"/>
              <w:rPr>
                <w:rFonts w:ascii="Century" w:hAnsi="Century"/>
                <w:i/>
                <w:sz w:val="16"/>
                <w:szCs w:val="16"/>
              </w:rPr>
            </w:pPr>
            <w:r w:rsidRPr="007C21AF">
              <w:rPr>
                <w:rFonts w:ascii="Century" w:hAnsi="Century"/>
                <w:sz w:val="16"/>
                <w:szCs w:val="16"/>
              </w:rPr>
              <w:t xml:space="preserve">(*) Sigorta, reasürans ve emeklilik şirketleri – </w:t>
            </w:r>
            <w:r w:rsidRPr="007C21AF">
              <w:rPr>
                <w:rFonts w:ascii="Century" w:hAnsi="Century"/>
                <w:i/>
                <w:sz w:val="16"/>
                <w:szCs w:val="16"/>
              </w:rPr>
              <w:t>Insurance, reinsurance and pension companies</w:t>
            </w:r>
          </w:p>
          <w:p w:rsidR="008C2E29" w:rsidRPr="007C21AF" w:rsidRDefault="008C2E29" w:rsidP="00604E22">
            <w:pPr>
              <w:jc w:val="center"/>
              <w:rPr>
                <w:rFonts w:ascii="Century" w:hAnsi="Century" w:cs="Arial"/>
                <w:color w:val="333333"/>
                <w:sz w:val="22"/>
                <w:szCs w:val="22"/>
              </w:rPr>
            </w:pPr>
          </w:p>
        </w:tc>
      </w:tr>
      <w:tr w:rsidR="008E518D" w:rsidRPr="00B10D90" w:rsidTr="00441D50">
        <w:trPr>
          <w:gridAfter w:val="2"/>
          <w:wAfter w:w="38" w:type="dxa"/>
          <w:trHeight w:val="1792"/>
        </w:trPr>
        <w:tc>
          <w:tcPr>
            <w:tcW w:w="4917" w:type="dxa"/>
            <w:gridSpan w:val="6"/>
          </w:tcPr>
          <w:p w:rsidR="0054321D" w:rsidRDefault="000E7F3C" w:rsidP="00B7616A">
            <w:pPr>
              <w:jc w:val="both"/>
              <w:rPr>
                <w:rFonts w:ascii="Century" w:hAnsi="Century"/>
                <w:sz w:val="22"/>
                <w:szCs w:val="22"/>
              </w:rPr>
            </w:pPr>
            <w:r w:rsidRPr="00B7616A">
              <w:rPr>
                <w:rFonts w:ascii="Century" w:hAnsi="Century"/>
                <w:sz w:val="22"/>
                <w:szCs w:val="22"/>
              </w:rPr>
              <w:t>S</w:t>
            </w:r>
            <w:r w:rsidR="000C2550" w:rsidRPr="00B7616A">
              <w:rPr>
                <w:rFonts w:ascii="Century" w:hAnsi="Century"/>
                <w:sz w:val="22"/>
                <w:szCs w:val="22"/>
              </w:rPr>
              <w:t>ektörde 201</w:t>
            </w:r>
            <w:r w:rsidR="00CF3145" w:rsidRPr="00B7616A">
              <w:rPr>
                <w:rFonts w:ascii="Century" w:hAnsi="Century"/>
                <w:sz w:val="22"/>
                <w:szCs w:val="22"/>
              </w:rPr>
              <w:t>8 yılında 21</w:t>
            </w:r>
            <w:r w:rsidR="000C2550" w:rsidRPr="00B7616A">
              <w:rPr>
                <w:rFonts w:ascii="Century" w:hAnsi="Century"/>
                <w:sz w:val="22"/>
                <w:szCs w:val="22"/>
              </w:rPr>
              <w:t>,</w:t>
            </w:r>
            <w:r w:rsidR="00CF3145" w:rsidRPr="00B7616A">
              <w:rPr>
                <w:rFonts w:ascii="Century" w:hAnsi="Century"/>
                <w:sz w:val="22"/>
                <w:szCs w:val="22"/>
              </w:rPr>
              <w:t>7</w:t>
            </w:r>
            <w:r w:rsidR="000C2550" w:rsidRPr="00B7616A">
              <w:rPr>
                <w:rFonts w:ascii="Century" w:hAnsi="Century"/>
                <w:sz w:val="22"/>
                <w:szCs w:val="22"/>
              </w:rPr>
              <w:t xml:space="preserve"> milyar TL’ye ulaşan toplam f</w:t>
            </w:r>
            <w:r w:rsidR="00CF3145" w:rsidRPr="00B7616A">
              <w:rPr>
                <w:rFonts w:ascii="Century" w:hAnsi="Century"/>
                <w:sz w:val="22"/>
                <w:szCs w:val="22"/>
              </w:rPr>
              <w:t>inansal varlıkların yaklaşık %</w:t>
            </w:r>
            <w:r w:rsidR="00B7616A" w:rsidRPr="00B7616A">
              <w:rPr>
                <w:rFonts w:ascii="Century" w:hAnsi="Century"/>
                <w:sz w:val="22"/>
                <w:szCs w:val="22"/>
              </w:rPr>
              <w:t>73</w:t>
            </w:r>
            <w:r w:rsidR="000C2550" w:rsidRPr="00B7616A">
              <w:rPr>
                <w:rFonts w:ascii="Century" w:hAnsi="Century"/>
                <w:sz w:val="22"/>
                <w:szCs w:val="22"/>
              </w:rPr>
              <w:t>’</w:t>
            </w:r>
            <w:r w:rsidR="00CF3145" w:rsidRPr="00B7616A">
              <w:rPr>
                <w:rFonts w:ascii="Century" w:hAnsi="Century"/>
                <w:sz w:val="22"/>
                <w:szCs w:val="22"/>
              </w:rPr>
              <w:t>ü</w:t>
            </w:r>
            <w:r w:rsidRPr="00B7616A">
              <w:rPr>
                <w:rFonts w:ascii="Century" w:hAnsi="Century"/>
                <w:sz w:val="22"/>
                <w:szCs w:val="22"/>
              </w:rPr>
              <w:t xml:space="preserve"> serbest, %2</w:t>
            </w:r>
            <w:r w:rsidR="00B7616A" w:rsidRPr="00B7616A">
              <w:rPr>
                <w:rFonts w:ascii="Century" w:hAnsi="Century"/>
                <w:sz w:val="22"/>
                <w:szCs w:val="22"/>
              </w:rPr>
              <w:t>7</w:t>
            </w:r>
            <w:r w:rsidR="000C2550" w:rsidRPr="00B7616A">
              <w:rPr>
                <w:rFonts w:ascii="Century" w:hAnsi="Century"/>
                <w:sz w:val="22"/>
                <w:szCs w:val="22"/>
              </w:rPr>
              <w:t>’</w:t>
            </w:r>
            <w:r w:rsidR="00B7616A" w:rsidRPr="00B7616A">
              <w:rPr>
                <w:rFonts w:ascii="Century" w:hAnsi="Century"/>
                <w:sz w:val="22"/>
                <w:szCs w:val="22"/>
              </w:rPr>
              <w:t>s</w:t>
            </w:r>
            <w:r w:rsidRPr="00B7616A">
              <w:rPr>
                <w:rFonts w:ascii="Century" w:hAnsi="Century"/>
                <w:sz w:val="22"/>
                <w:szCs w:val="22"/>
              </w:rPr>
              <w:t>i</w:t>
            </w:r>
            <w:r w:rsidR="000C2550" w:rsidRPr="00B7616A">
              <w:rPr>
                <w:rFonts w:ascii="Century" w:hAnsi="Century"/>
                <w:sz w:val="22"/>
                <w:szCs w:val="22"/>
              </w:rPr>
              <w:t xml:space="preserve"> ise sigorta sözleşmelerinden doğan taahhütlere karşılık olmak üzere Hazine </w:t>
            </w:r>
            <w:r w:rsidR="002277B3">
              <w:rPr>
                <w:rFonts w:ascii="Century" w:hAnsi="Century"/>
                <w:sz w:val="22"/>
                <w:szCs w:val="22"/>
              </w:rPr>
              <w:t>ve Maliye Bakanlığı</w:t>
            </w:r>
            <w:r w:rsidR="000C2550" w:rsidRPr="00B7616A">
              <w:rPr>
                <w:rFonts w:ascii="Century" w:hAnsi="Century"/>
                <w:sz w:val="22"/>
                <w:szCs w:val="22"/>
              </w:rPr>
              <w:t xml:space="preserve"> lehine bloke edilmiş kıymetlerden oluşmaktadır.</w:t>
            </w:r>
          </w:p>
          <w:p w:rsidR="00C62516" w:rsidRDefault="00C62516" w:rsidP="00B7616A">
            <w:pPr>
              <w:jc w:val="both"/>
              <w:rPr>
                <w:rFonts w:ascii="Century" w:hAnsi="Century"/>
                <w:sz w:val="22"/>
                <w:szCs w:val="22"/>
              </w:rPr>
            </w:pPr>
          </w:p>
          <w:p w:rsidR="0054321D" w:rsidRPr="00B10D90" w:rsidRDefault="0054321D" w:rsidP="00B7616A">
            <w:pPr>
              <w:jc w:val="both"/>
              <w:rPr>
                <w:sz w:val="22"/>
                <w:szCs w:val="22"/>
                <w:highlight w:val="yellow"/>
              </w:rPr>
            </w:pPr>
          </w:p>
        </w:tc>
        <w:tc>
          <w:tcPr>
            <w:tcW w:w="236" w:type="dxa"/>
            <w:gridSpan w:val="4"/>
          </w:tcPr>
          <w:p w:rsidR="008E518D" w:rsidRPr="00B10D90" w:rsidRDefault="008E518D" w:rsidP="00EF2418">
            <w:pPr>
              <w:jc w:val="both"/>
              <w:rPr>
                <w:rFonts w:ascii="Century" w:hAnsi="Century"/>
                <w:sz w:val="22"/>
                <w:szCs w:val="22"/>
                <w:highlight w:val="yellow"/>
              </w:rPr>
            </w:pPr>
          </w:p>
        </w:tc>
        <w:tc>
          <w:tcPr>
            <w:tcW w:w="4667" w:type="dxa"/>
            <w:gridSpan w:val="4"/>
            <w:shd w:val="clear" w:color="auto" w:fill="auto"/>
          </w:tcPr>
          <w:p w:rsidR="00486895" w:rsidRPr="00B7616A" w:rsidRDefault="000C2550" w:rsidP="00644E54">
            <w:pPr>
              <w:jc w:val="both"/>
              <w:rPr>
                <w:rFonts w:ascii="Century" w:hAnsi="Century"/>
                <w:b/>
                <w:color w:val="003366"/>
                <w:sz w:val="22"/>
                <w:szCs w:val="22"/>
              </w:rPr>
            </w:pPr>
            <w:r w:rsidRPr="00B7616A">
              <w:rPr>
                <w:rFonts w:ascii="Century" w:hAnsi="Century" w:cs="Arial"/>
                <w:color w:val="333333"/>
                <w:sz w:val="22"/>
                <w:szCs w:val="22"/>
              </w:rPr>
              <w:t>As of December 31, 201</w:t>
            </w:r>
            <w:r w:rsidR="00B7616A" w:rsidRPr="00B7616A">
              <w:rPr>
                <w:rFonts w:ascii="Century" w:hAnsi="Century" w:cs="Arial"/>
                <w:color w:val="333333"/>
                <w:sz w:val="22"/>
                <w:szCs w:val="22"/>
              </w:rPr>
              <w:t>8</w:t>
            </w:r>
            <w:r w:rsidR="000E7F3C" w:rsidRPr="00B7616A">
              <w:rPr>
                <w:rFonts w:ascii="Century" w:hAnsi="Century" w:cs="Arial"/>
                <w:color w:val="333333"/>
                <w:sz w:val="22"/>
                <w:szCs w:val="22"/>
              </w:rPr>
              <w:t>, 2</w:t>
            </w:r>
            <w:r w:rsidR="00B7616A" w:rsidRPr="00B7616A">
              <w:rPr>
                <w:rFonts w:ascii="Century" w:hAnsi="Century" w:cs="Arial"/>
                <w:color w:val="333333"/>
                <w:sz w:val="22"/>
                <w:szCs w:val="22"/>
              </w:rPr>
              <w:t>7</w:t>
            </w:r>
            <w:r w:rsidR="00CC3634" w:rsidRPr="00B7616A">
              <w:rPr>
                <w:rFonts w:ascii="Century" w:hAnsi="Century"/>
                <w:bCs/>
                <w:color w:val="333333"/>
                <w:sz w:val="22"/>
                <w:szCs w:val="22"/>
              </w:rPr>
              <w:t>%</w:t>
            </w:r>
            <w:r w:rsidRPr="00B7616A">
              <w:rPr>
                <w:rFonts w:ascii="Century" w:hAnsi="Century" w:cs="Arial"/>
                <w:color w:val="333333"/>
                <w:sz w:val="22"/>
                <w:szCs w:val="22"/>
              </w:rPr>
              <w:t xml:space="preserve"> of the financial assets which amounted </w:t>
            </w:r>
            <w:r w:rsidRPr="00B7616A">
              <w:rPr>
                <w:rFonts w:ascii="AbakuTLSymSans" w:hAnsi="AbakuTLSymSans" w:cs="Arial"/>
                <w:bCs/>
                <w:color w:val="333333"/>
                <w:sz w:val="20"/>
                <w:szCs w:val="20"/>
              </w:rPr>
              <w:t>¨</w:t>
            </w:r>
            <w:r w:rsidR="00B7616A" w:rsidRPr="00B7616A">
              <w:rPr>
                <w:rFonts w:ascii="Century" w:hAnsi="Century" w:cs="Arial"/>
                <w:color w:val="333333"/>
                <w:sz w:val="22"/>
                <w:szCs w:val="22"/>
              </w:rPr>
              <w:t>21</w:t>
            </w:r>
            <w:r w:rsidR="000E7F3C" w:rsidRPr="00B7616A">
              <w:rPr>
                <w:rFonts w:ascii="Century" w:hAnsi="Century" w:cs="Arial"/>
                <w:color w:val="333333"/>
                <w:sz w:val="22"/>
                <w:szCs w:val="22"/>
              </w:rPr>
              <w:t>.</w:t>
            </w:r>
            <w:r w:rsidR="00B7616A" w:rsidRPr="00B7616A">
              <w:rPr>
                <w:rFonts w:ascii="Century" w:hAnsi="Century" w:cs="Arial"/>
                <w:color w:val="333333"/>
                <w:sz w:val="22"/>
                <w:szCs w:val="22"/>
              </w:rPr>
              <w:t>7</w:t>
            </w:r>
            <w:r w:rsidRPr="00B7616A">
              <w:rPr>
                <w:rFonts w:ascii="Century" w:hAnsi="Century" w:cs="Arial"/>
                <w:color w:val="333333"/>
                <w:sz w:val="22"/>
                <w:szCs w:val="22"/>
              </w:rPr>
              <w:t xml:space="preserve"> billion are blocked in favor of </w:t>
            </w:r>
            <w:r w:rsidR="00644E54">
              <w:rPr>
                <w:rFonts w:ascii="Century" w:hAnsi="Century" w:cs="Arial"/>
                <w:color w:val="333333"/>
                <w:sz w:val="22"/>
                <w:szCs w:val="22"/>
              </w:rPr>
              <w:t xml:space="preserve">Ministry of </w:t>
            </w:r>
            <w:r w:rsidRPr="00B7616A">
              <w:rPr>
                <w:rFonts w:ascii="Century" w:hAnsi="Century" w:cs="Arial"/>
                <w:color w:val="333333"/>
                <w:sz w:val="22"/>
                <w:szCs w:val="22"/>
              </w:rPr>
              <w:t>Treasury</w:t>
            </w:r>
            <w:r w:rsidR="00644E54">
              <w:rPr>
                <w:rFonts w:ascii="Century" w:hAnsi="Century" w:cs="Arial"/>
                <w:color w:val="333333"/>
                <w:sz w:val="22"/>
                <w:szCs w:val="22"/>
              </w:rPr>
              <w:t xml:space="preserve"> and Finance</w:t>
            </w:r>
            <w:r w:rsidRPr="00B7616A">
              <w:rPr>
                <w:rFonts w:ascii="Century" w:hAnsi="Century" w:cs="Arial"/>
                <w:color w:val="333333"/>
                <w:sz w:val="22"/>
                <w:szCs w:val="22"/>
              </w:rPr>
              <w:t xml:space="preserve"> in order to guarantee companies’ </w:t>
            </w:r>
            <w:r w:rsidRPr="00B7616A">
              <w:rPr>
                <w:rFonts w:ascii="Century" w:hAnsi="Century"/>
                <w:color w:val="333333"/>
                <w:sz w:val="22"/>
              </w:rPr>
              <w:t>obligations arising from insurance contracts and t</w:t>
            </w:r>
            <w:r w:rsidRPr="00B7616A">
              <w:rPr>
                <w:rFonts w:ascii="Century" w:hAnsi="Century" w:cs="Arial"/>
                <w:color w:val="333333"/>
                <w:sz w:val="22"/>
                <w:szCs w:val="22"/>
              </w:rPr>
              <w:t>he remaining part of 7</w:t>
            </w:r>
            <w:r w:rsidR="00B7616A" w:rsidRPr="00B7616A">
              <w:rPr>
                <w:rFonts w:ascii="Century" w:hAnsi="Century" w:cs="Arial"/>
                <w:color w:val="333333"/>
                <w:sz w:val="22"/>
                <w:szCs w:val="22"/>
              </w:rPr>
              <w:t>3</w:t>
            </w:r>
            <w:r w:rsidR="00CC3634" w:rsidRPr="00B7616A">
              <w:rPr>
                <w:rFonts w:ascii="Century" w:hAnsi="Century"/>
                <w:bCs/>
                <w:color w:val="333333"/>
                <w:sz w:val="22"/>
                <w:szCs w:val="22"/>
              </w:rPr>
              <w:t>%</w:t>
            </w:r>
            <w:r w:rsidRPr="00B7616A">
              <w:rPr>
                <w:rFonts w:ascii="Century" w:hAnsi="Century" w:cs="Arial"/>
                <w:color w:val="333333"/>
                <w:sz w:val="22"/>
                <w:szCs w:val="22"/>
              </w:rPr>
              <w:t xml:space="preserve"> consists of assets in free portfolio</w:t>
            </w:r>
            <w:r w:rsidR="0023135B" w:rsidRPr="00B7616A">
              <w:rPr>
                <w:rFonts w:ascii="Century" w:hAnsi="Century" w:cs="Arial"/>
                <w:color w:val="333333"/>
                <w:sz w:val="22"/>
                <w:szCs w:val="22"/>
              </w:rPr>
              <w:t>.</w:t>
            </w:r>
          </w:p>
        </w:tc>
      </w:tr>
      <w:tr w:rsidR="00A956E7" w:rsidRPr="00B10D90" w:rsidTr="00441D50">
        <w:trPr>
          <w:gridAfter w:val="2"/>
          <w:wAfter w:w="38" w:type="dxa"/>
          <w:trHeight w:val="267"/>
        </w:trPr>
        <w:tc>
          <w:tcPr>
            <w:tcW w:w="4917" w:type="dxa"/>
            <w:gridSpan w:val="6"/>
            <w:shd w:val="clear" w:color="auto" w:fill="auto"/>
          </w:tcPr>
          <w:p w:rsidR="00B96DF1" w:rsidRPr="0054321D" w:rsidRDefault="00B96DF1" w:rsidP="00F330E3">
            <w:pPr>
              <w:pStyle w:val="Heading3"/>
              <w:keepNext w:val="0"/>
              <w:spacing w:before="0" w:after="0"/>
              <w:ind w:hanging="1733"/>
              <w:jc w:val="both"/>
              <w:rPr>
                <w:rFonts w:ascii="Century" w:hAnsi="Century"/>
                <w:color w:val="000080"/>
                <w:sz w:val="22"/>
                <w:szCs w:val="22"/>
              </w:rPr>
            </w:pPr>
            <w:bookmarkStart w:id="190" w:name="_Toc358380197"/>
            <w:bookmarkStart w:id="191" w:name="_Toc12957667"/>
            <w:r w:rsidRPr="0054321D">
              <w:rPr>
                <w:rFonts w:ascii="Century" w:hAnsi="Century"/>
                <w:color w:val="000080"/>
                <w:sz w:val="22"/>
                <w:szCs w:val="22"/>
              </w:rPr>
              <w:lastRenderedPageBreak/>
              <w:t>Yükümlülükler ve Özsermaye</w:t>
            </w:r>
            <w:bookmarkEnd w:id="190"/>
            <w:bookmarkEnd w:id="191"/>
          </w:p>
          <w:p w:rsidR="00856851" w:rsidRPr="0054321D" w:rsidRDefault="00856851" w:rsidP="00693745">
            <w:pPr>
              <w:jc w:val="both"/>
              <w:rPr>
                <w:rFonts w:ascii="Century" w:hAnsi="Century"/>
                <w:color w:val="333333"/>
                <w:sz w:val="22"/>
                <w:szCs w:val="22"/>
              </w:rPr>
            </w:pPr>
          </w:p>
          <w:p w:rsidR="000C2550" w:rsidRPr="0054321D" w:rsidRDefault="00385C93" w:rsidP="000C2550">
            <w:pPr>
              <w:jc w:val="both"/>
              <w:rPr>
                <w:rFonts w:ascii="Century" w:hAnsi="Century"/>
                <w:sz w:val="22"/>
                <w:szCs w:val="22"/>
              </w:rPr>
            </w:pPr>
            <w:r w:rsidRPr="0054321D">
              <w:rPr>
                <w:rFonts w:ascii="Century" w:hAnsi="Century"/>
                <w:sz w:val="22"/>
                <w:szCs w:val="22"/>
              </w:rPr>
              <w:t>Sektörde son yıllarda p</w:t>
            </w:r>
            <w:r w:rsidR="000C2550" w:rsidRPr="0054321D">
              <w:rPr>
                <w:rFonts w:ascii="Century" w:hAnsi="Century"/>
                <w:sz w:val="22"/>
                <w:szCs w:val="22"/>
              </w:rPr>
              <w:t xml:space="preserve">asif toplamı içinde borçların payının arttığı, özsermayenin payının ise </w:t>
            </w:r>
            <w:r w:rsidR="0052757F" w:rsidRPr="0054321D">
              <w:rPr>
                <w:rFonts w:ascii="Century" w:hAnsi="Century"/>
                <w:sz w:val="22"/>
                <w:szCs w:val="22"/>
              </w:rPr>
              <w:t>dalgalı bir seyir izlediği</w:t>
            </w:r>
            <w:r w:rsidR="000C2550" w:rsidRPr="0054321D">
              <w:rPr>
                <w:rFonts w:ascii="Century" w:hAnsi="Century"/>
                <w:sz w:val="22"/>
                <w:szCs w:val="22"/>
              </w:rPr>
              <w:t xml:space="preserve"> gözlenmektedir. </w:t>
            </w:r>
            <w:r w:rsidR="00FE1231" w:rsidRPr="0054321D">
              <w:rPr>
                <w:rFonts w:ascii="Century" w:hAnsi="Century"/>
                <w:sz w:val="22"/>
                <w:szCs w:val="22"/>
              </w:rPr>
              <w:t>201</w:t>
            </w:r>
            <w:r w:rsidR="0052757F" w:rsidRPr="0054321D">
              <w:rPr>
                <w:rFonts w:ascii="Century" w:hAnsi="Century"/>
                <w:sz w:val="22"/>
                <w:szCs w:val="22"/>
              </w:rPr>
              <w:t>4</w:t>
            </w:r>
            <w:r w:rsidR="00FE1231" w:rsidRPr="0054321D">
              <w:rPr>
                <w:rFonts w:ascii="Century" w:hAnsi="Century"/>
                <w:sz w:val="22"/>
                <w:szCs w:val="22"/>
              </w:rPr>
              <w:t xml:space="preserve"> yılında pasif </w:t>
            </w:r>
            <w:r w:rsidR="0052757F" w:rsidRPr="0054321D">
              <w:rPr>
                <w:rFonts w:ascii="Century" w:hAnsi="Century"/>
                <w:sz w:val="22"/>
                <w:szCs w:val="22"/>
              </w:rPr>
              <w:t>toplamı içinde borçların payı %50</w:t>
            </w:r>
            <w:r w:rsidR="00A349CF" w:rsidRPr="0054321D">
              <w:rPr>
                <w:rFonts w:ascii="Century" w:hAnsi="Century"/>
                <w:sz w:val="22"/>
                <w:szCs w:val="22"/>
              </w:rPr>
              <w:t>,</w:t>
            </w:r>
            <w:r w:rsidR="0052757F" w:rsidRPr="0054321D">
              <w:rPr>
                <w:rFonts w:ascii="Century" w:hAnsi="Century"/>
                <w:sz w:val="22"/>
                <w:szCs w:val="22"/>
              </w:rPr>
              <w:t>1</w:t>
            </w:r>
            <w:r w:rsidR="00FE1231" w:rsidRPr="0054321D">
              <w:rPr>
                <w:rFonts w:ascii="Century" w:hAnsi="Century"/>
                <w:sz w:val="22"/>
                <w:szCs w:val="22"/>
              </w:rPr>
              <w:t xml:space="preserve"> iken 201</w:t>
            </w:r>
            <w:r w:rsidR="0052757F" w:rsidRPr="0054321D">
              <w:rPr>
                <w:rFonts w:ascii="Century" w:hAnsi="Century"/>
                <w:sz w:val="22"/>
                <w:szCs w:val="22"/>
              </w:rPr>
              <w:t>8</w:t>
            </w:r>
            <w:r w:rsidR="00FE1231" w:rsidRPr="0054321D">
              <w:rPr>
                <w:rFonts w:ascii="Century" w:hAnsi="Century"/>
                <w:sz w:val="22"/>
                <w:szCs w:val="22"/>
              </w:rPr>
              <w:t xml:space="preserve"> yılı sonunda </w:t>
            </w:r>
            <w:r w:rsidR="0052757F" w:rsidRPr="0054321D">
              <w:rPr>
                <w:rFonts w:ascii="Century" w:hAnsi="Century"/>
                <w:sz w:val="22"/>
                <w:szCs w:val="22"/>
              </w:rPr>
              <w:t>5</w:t>
            </w:r>
            <w:r w:rsidR="00A2078E" w:rsidRPr="0054321D">
              <w:rPr>
                <w:rFonts w:ascii="Century" w:hAnsi="Century"/>
                <w:sz w:val="22"/>
                <w:szCs w:val="22"/>
              </w:rPr>
              <w:t>,</w:t>
            </w:r>
            <w:r w:rsidR="0052757F" w:rsidRPr="0054321D">
              <w:rPr>
                <w:rFonts w:ascii="Century" w:hAnsi="Century"/>
                <w:sz w:val="22"/>
                <w:szCs w:val="22"/>
              </w:rPr>
              <w:t>4</w:t>
            </w:r>
            <w:r w:rsidR="00A2078E" w:rsidRPr="0054321D">
              <w:rPr>
                <w:rFonts w:ascii="Century" w:hAnsi="Century"/>
                <w:sz w:val="22"/>
                <w:szCs w:val="22"/>
              </w:rPr>
              <w:t xml:space="preserve"> puanlık artış ile %55,</w:t>
            </w:r>
            <w:r w:rsidR="0052757F" w:rsidRPr="0054321D">
              <w:rPr>
                <w:rFonts w:ascii="Century" w:hAnsi="Century"/>
                <w:sz w:val="22"/>
                <w:szCs w:val="22"/>
              </w:rPr>
              <w:t>5</w:t>
            </w:r>
            <w:r w:rsidR="00FE1231" w:rsidRPr="0054321D">
              <w:rPr>
                <w:rFonts w:ascii="Century" w:hAnsi="Century"/>
                <w:sz w:val="22"/>
                <w:szCs w:val="22"/>
              </w:rPr>
              <w:t xml:space="preserve">’e yükselmiştir. </w:t>
            </w:r>
            <w:r w:rsidR="00A2078E" w:rsidRPr="0054321D">
              <w:rPr>
                <w:rFonts w:ascii="Century" w:hAnsi="Century"/>
                <w:sz w:val="22"/>
                <w:szCs w:val="22"/>
              </w:rPr>
              <w:t>201</w:t>
            </w:r>
            <w:r w:rsidR="0052757F" w:rsidRPr="0054321D">
              <w:rPr>
                <w:rFonts w:ascii="Century" w:hAnsi="Century"/>
                <w:sz w:val="22"/>
                <w:szCs w:val="22"/>
              </w:rPr>
              <w:t>8</w:t>
            </w:r>
            <w:r w:rsidRPr="0054321D">
              <w:rPr>
                <w:rFonts w:ascii="Century" w:hAnsi="Century"/>
                <w:sz w:val="22"/>
                <w:szCs w:val="22"/>
              </w:rPr>
              <w:t xml:space="preserve"> yılı sonu itibariyle p</w:t>
            </w:r>
            <w:r w:rsidR="000C2550" w:rsidRPr="0054321D">
              <w:rPr>
                <w:rFonts w:ascii="Century" w:hAnsi="Century"/>
                <w:sz w:val="22"/>
                <w:szCs w:val="22"/>
              </w:rPr>
              <w:t>asif toplamı i</w:t>
            </w:r>
            <w:r w:rsidR="0052757F" w:rsidRPr="0054321D">
              <w:rPr>
                <w:rFonts w:ascii="Century" w:hAnsi="Century"/>
                <w:sz w:val="22"/>
                <w:szCs w:val="22"/>
              </w:rPr>
              <w:t>çinde yükümlülüklerin payı %87</w:t>
            </w:r>
            <w:r w:rsidR="00A2078E" w:rsidRPr="0054321D">
              <w:rPr>
                <w:rFonts w:ascii="Century" w:hAnsi="Century"/>
                <w:sz w:val="22"/>
                <w:szCs w:val="22"/>
              </w:rPr>
              <w:t xml:space="preserve"> özsermayenin payı ise %1</w:t>
            </w:r>
            <w:r w:rsidR="0052757F" w:rsidRPr="0054321D">
              <w:rPr>
                <w:rFonts w:ascii="Century" w:hAnsi="Century"/>
                <w:sz w:val="22"/>
                <w:szCs w:val="22"/>
              </w:rPr>
              <w:t>3</w:t>
            </w:r>
            <w:r w:rsidR="000C2550" w:rsidRPr="0054321D">
              <w:rPr>
                <w:rFonts w:ascii="Century" w:hAnsi="Century"/>
                <w:sz w:val="22"/>
                <w:szCs w:val="22"/>
              </w:rPr>
              <w:t xml:space="preserve"> olarak gerçekleşmiştir. Yıl içinde sektörün özsermayesi bir önceki yıla</w:t>
            </w:r>
            <w:r w:rsidR="00D91966" w:rsidRPr="0054321D">
              <w:rPr>
                <w:rFonts w:ascii="Century" w:hAnsi="Century"/>
                <w:sz w:val="22"/>
                <w:szCs w:val="22"/>
              </w:rPr>
              <w:t xml:space="preserve"> göre</w:t>
            </w:r>
            <w:r w:rsidR="0052757F" w:rsidRPr="0054321D">
              <w:rPr>
                <w:rFonts w:ascii="Century" w:hAnsi="Century"/>
                <w:sz w:val="22"/>
                <w:szCs w:val="22"/>
              </w:rPr>
              <w:t xml:space="preserve"> %9</w:t>
            </w:r>
            <w:proofErr w:type="gramStart"/>
            <w:r w:rsidR="000C2550" w:rsidRPr="0054321D">
              <w:rPr>
                <w:rFonts w:ascii="Century" w:hAnsi="Century"/>
                <w:sz w:val="22"/>
                <w:szCs w:val="22"/>
              </w:rPr>
              <w:t>,</w:t>
            </w:r>
            <w:r w:rsidR="0052757F" w:rsidRPr="0054321D">
              <w:rPr>
                <w:rFonts w:ascii="Century" w:hAnsi="Century"/>
                <w:sz w:val="22"/>
                <w:szCs w:val="22"/>
              </w:rPr>
              <w:t>4</w:t>
            </w:r>
            <w:proofErr w:type="gramEnd"/>
            <w:r w:rsidR="000C2550" w:rsidRPr="0054321D">
              <w:rPr>
                <w:rFonts w:ascii="Century" w:hAnsi="Century"/>
                <w:sz w:val="22"/>
                <w:szCs w:val="22"/>
              </w:rPr>
              <w:t xml:space="preserve"> oranında </w:t>
            </w:r>
            <w:r w:rsidR="00A2078E" w:rsidRPr="0054321D">
              <w:rPr>
                <w:rFonts w:ascii="Century" w:hAnsi="Century"/>
                <w:sz w:val="22"/>
                <w:szCs w:val="22"/>
              </w:rPr>
              <w:t>artış göstermiştir.</w:t>
            </w:r>
            <w:r w:rsidR="000C2550" w:rsidRPr="0054321D">
              <w:rPr>
                <w:rFonts w:ascii="Century" w:hAnsi="Century"/>
                <w:sz w:val="22"/>
                <w:szCs w:val="22"/>
              </w:rPr>
              <w:t xml:space="preserve"> </w:t>
            </w:r>
          </w:p>
          <w:p w:rsidR="00D806AE" w:rsidRPr="0054321D" w:rsidRDefault="00D806AE" w:rsidP="00693745">
            <w:pPr>
              <w:jc w:val="both"/>
              <w:rPr>
                <w:rFonts w:ascii="Century" w:hAnsi="Century"/>
                <w:sz w:val="22"/>
                <w:szCs w:val="22"/>
              </w:rPr>
            </w:pPr>
          </w:p>
          <w:p w:rsidR="00A1435D" w:rsidRPr="0054321D" w:rsidRDefault="00A1435D" w:rsidP="00693745">
            <w:pPr>
              <w:jc w:val="both"/>
              <w:rPr>
                <w:rFonts w:ascii="Century" w:hAnsi="Century"/>
                <w:sz w:val="22"/>
                <w:szCs w:val="22"/>
              </w:rPr>
            </w:pPr>
            <w:r w:rsidRPr="0054321D">
              <w:rPr>
                <w:rFonts w:ascii="Century" w:hAnsi="Century"/>
                <w:sz w:val="22"/>
                <w:szCs w:val="22"/>
              </w:rPr>
              <w:t xml:space="preserve">Sektörün yükümlülük ve özsermaye </w:t>
            </w:r>
            <w:r w:rsidR="00BF449A" w:rsidRPr="0054321D">
              <w:rPr>
                <w:rFonts w:ascii="Century" w:hAnsi="Century"/>
                <w:sz w:val="22"/>
                <w:szCs w:val="22"/>
              </w:rPr>
              <w:t>hesap kalemlerinin dağılım</w:t>
            </w:r>
            <w:r w:rsidR="001E22AE" w:rsidRPr="0054321D">
              <w:rPr>
                <w:rFonts w:ascii="Century" w:hAnsi="Century"/>
                <w:sz w:val="22"/>
                <w:szCs w:val="22"/>
              </w:rPr>
              <w:t>ı</w:t>
            </w:r>
            <w:r w:rsidR="00BF449A" w:rsidRPr="0054321D">
              <w:rPr>
                <w:rFonts w:ascii="Century" w:hAnsi="Century"/>
                <w:sz w:val="22"/>
                <w:szCs w:val="22"/>
              </w:rPr>
              <w:t xml:space="preserve"> son beş yıl </w:t>
            </w:r>
            <w:r w:rsidR="00354E2E" w:rsidRPr="0054321D">
              <w:rPr>
                <w:rFonts w:ascii="Century" w:hAnsi="Century"/>
                <w:sz w:val="22"/>
                <w:szCs w:val="22"/>
              </w:rPr>
              <w:t xml:space="preserve">itibarıyla </w:t>
            </w:r>
            <w:r w:rsidR="00BF449A" w:rsidRPr="0054321D">
              <w:rPr>
                <w:rFonts w:ascii="Century" w:hAnsi="Century"/>
                <w:sz w:val="22"/>
                <w:szCs w:val="22"/>
              </w:rPr>
              <w:t>aşağıdaki grafikte gösterilmiştir.</w:t>
            </w:r>
          </w:p>
          <w:p w:rsidR="00BF449A" w:rsidRPr="0054321D" w:rsidRDefault="00BF449A" w:rsidP="00BF449A">
            <w:pPr>
              <w:pStyle w:val="Style2"/>
              <w:numPr>
                <w:ilvl w:val="0"/>
                <w:numId w:val="0"/>
              </w:numPr>
              <w:spacing w:before="0" w:after="0"/>
              <w:jc w:val="both"/>
              <w:rPr>
                <w:color w:val="000080"/>
                <w:sz w:val="22"/>
                <w:szCs w:val="22"/>
              </w:rPr>
            </w:pPr>
          </w:p>
        </w:tc>
        <w:tc>
          <w:tcPr>
            <w:tcW w:w="236" w:type="dxa"/>
            <w:gridSpan w:val="4"/>
          </w:tcPr>
          <w:p w:rsidR="00A956E7" w:rsidRPr="0054321D" w:rsidRDefault="00A956E7" w:rsidP="00EF2418">
            <w:pPr>
              <w:jc w:val="both"/>
              <w:rPr>
                <w:rFonts w:ascii="Century" w:hAnsi="Century"/>
                <w:sz w:val="22"/>
                <w:szCs w:val="22"/>
              </w:rPr>
            </w:pPr>
          </w:p>
        </w:tc>
        <w:tc>
          <w:tcPr>
            <w:tcW w:w="4667" w:type="dxa"/>
            <w:gridSpan w:val="4"/>
          </w:tcPr>
          <w:p w:rsidR="00B96DF1" w:rsidRPr="0054321D" w:rsidRDefault="00B96DF1" w:rsidP="00B96DF1">
            <w:pPr>
              <w:jc w:val="both"/>
              <w:rPr>
                <w:rFonts w:ascii="Century" w:hAnsi="Century"/>
                <w:b/>
                <w:color w:val="003366"/>
                <w:sz w:val="22"/>
                <w:szCs w:val="22"/>
              </w:rPr>
            </w:pPr>
            <w:r w:rsidRPr="0054321D">
              <w:rPr>
                <w:rFonts w:ascii="Century" w:hAnsi="Century"/>
                <w:b/>
                <w:color w:val="003366"/>
                <w:sz w:val="22"/>
                <w:szCs w:val="22"/>
              </w:rPr>
              <w:t>3.1.2. Liabilities and Shareholders’ Equity</w:t>
            </w:r>
          </w:p>
          <w:p w:rsidR="00B96DF1" w:rsidRPr="0054321D" w:rsidRDefault="00B96DF1" w:rsidP="00A1435D">
            <w:pPr>
              <w:jc w:val="both"/>
              <w:rPr>
                <w:rFonts w:ascii="Century" w:hAnsi="Century"/>
                <w:color w:val="333333"/>
                <w:sz w:val="22"/>
                <w:szCs w:val="22"/>
              </w:rPr>
            </w:pPr>
          </w:p>
          <w:p w:rsidR="008B2CEA" w:rsidRPr="0054321D" w:rsidRDefault="00544CF8" w:rsidP="008B2CEA">
            <w:pPr>
              <w:jc w:val="both"/>
              <w:rPr>
                <w:rFonts w:ascii="Century" w:hAnsi="Century"/>
                <w:color w:val="333333"/>
                <w:sz w:val="22"/>
                <w:szCs w:val="22"/>
              </w:rPr>
            </w:pPr>
            <w:r w:rsidRPr="0054321D">
              <w:rPr>
                <w:rFonts w:ascii="Century" w:hAnsi="Century"/>
                <w:color w:val="333333"/>
                <w:sz w:val="22"/>
                <w:szCs w:val="22"/>
              </w:rPr>
              <w:t>I</w:t>
            </w:r>
            <w:r w:rsidR="003A4066" w:rsidRPr="0054321D">
              <w:rPr>
                <w:rFonts w:ascii="Century" w:hAnsi="Century"/>
                <w:color w:val="333333"/>
                <w:sz w:val="22"/>
                <w:szCs w:val="22"/>
              </w:rPr>
              <w:t xml:space="preserve">t is observed that in the last years the share of debts in the total liabilities has increased and the share of the shareholders’ equity has </w:t>
            </w:r>
            <w:r w:rsidR="0054321D" w:rsidRPr="0054321D">
              <w:rPr>
                <w:rFonts w:ascii="Century" w:hAnsi="Century"/>
                <w:color w:val="333333"/>
                <w:sz w:val="22"/>
                <w:szCs w:val="22"/>
              </w:rPr>
              <w:t>fluctuated</w:t>
            </w:r>
            <w:r w:rsidR="003A4066" w:rsidRPr="0054321D">
              <w:rPr>
                <w:rFonts w:ascii="Century" w:hAnsi="Century"/>
                <w:color w:val="333333"/>
                <w:sz w:val="22"/>
                <w:szCs w:val="22"/>
              </w:rPr>
              <w:t>.</w:t>
            </w:r>
            <w:r w:rsidR="003A4066" w:rsidRPr="0054321D">
              <w:rPr>
                <w:rFonts w:ascii="inherit" w:hAnsi="inherit" w:cs="Courier New"/>
                <w:color w:val="212121"/>
                <w:lang w:val="en" w:eastAsia="tr-TR"/>
              </w:rPr>
              <w:t xml:space="preserve"> </w:t>
            </w:r>
            <w:r w:rsidR="003A4066" w:rsidRPr="0054321D">
              <w:rPr>
                <w:rFonts w:ascii="Century" w:hAnsi="Century"/>
                <w:color w:val="333333"/>
                <w:sz w:val="22"/>
                <w:szCs w:val="22"/>
                <w:lang w:val="en"/>
              </w:rPr>
              <w:t>While the share of debts in the</w:t>
            </w:r>
            <w:r w:rsidR="00025F45" w:rsidRPr="0054321D">
              <w:rPr>
                <w:rFonts w:ascii="Century" w:hAnsi="Century"/>
                <w:color w:val="333333"/>
                <w:sz w:val="22"/>
                <w:szCs w:val="22"/>
                <w:lang w:val="en"/>
              </w:rPr>
              <w:t xml:space="preserve"> total</w:t>
            </w:r>
            <w:r w:rsidR="0052757F" w:rsidRPr="0054321D">
              <w:rPr>
                <w:rFonts w:ascii="Century" w:hAnsi="Century"/>
                <w:color w:val="333333"/>
                <w:sz w:val="22"/>
                <w:szCs w:val="22"/>
                <w:lang w:val="en"/>
              </w:rPr>
              <w:t xml:space="preserve"> liability was 50</w:t>
            </w:r>
            <w:proofErr w:type="gramStart"/>
            <w:r w:rsidR="00A2078E" w:rsidRPr="0054321D">
              <w:rPr>
                <w:rFonts w:ascii="Century" w:hAnsi="Century"/>
                <w:color w:val="333333"/>
                <w:sz w:val="22"/>
                <w:szCs w:val="22"/>
                <w:lang w:val="en"/>
              </w:rPr>
              <w:t>,</w:t>
            </w:r>
            <w:r w:rsidR="0052757F" w:rsidRPr="0054321D">
              <w:rPr>
                <w:rFonts w:ascii="Century" w:hAnsi="Century"/>
                <w:color w:val="333333"/>
                <w:sz w:val="22"/>
                <w:szCs w:val="22"/>
                <w:lang w:val="en"/>
              </w:rPr>
              <w:t>1</w:t>
            </w:r>
            <w:proofErr w:type="gramEnd"/>
            <w:r w:rsidR="00CC3634" w:rsidRPr="0054321D">
              <w:rPr>
                <w:rFonts w:ascii="Century" w:hAnsi="Century"/>
                <w:bCs/>
                <w:color w:val="333333"/>
                <w:sz w:val="22"/>
                <w:szCs w:val="22"/>
              </w:rPr>
              <w:t>%</w:t>
            </w:r>
            <w:r w:rsidR="003A4066" w:rsidRPr="0054321D">
              <w:rPr>
                <w:rFonts w:ascii="Century" w:hAnsi="Century"/>
                <w:color w:val="333333"/>
                <w:sz w:val="22"/>
                <w:szCs w:val="22"/>
                <w:lang w:val="en"/>
              </w:rPr>
              <w:t xml:space="preserve"> in 201</w:t>
            </w:r>
            <w:r w:rsidR="0052757F" w:rsidRPr="0054321D">
              <w:rPr>
                <w:rFonts w:ascii="Century" w:hAnsi="Century"/>
                <w:color w:val="333333"/>
                <w:sz w:val="22"/>
                <w:szCs w:val="22"/>
                <w:lang w:val="en"/>
              </w:rPr>
              <w:t>4</w:t>
            </w:r>
            <w:r w:rsidR="003A4066" w:rsidRPr="0054321D">
              <w:rPr>
                <w:rFonts w:ascii="Century" w:hAnsi="Century"/>
                <w:color w:val="333333"/>
                <w:sz w:val="22"/>
                <w:szCs w:val="22"/>
                <w:lang w:val="en"/>
              </w:rPr>
              <w:t xml:space="preserve">, </w:t>
            </w:r>
            <w:r w:rsidR="00025F45" w:rsidRPr="0054321D">
              <w:rPr>
                <w:rFonts w:ascii="Century" w:hAnsi="Century"/>
                <w:color w:val="333333"/>
                <w:sz w:val="22"/>
                <w:szCs w:val="22"/>
                <w:lang w:val="en"/>
              </w:rPr>
              <w:t xml:space="preserve">it has </w:t>
            </w:r>
            <w:r w:rsidR="00327267" w:rsidRPr="0054321D">
              <w:rPr>
                <w:rFonts w:ascii="Century" w:hAnsi="Century"/>
                <w:color w:val="333333"/>
                <w:sz w:val="22"/>
                <w:szCs w:val="22"/>
                <w:lang w:val="en"/>
              </w:rPr>
              <w:t>reached 5</w:t>
            </w:r>
            <w:r w:rsidR="00A2078E" w:rsidRPr="0054321D">
              <w:rPr>
                <w:rFonts w:ascii="Century" w:hAnsi="Century"/>
                <w:color w:val="333333"/>
                <w:sz w:val="22"/>
                <w:szCs w:val="22"/>
                <w:lang w:val="en"/>
              </w:rPr>
              <w:t>5.</w:t>
            </w:r>
            <w:r w:rsidR="0052757F" w:rsidRPr="0054321D">
              <w:rPr>
                <w:rFonts w:ascii="Century" w:hAnsi="Century"/>
                <w:color w:val="333333"/>
                <w:sz w:val="22"/>
                <w:szCs w:val="22"/>
                <w:lang w:val="en"/>
              </w:rPr>
              <w:t>5</w:t>
            </w:r>
            <w:r w:rsidR="00CC3634" w:rsidRPr="0054321D">
              <w:rPr>
                <w:rFonts w:ascii="Century" w:hAnsi="Century"/>
                <w:bCs/>
                <w:color w:val="333333"/>
                <w:sz w:val="22"/>
                <w:szCs w:val="22"/>
              </w:rPr>
              <w:t>%</w:t>
            </w:r>
            <w:r w:rsidR="00327267" w:rsidRPr="0054321D">
              <w:rPr>
                <w:rFonts w:ascii="Century" w:hAnsi="Century"/>
                <w:color w:val="333333"/>
                <w:sz w:val="22"/>
                <w:szCs w:val="22"/>
                <w:lang w:val="en"/>
              </w:rPr>
              <w:t xml:space="preserve"> </w:t>
            </w:r>
            <w:r w:rsidR="0052757F" w:rsidRPr="0054321D">
              <w:rPr>
                <w:rFonts w:ascii="Century" w:hAnsi="Century"/>
                <w:color w:val="333333"/>
                <w:sz w:val="22"/>
                <w:szCs w:val="22"/>
                <w:lang w:val="en"/>
              </w:rPr>
              <w:t>with an increase of 5</w:t>
            </w:r>
            <w:r w:rsidR="00A2078E" w:rsidRPr="0054321D">
              <w:rPr>
                <w:rFonts w:ascii="Century" w:hAnsi="Century"/>
                <w:color w:val="333333"/>
                <w:sz w:val="22"/>
                <w:szCs w:val="22"/>
                <w:lang w:val="en"/>
              </w:rPr>
              <w:t>.</w:t>
            </w:r>
            <w:r w:rsidR="0052757F" w:rsidRPr="0054321D">
              <w:rPr>
                <w:rFonts w:ascii="Century" w:hAnsi="Century"/>
                <w:color w:val="333333"/>
                <w:sz w:val="22"/>
                <w:szCs w:val="22"/>
                <w:lang w:val="en"/>
              </w:rPr>
              <w:t>4</w:t>
            </w:r>
            <w:r w:rsidR="00025F45" w:rsidRPr="0054321D">
              <w:rPr>
                <w:rFonts w:ascii="Century" w:hAnsi="Century"/>
                <w:color w:val="333333"/>
                <w:sz w:val="22"/>
                <w:szCs w:val="22"/>
                <w:lang w:val="en"/>
              </w:rPr>
              <w:t xml:space="preserve"> points </w:t>
            </w:r>
            <w:r w:rsidRPr="0054321D">
              <w:rPr>
                <w:rFonts w:ascii="Century" w:hAnsi="Century"/>
                <w:color w:val="333333"/>
                <w:sz w:val="22"/>
                <w:szCs w:val="22"/>
                <w:lang w:val="en"/>
              </w:rPr>
              <w:t>by</w:t>
            </w:r>
            <w:r w:rsidR="003A4066" w:rsidRPr="0054321D">
              <w:rPr>
                <w:rFonts w:ascii="Century" w:hAnsi="Century"/>
                <w:color w:val="333333"/>
                <w:sz w:val="22"/>
                <w:szCs w:val="22"/>
                <w:lang w:val="en"/>
              </w:rPr>
              <w:t xml:space="preserve"> the end of 20</w:t>
            </w:r>
            <w:r w:rsidR="00A2078E" w:rsidRPr="0054321D">
              <w:rPr>
                <w:rFonts w:ascii="Century" w:hAnsi="Century"/>
                <w:color w:val="333333"/>
                <w:sz w:val="22"/>
                <w:szCs w:val="22"/>
                <w:lang w:val="en"/>
              </w:rPr>
              <w:t>1</w:t>
            </w:r>
            <w:r w:rsidR="0052757F" w:rsidRPr="0054321D">
              <w:rPr>
                <w:rFonts w:ascii="Century" w:hAnsi="Century"/>
                <w:color w:val="333333"/>
                <w:sz w:val="22"/>
                <w:szCs w:val="22"/>
                <w:lang w:val="en"/>
              </w:rPr>
              <w:t>8</w:t>
            </w:r>
            <w:r w:rsidR="003A4066" w:rsidRPr="0054321D">
              <w:rPr>
                <w:rFonts w:ascii="Century" w:hAnsi="Century"/>
                <w:color w:val="333333"/>
                <w:sz w:val="22"/>
                <w:szCs w:val="22"/>
                <w:lang w:val="en"/>
              </w:rPr>
              <w:t>.</w:t>
            </w:r>
            <w:r w:rsidR="000C2550" w:rsidRPr="0054321D">
              <w:rPr>
                <w:rFonts w:ascii="Century" w:hAnsi="Century"/>
                <w:color w:val="333333"/>
                <w:sz w:val="22"/>
                <w:szCs w:val="22"/>
              </w:rPr>
              <w:t xml:space="preserve"> </w:t>
            </w:r>
            <w:r w:rsidR="0054321D" w:rsidRPr="0054321D">
              <w:rPr>
                <w:rFonts w:ascii="Century" w:hAnsi="Century"/>
                <w:color w:val="333333"/>
                <w:sz w:val="22"/>
                <w:szCs w:val="22"/>
              </w:rPr>
              <w:t>As of 31.12.2018 total liabilities and shareholders’ equity constitutes 87</w:t>
            </w:r>
            <w:r w:rsidR="0054321D" w:rsidRPr="0054321D">
              <w:rPr>
                <w:rFonts w:ascii="Century" w:hAnsi="Century"/>
                <w:bCs/>
                <w:color w:val="333333"/>
                <w:sz w:val="22"/>
                <w:szCs w:val="22"/>
              </w:rPr>
              <w:t>% and 13%</w:t>
            </w:r>
            <w:r w:rsidR="0054321D" w:rsidRPr="0054321D">
              <w:rPr>
                <w:rFonts w:ascii="Century" w:hAnsi="Century"/>
                <w:color w:val="333333"/>
                <w:sz w:val="22"/>
                <w:szCs w:val="22"/>
              </w:rPr>
              <w:t xml:space="preserve"> of passive accounts respectively. </w:t>
            </w:r>
            <w:r w:rsidR="008B2CEA" w:rsidRPr="0054321D">
              <w:rPr>
                <w:rFonts w:ascii="Century" w:hAnsi="Century"/>
                <w:color w:val="333333"/>
                <w:sz w:val="22"/>
                <w:szCs w:val="22"/>
              </w:rPr>
              <w:t xml:space="preserve">Total capital has increased </w:t>
            </w:r>
            <w:r w:rsidR="0052757F" w:rsidRPr="0054321D">
              <w:rPr>
                <w:rFonts w:ascii="Century" w:hAnsi="Century"/>
                <w:color w:val="333333"/>
                <w:sz w:val="22"/>
                <w:szCs w:val="22"/>
              </w:rPr>
              <w:t>just by 9</w:t>
            </w:r>
            <w:r w:rsidRPr="0054321D">
              <w:rPr>
                <w:rFonts w:ascii="Century" w:hAnsi="Century"/>
                <w:color w:val="333333"/>
                <w:sz w:val="22"/>
                <w:szCs w:val="22"/>
              </w:rPr>
              <w:t>.</w:t>
            </w:r>
            <w:r w:rsidR="0052757F" w:rsidRPr="0054321D">
              <w:rPr>
                <w:rFonts w:ascii="Century" w:hAnsi="Century"/>
                <w:color w:val="333333"/>
                <w:sz w:val="22"/>
                <w:szCs w:val="22"/>
              </w:rPr>
              <w:t>4</w:t>
            </w:r>
            <w:r w:rsidR="00CC3634" w:rsidRPr="0054321D">
              <w:rPr>
                <w:rFonts w:ascii="Century" w:hAnsi="Century"/>
                <w:bCs/>
                <w:color w:val="333333"/>
                <w:sz w:val="22"/>
                <w:szCs w:val="22"/>
              </w:rPr>
              <w:t>%</w:t>
            </w:r>
            <w:r w:rsidR="008B2CEA" w:rsidRPr="0054321D">
              <w:rPr>
                <w:rFonts w:ascii="Century" w:hAnsi="Century"/>
                <w:color w:val="333333"/>
                <w:sz w:val="22"/>
                <w:szCs w:val="22"/>
              </w:rPr>
              <w:t xml:space="preserve"> compared to the previous year.</w:t>
            </w:r>
          </w:p>
          <w:p w:rsidR="004E2A8A" w:rsidRPr="0054321D" w:rsidRDefault="004E2A8A" w:rsidP="00A1435D">
            <w:pPr>
              <w:jc w:val="both"/>
              <w:rPr>
                <w:rFonts w:ascii="Century" w:hAnsi="Century"/>
                <w:color w:val="333333"/>
                <w:sz w:val="22"/>
                <w:szCs w:val="22"/>
              </w:rPr>
            </w:pPr>
          </w:p>
          <w:p w:rsidR="00A956E7" w:rsidRPr="0054321D" w:rsidRDefault="00A1435D" w:rsidP="007A0716">
            <w:pPr>
              <w:jc w:val="both"/>
              <w:rPr>
                <w:rFonts w:ascii="Century" w:hAnsi="Century"/>
                <w:color w:val="333333"/>
                <w:sz w:val="22"/>
                <w:szCs w:val="22"/>
              </w:rPr>
            </w:pPr>
            <w:r w:rsidRPr="0054321D">
              <w:rPr>
                <w:rFonts w:ascii="Century" w:hAnsi="Century"/>
                <w:color w:val="333333"/>
                <w:sz w:val="22"/>
                <w:szCs w:val="22"/>
              </w:rPr>
              <w:t>Liabilities</w:t>
            </w:r>
            <w:r w:rsidR="007A0716" w:rsidRPr="0054321D">
              <w:rPr>
                <w:rFonts w:ascii="Century" w:hAnsi="Century"/>
                <w:color w:val="333333"/>
                <w:sz w:val="22"/>
                <w:szCs w:val="22"/>
              </w:rPr>
              <w:t xml:space="preserve"> and</w:t>
            </w:r>
            <w:r w:rsidRPr="0054321D">
              <w:rPr>
                <w:rFonts w:ascii="Century" w:hAnsi="Century"/>
                <w:color w:val="333333"/>
                <w:sz w:val="22"/>
                <w:szCs w:val="22"/>
              </w:rPr>
              <w:t xml:space="preserve"> shareholders’ equities are shown in the table below for the last five years.</w:t>
            </w:r>
          </w:p>
          <w:p w:rsidR="00F447BB" w:rsidRPr="0054321D" w:rsidRDefault="00F447BB" w:rsidP="007A0716">
            <w:pPr>
              <w:jc w:val="both"/>
              <w:rPr>
                <w:rFonts w:ascii="Century" w:hAnsi="Century"/>
                <w:color w:val="333333"/>
                <w:sz w:val="16"/>
                <w:szCs w:val="16"/>
              </w:rPr>
            </w:pPr>
          </w:p>
        </w:tc>
      </w:tr>
      <w:tr w:rsidR="00A1435D" w:rsidRPr="00B10D90" w:rsidTr="00441D50">
        <w:trPr>
          <w:gridAfter w:val="2"/>
          <w:wAfter w:w="38" w:type="dxa"/>
          <w:trHeight w:val="267"/>
        </w:trPr>
        <w:tc>
          <w:tcPr>
            <w:tcW w:w="9820" w:type="dxa"/>
            <w:gridSpan w:val="14"/>
          </w:tcPr>
          <w:p w:rsidR="00A1435D" w:rsidRPr="0052757F" w:rsidRDefault="00A1435D" w:rsidP="00A1435D">
            <w:pPr>
              <w:jc w:val="center"/>
              <w:rPr>
                <w:rFonts w:ascii="Century" w:hAnsi="Century"/>
                <w:i/>
                <w:color w:val="000080"/>
                <w:sz w:val="20"/>
                <w:szCs w:val="20"/>
              </w:rPr>
            </w:pPr>
            <w:r w:rsidRPr="0052757F">
              <w:rPr>
                <w:rFonts w:ascii="Century" w:hAnsi="Century"/>
                <w:b/>
                <w:color w:val="000080"/>
                <w:sz w:val="20"/>
                <w:szCs w:val="20"/>
              </w:rPr>
              <w:t xml:space="preserve">Grafik </w:t>
            </w:r>
            <w:r w:rsidR="005D0DBF" w:rsidRPr="0052757F">
              <w:rPr>
                <w:rFonts w:ascii="Century" w:hAnsi="Century"/>
                <w:b/>
                <w:color w:val="000080"/>
                <w:sz w:val="20"/>
                <w:szCs w:val="20"/>
              </w:rPr>
              <w:t>3</w:t>
            </w:r>
            <w:r w:rsidRPr="0052757F">
              <w:rPr>
                <w:rFonts w:ascii="Century" w:hAnsi="Century"/>
                <w:b/>
                <w:color w:val="000080"/>
                <w:sz w:val="20"/>
                <w:szCs w:val="20"/>
              </w:rPr>
              <w:t>.</w:t>
            </w:r>
            <w:r w:rsidR="005D0DBF" w:rsidRPr="0052757F">
              <w:rPr>
                <w:rFonts w:ascii="Century" w:hAnsi="Century"/>
                <w:b/>
                <w:color w:val="000080"/>
                <w:sz w:val="20"/>
                <w:szCs w:val="20"/>
              </w:rPr>
              <w:t>1</w:t>
            </w:r>
            <w:r w:rsidRPr="0052757F">
              <w:rPr>
                <w:rFonts w:ascii="Century" w:hAnsi="Century"/>
                <w:b/>
                <w:color w:val="000080"/>
                <w:sz w:val="20"/>
                <w:szCs w:val="20"/>
              </w:rPr>
              <w:t>.4: Pasif Hesap Kalemlerinin Gelişimi (%)</w:t>
            </w:r>
          </w:p>
          <w:p w:rsidR="00CA3D19" w:rsidRDefault="00A1435D" w:rsidP="00A1435D">
            <w:pPr>
              <w:jc w:val="center"/>
              <w:rPr>
                <w:rFonts w:ascii="Century" w:hAnsi="Century"/>
                <w:i/>
                <w:color w:val="000080"/>
                <w:sz w:val="20"/>
                <w:szCs w:val="20"/>
              </w:rPr>
            </w:pPr>
            <w:r w:rsidRPr="0052757F">
              <w:rPr>
                <w:rFonts w:ascii="Century" w:hAnsi="Century"/>
                <w:i/>
                <w:color w:val="000080"/>
                <w:sz w:val="20"/>
                <w:szCs w:val="20"/>
              </w:rPr>
              <w:t xml:space="preserve">Distribution of Total </w:t>
            </w:r>
            <w:r w:rsidR="00D806AE" w:rsidRPr="0052757F">
              <w:rPr>
                <w:rFonts w:ascii="Century" w:hAnsi="Century"/>
                <w:i/>
                <w:color w:val="000080"/>
                <w:sz w:val="20"/>
                <w:szCs w:val="20"/>
              </w:rPr>
              <w:t xml:space="preserve">Liabilities and Shareholders’ Equity </w:t>
            </w:r>
            <w:r w:rsidRPr="0052757F">
              <w:rPr>
                <w:rFonts w:ascii="Century" w:hAnsi="Century"/>
                <w:i/>
                <w:color w:val="000080"/>
                <w:sz w:val="20"/>
                <w:szCs w:val="20"/>
              </w:rPr>
              <w:t>(%)</w:t>
            </w:r>
          </w:p>
          <w:p w:rsidR="00385C93" w:rsidRDefault="00385C93" w:rsidP="00A1435D">
            <w:pPr>
              <w:jc w:val="center"/>
              <w:rPr>
                <w:rFonts w:ascii="Century" w:hAnsi="Century"/>
                <w:i/>
                <w:color w:val="000080"/>
                <w:sz w:val="20"/>
                <w:szCs w:val="20"/>
              </w:rPr>
            </w:pPr>
            <w:r>
              <w:rPr>
                <w:rFonts w:ascii="Century" w:hAnsi="Century"/>
                <w:i/>
                <w:noProof/>
                <w:color w:val="000080"/>
                <w:sz w:val="20"/>
                <w:szCs w:val="20"/>
              </w:rPr>
              <w:drawing>
                <wp:inline distT="0" distB="0" distL="0" distR="0" wp14:anchorId="129BE5A5" wp14:editId="01C5A4B7">
                  <wp:extent cx="5716502" cy="33395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6905" cy="3339784"/>
                          </a:xfrm>
                          <a:prstGeom prst="rect">
                            <a:avLst/>
                          </a:prstGeom>
                          <a:noFill/>
                          <a:ln>
                            <a:noFill/>
                          </a:ln>
                        </pic:spPr>
                      </pic:pic>
                    </a:graphicData>
                  </a:graphic>
                </wp:inline>
              </w:drawing>
            </w:r>
          </w:p>
          <w:p w:rsidR="004E2A8A" w:rsidRPr="0052757F" w:rsidRDefault="004E2A8A" w:rsidP="003B05CE">
            <w:pPr>
              <w:jc w:val="center"/>
              <w:rPr>
                <w:rFonts w:ascii="Century" w:hAnsi="Century"/>
                <w:color w:val="333333"/>
                <w:sz w:val="22"/>
                <w:szCs w:val="22"/>
              </w:rPr>
            </w:pPr>
          </w:p>
        </w:tc>
      </w:tr>
      <w:tr w:rsidR="00F544B8" w:rsidRPr="00B10D90" w:rsidTr="00441D50">
        <w:trPr>
          <w:gridAfter w:val="2"/>
          <w:wAfter w:w="38" w:type="dxa"/>
          <w:trHeight w:val="267"/>
        </w:trPr>
        <w:tc>
          <w:tcPr>
            <w:tcW w:w="4917" w:type="dxa"/>
            <w:gridSpan w:val="6"/>
          </w:tcPr>
          <w:p w:rsidR="00BE2138" w:rsidRPr="0054321D" w:rsidRDefault="001F0780" w:rsidP="005B63CA">
            <w:pPr>
              <w:jc w:val="both"/>
              <w:rPr>
                <w:rFonts w:ascii="Century" w:hAnsi="Century"/>
                <w:sz w:val="22"/>
                <w:szCs w:val="22"/>
              </w:rPr>
            </w:pPr>
            <w:r w:rsidRPr="0054321D">
              <w:rPr>
                <w:rFonts w:ascii="Century" w:hAnsi="Century"/>
                <w:sz w:val="22"/>
                <w:szCs w:val="22"/>
              </w:rPr>
              <w:t>Türk sigortacılık sektörün</w:t>
            </w:r>
            <w:r w:rsidR="00B304DD" w:rsidRPr="0054321D">
              <w:rPr>
                <w:rFonts w:ascii="Century" w:hAnsi="Century"/>
                <w:sz w:val="22"/>
                <w:szCs w:val="22"/>
              </w:rPr>
              <w:t>d</w:t>
            </w:r>
            <w:r w:rsidRPr="0054321D">
              <w:rPr>
                <w:rFonts w:ascii="Century" w:hAnsi="Century"/>
                <w:sz w:val="22"/>
                <w:szCs w:val="22"/>
              </w:rPr>
              <w:t xml:space="preserve">e </w:t>
            </w:r>
            <w:r w:rsidR="00771E3A" w:rsidRPr="0054321D">
              <w:rPr>
                <w:rFonts w:ascii="Century" w:hAnsi="Century"/>
                <w:sz w:val="22"/>
                <w:szCs w:val="22"/>
              </w:rPr>
              <w:t>u</w:t>
            </w:r>
            <w:r w:rsidR="00385FC8" w:rsidRPr="0054321D">
              <w:rPr>
                <w:rFonts w:ascii="Century" w:hAnsi="Century"/>
                <w:sz w:val="22"/>
                <w:szCs w:val="22"/>
              </w:rPr>
              <w:t xml:space="preserve">luslararası </w:t>
            </w:r>
            <w:r w:rsidR="001F3AE7" w:rsidRPr="0054321D">
              <w:rPr>
                <w:rFonts w:ascii="Century" w:hAnsi="Century"/>
                <w:sz w:val="22"/>
                <w:szCs w:val="22"/>
              </w:rPr>
              <w:t xml:space="preserve">sermayenin payı </w:t>
            </w:r>
            <w:r w:rsidR="00EA6411" w:rsidRPr="0054321D">
              <w:rPr>
                <w:rFonts w:ascii="Century" w:hAnsi="Century"/>
                <w:sz w:val="22"/>
                <w:szCs w:val="22"/>
              </w:rPr>
              <w:t xml:space="preserve">son dört yılda </w:t>
            </w:r>
            <w:r w:rsidR="004B59BF" w:rsidRPr="0054321D">
              <w:rPr>
                <w:rFonts w:ascii="Century" w:hAnsi="Century"/>
                <w:sz w:val="22"/>
                <w:szCs w:val="22"/>
              </w:rPr>
              <w:t>%70 ve üzeri gerçekleşmesine rağ</w:t>
            </w:r>
            <w:r w:rsidR="00EA6411" w:rsidRPr="0054321D">
              <w:rPr>
                <w:rFonts w:ascii="Century" w:hAnsi="Century"/>
                <w:sz w:val="22"/>
                <w:szCs w:val="22"/>
              </w:rPr>
              <w:t>men 2018 yılında iki uluslar</w:t>
            </w:r>
            <w:r w:rsidR="004B59BF" w:rsidRPr="0054321D">
              <w:rPr>
                <w:rFonts w:ascii="Century" w:hAnsi="Century"/>
                <w:sz w:val="22"/>
                <w:szCs w:val="22"/>
              </w:rPr>
              <w:t>ar</w:t>
            </w:r>
            <w:r w:rsidR="00EA6411" w:rsidRPr="0054321D">
              <w:rPr>
                <w:rFonts w:ascii="Century" w:hAnsi="Century"/>
                <w:sz w:val="22"/>
                <w:szCs w:val="22"/>
              </w:rPr>
              <w:t>ası sermayeli şirketin çekilme</w:t>
            </w:r>
            <w:r w:rsidR="004B59BF" w:rsidRPr="0054321D">
              <w:rPr>
                <w:rFonts w:ascii="Century" w:hAnsi="Century"/>
                <w:sz w:val="22"/>
                <w:szCs w:val="22"/>
              </w:rPr>
              <w:t>ler</w:t>
            </w:r>
            <w:r w:rsidR="00EA6411" w:rsidRPr="0054321D">
              <w:rPr>
                <w:rFonts w:ascii="Century" w:hAnsi="Century"/>
                <w:sz w:val="22"/>
                <w:szCs w:val="22"/>
              </w:rPr>
              <w:t>i sonucunda %68’e düşmüştür.</w:t>
            </w:r>
          </w:p>
          <w:p w:rsidR="005A11FF" w:rsidRPr="0054321D" w:rsidRDefault="000F63CA" w:rsidP="005B63CA">
            <w:pPr>
              <w:jc w:val="both"/>
              <w:rPr>
                <w:rFonts w:ascii="Century" w:hAnsi="Century"/>
                <w:sz w:val="22"/>
                <w:szCs w:val="22"/>
              </w:rPr>
            </w:pPr>
            <w:r w:rsidRPr="0054321D">
              <w:rPr>
                <w:rFonts w:ascii="Century" w:hAnsi="Century"/>
                <w:sz w:val="22"/>
                <w:szCs w:val="22"/>
              </w:rPr>
              <w:t xml:space="preserve"> </w:t>
            </w:r>
          </w:p>
          <w:p w:rsidR="00B04078" w:rsidRPr="0054321D" w:rsidRDefault="001F3AE7" w:rsidP="00EA6411">
            <w:pPr>
              <w:jc w:val="both"/>
              <w:rPr>
                <w:rFonts w:ascii="Century" w:hAnsi="Century"/>
                <w:color w:val="333333"/>
                <w:sz w:val="22"/>
                <w:szCs w:val="22"/>
              </w:rPr>
            </w:pPr>
            <w:r w:rsidRPr="0054321D">
              <w:rPr>
                <w:rFonts w:ascii="Century" w:hAnsi="Century"/>
                <w:sz w:val="22"/>
                <w:szCs w:val="22"/>
              </w:rPr>
              <w:t xml:space="preserve">Aşağıdaki tabloda </w:t>
            </w:r>
            <w:r w:rsidR="00996C36" w:rsidRPr="0054321D">
              <w:rPr>
                <w:rFonts w:ascii="Century" w:hAnsi="Century"/>
                <w:sz w:val="22"/>
                <w:szCs w:val="22"/>
              </w:rPr>
              <w:t>uluslararası</w:t>
            </w:r>
            <w:r w:rsidRPr="0054321D">
              <w:rPr>
                <w:rFonts w:ascii="Century" w:hAnsi="Century"/>
                <w:sz w:val="22"/>
                <w:szCs w:val="22"/>
              </w:rPr>
              <w:t xml:space="preserve"> sermayenin son beş yıl</w:t>
            </w:r>
            <w:r w:rsidR="00696E6F" w:rsidRPr="0054321D">
              <w:rPr>
                <w:rFonts w:ascii="Century" w:hAnsi="Century"/>
                <w:sz w:val="22"/>
                <w:szCs w:val="22"/>
              </w:rPr>
              <w:t>lık dönemde</w:t>
            </w:r>
            <w:r w:rsidRPr="0054321D">
              <w:rPr>
                <w:rFonts w:ascii="Century" w:hAnsi="Century"/>
                <w:sz w:val="22"/>
                <w:szCs w:val="22"/>
              </w:rPr>
              <w:t xml:space="preserve"> toplam ödenmiş sermaye </w:t>
            </w:r>
            <w:r w:rsidR="00771E3A" w:rsidRPr="0054321D">
              <w:rPr>
                <w:rFonts w:ascii="Century" w:hAnsi="Century"/>
                <w:sz w:val="22"/>
                <w:szCs w:val="22"/>
              </w:rPr>
              <w:t>il</w:t>
            </w:r>
            <w:r w:rsidRPr="0054321D">
              <w:rPr>
                <w:rFonts w:ascii="Century" w:hAnsi="Century"/>
                <w:sz w:val="22"/>
                <w:szCs w:val="22"/>
              </w:rPr>
              <w:t>e toplam prim üretimindeki payı</w:t>
            </w:r>
            <w:r w:rsidR="00771E3A" w:rsidRPr="0054321D">
              <w:rPr>
                <w:rFonts w:ascii="Century" w:hAnsi="Century"/>
                <w:sz w:val="22"/>
                <w:szCs w:val="22"/>
              </w:rPr>
              <w:t xml:space="preserve"> </w:t>
            </w:r>
            <w:r w:rsidRPr="0054321D">
              <w:rPr>
                <w:rFonts w:ascii="Century" w:hAnsi="Century"/>
                <w:sz w:val="22"/>
                <w:szCs w:val="22"/>
              </w:rPr>
              <w:t>hayat / emeklilik şirketleri ile hayat dışı sigorta şirketleri ayrımında verilmiştir.</w:t>
            </w:r>
          </w:p>
        </w:tc>
        <w:tc>
          <w:tcPr>
            <w:tcW w:w="236" w:type="dxa"/>
            <w:gridSpan w:val="4"/>
          </w:tcPr>
          <w:p w:rsidR="00F544B8" w:rsidRPr="0054321D" w:rsidRDefault="00F544B8" w:rsidP="00EF2418">
            <w:pPr>
              <w:jc w:val="both"/>
              <w:rPr>
                <w:rFonts w:ascii="Century" w:hAnsi="Century"/>
                <w:sz w:val="22"/>
                <w:szCs w:val="22"/>
              </w:rPr>
            </w:pPr>
          </w:p>
        </w:tc>
        <w:tc>
          <w:tcPr>
            <w:tcW w:w="4667" w:type="dxa"/>
            <w:gridSpan w:val="4"/>
          </w:tcPr>
          <w:p w:rsidR="003B05CE" w:rsidRPr="0054321D" w:rsidRDefault="0054321D" w:rsidP="001F3AE7">
            <w:pPr>
              <w:jc w:val="both"/>
              <w:rPr>
                <w:rFonts w:ascii="Century" w:hAnsi="Century"/>
                <w:color w:val="333333"/>
                <w:sz w:val="22"/>
                <w:szCs w:val="22"/>
              </w:rPr>
            </w:pPr>
            <w:r w:rsidRPr="0054321D">
              <w:rPr>
                <w:rFonts w:ascii="Century" w:hAnsi="Century"/>
                <w:color w:val="333333"/>
                <w:sz w:val="22"/>
                <w:szCs w:val="22"/>
              </w:rPr>
              <w:t xml:space="preserve">Although the share of international </w:t>
            </w:r>
            <w:r w:rsidRPr="0054321D">
              <w:rPr>
                <w:rFonts w:ascii="Century" w:hAnsi="Century" w:cs="Arial"/>
                <w:color w:val="333333"/>
                <w:sz w:val="22"/>
                <w:szCs w:val="22"/>
              </w:rPr>
              <w:t>capital in</w:t>
            </w:r>
            <w:r w:rsidRPr="0054321D">
              <w:rPr>
                <w:rFonts w:ascii="Century" w:hAnsi="Century"/>
                <w:color w:val="333333"/>
                <w:sz w:val="22"/>
                <w:szCs w:val="22"/>
              </w:rPr>
              <w:t xml:space="preserve"> total shareholders’ equity</w:t>
            </w:r>
            <w:r w:rsidRPr="0054321D">
              <w:rPr>
                <w:rFonts w:ascii="Century" w:hAnsi="Century" w:cs="Arial"/>
                <w:color w:val="333333"/>
                <w:sz w:val="22"/>
                <w:szCs w:val="22"/>
              </w:rPr>
              <w:t xml:space="preserve"> </w:t>
            </w:r>
            <w:r w:rsidRPr="0054321D">
              <w:rPr>
                <w:rFonts w:ascii="Century" w:hAnsi="Century"/>
                <w:color w:val="333333"/>
                <w:sz w:val="22"/>
                <w:szCs w:val="22"/>
              </w:rPr>
              <w:t>exceeded 70</w:t>
            </w:r>
            <w:r w:rsidRPr="0054321D">
              <w:rPr>
                <w:rFonts w:ascii="Century" w:hAnsi="Century"/>
                <w:bCs/>
                <w:color w:val="333333"/>
                <w:sz w:val="22"/>
                <w:szCs w:val="22"/>
              </w:rPr>
              <w:t>%</w:t>
            </w:r>
            <w:r w:rsidRPr="0054321D">
              <w:rPr>
                <w:rFonts w:ascii="Century" w:hAnsi="Century"/>
                <w:color w:val="333333"/>
                <w:sz w:val="22"/>
                <w:szCs w:val="22"/>
              </w:rPr>
              <w:t xml:space="preserve"> during last years, it dropped to 68% in 2018 since two international capitalized companies pulled out of from market.</w:t>
            </w:r>
          </w:p>
          <w:p w:rsidR="00E139CB" w:rsidRPr="0054321D" w:rsidRDefault="00E139CB" w:rsidP="007A1C9F">
            <w:pPr>
              <w:jc w:val="both"/>
              <w:rPr>
                <w:rFonts w:ascii="Century" w:hAnsi="Century"/>
                <w:color w:val="333333"/>
                <w:sz w:val="22"/>
                <w:szCs w:val="22"/>
              </w:rPr>
            </w:pPr>
          </w:p>
          <w:p w:rsidR="00EA6411" w:rsidRPr="0054321D" w:rsidRDefault="001F3AE7" w:rsidP="00EA6411">
            <w:pPr>
              <w:jc w:val="both"/>
              <w:rPr>
                <w:rFonts w:ascii="Century" w:hAnsi="Century"/>
                <w:color w:val="333333"/>
                <w:sz w:val="22"/>
                <w:szCs w:val="22"/>
              </w:rPr>
            </w:pPr>
            <w:r w:rsidRPr="0054321D">
              <w:rPr>
                <w:rFonts w:ascii="Century" w:hAnsi="Century"/>
                <w:color w:val="333333"/>
                <w:sz w:val="22"/>
                <w:szCs w:val="22"/>
              </w:rPr>
              <w:t xml:space="preserve">The following table </w:t>
            </w:r>
            <w:r w:rsidR="00544CF8" w:rsidRPr="0054321D">
              <w:rPr>
                <w:rFonts w:ascii="Century" w:hAnsi="Century"/>
                <w:color w:val="333333"/>
                <w:sz w:val="22"/>
                <w:szCs w:val="22"/>
              </w:rPr>
              <w:t>re</w:t>
            </w:r>
            <w:r w:rsidRPr="0054321D">
              <w:rPr>
                <w:rFonts w:ascii="Century" w:hAnsi="Century"/>
                <w:color w:val="333333"/>
                <w:sz w:val="22"/>
                <w:szCs w:val="22"/>
              </w:rPr>
              <w:t xml:space="preserve">presents the share of </w:t>
            </w:r>
            <w:r w:rsidRPr="0054321D">
              <w:rPr>
                <w:rFonts w:ascii="Century" w:hAnsi="Century" w:cs="Arial"/>
                <w:color w:val="333333"/>
                <w:sz w:val="22"/>
                <w:szCs w:val="22"/>
              </w:rPr>
              <w:t xml:space="preserve">companies with </w:t>
            </w:r>
            <w:r w:rsidR="00544CF8" w:rsidRPr="0054321D">
              <w:rPr>
                <w:rFonts w:ascii="Century" w:hAnsi="Century" w:cs="Arial"/>
                <w:color w:val="333333"/>
                <w:sz w:val="22"/>
                <w:szCs w:val="22"/>
              </w:rPr>
              <w:t>foreign</w:t>
            </w:r>
            <w:r w:rsidR="004043D3" w:rsidRPr="0054321D">
              <w:rPr>
                <w:rFonts w:ascii="Century" w:hAnsi="Century" w:cs="Arial"/>
                <w:color w:val="333333"/>
                <w:sz w:val="22"/>
                <w:szCs w:val="22"/>
              </w:rPr>
              <w:t xml:space="preserve"> </w:t>
            </w:r>
            <w:r w:rsidRPr="0054321D">
              <w:rPr>
                <w:rFonts w:ascii="Century" w:hAnsi="Century" w:cs="Arial"/>
                <w:color w:val="333333"/>
                <w:sz w:val="22"/>
                <w:szCs w:val="22"/>
              </w:rPr>
              <w:t>capital</w:t>
            </w:r>
            <w:r w:rsidRPr="0054321D">
              <w:rPr>
                <w:rFonts w:ascii="Century" w:hAnsi="Century"/>
                <w:color w:val="333333"/>
                <w:sz w:val="22"/>
                <w:szCs w:val="22"/>
              </w:rPr>
              <w:t xml:space="preserve"> in total shareholders’ equity and premium </w:t>
            </w:r>
            <w:r w:rsidR="00544CF8" w:rsidRPr="0054321D">
              <w:rPr>
                <w:rFonts w:ascii="Century" w:hAnsi="Century"/>
                <w:color w:val="333333"/>
                <w:sz w:val="22"/>
                <w:szCs w:val="22"/>
              </w:rPr>
              <w:t>for</w:t>
            </w:r>
            <w:r w:rsidRPr="0054321D">
              <w:rPr>
                <w:rFonts w:ascii="Century" w:hAnsi="Century"/>
                <w:color w:val="333333"/>
                <w:sz w:val="22"/>
                <w:szCs w:val="22"/>
              </w:rPr>
              <w:t xml:space="preserve"> life / pension and non-life companies.</w:t>
            </w:r>
          </w:p>
        </w:tc>
      </w:tr>
      <w:tr w:rsidR="0080266C" w:rsidRPr="00B10D90" w:rsidTr="00441D50">
        <w:trPr>
          <w:gridAfter w:val="2"/>
          <w:wAfter w:w="38" w:type="dxa"/>
          <w:trHeight w:val="267"/>
        </w:trPr>
        <w:tc>
          <w:tcPr>
            <w:tcW w:w="9820" w:type="dxa"/>
            <w:gridSpan w:val="14"/>
          </w:tcPr>
          <w:p w:rsidR="001F3AE7" w:rsidRPr="00EA6411" w:rsidRDefault="001F3AE7" w:rsidP="001F3AE7">
            <w:pPr>
              <w:pStyle w:val="Caption"/>
              <w:jc w:val="center"/>
              <w:rPr>
                <w:rFonts w:ascii="Century" w:hAnsi="Century"/>
                <w:color w:val="000080"/>
              </w:rPr>
            </w:pPr>
            <w:r w:rsidRPr="00EA6411">
              <w:rPr>
                <w:rFonts w:ascii="Century" w:hAnsi="Century"/>
                <w:color w:val="000080"/>
              </w:rPr>
              <w:lastRenderedPageBreak/>
              <w:t xml:space="preserve">Tablo </w:t>
            </w:r>
            <w:r w:rsidR="005D0DBF" w:rsidRPr="00EA6411">
              <w:rPr>
                <w:rFonts w:ascii="Century" w:hAnsi="Century"/>
                <w:color w:val="000080"/>
              </w:rPr>
              <w:t>3</w:t>
            </w:r>
            <w:r w:rsidRPr="00EA6411">
              <w:rPr>
                <w:rFonts w:ascii="Century" w:hAnsi="Century"/>
                <w:color w:val="000080"/>
              </w:rPr>
              <w:t>.</w:t>
            </w:r>
            <w:r w:rsidR="005D0DBF" w:rsidRPr="00EA6411">
              <w:rPr>
                <w:rFonts w:ascii="Century" w:hAnsi="Century"/>
                <w:color w:val="000080"/>
              </w:rPr>
              <w:t>1</w:t>
            </w:r>
            <w:r w:rsidRPr="00EA6411">
              <w:rPr>
                <w:rFonts w:ascii="Century" w:hAnsi="Century"/>
                <w:color w:val="000080"/>
              </w:rPr>
              <w:t>.</w:t>
            </w:r>
            <w:r w:rsidR="005D0DBF" w:rsidRPr="00EA6411">
              <w:rPr>
                <w:rFonts w:ascii="Century" w:hAnsi="Century"/>
                <w:color w:val="000080"/>
              </w:rPr>
              <w:t>1</w:t>
            </w:r>
            <w:r w:rsidRPr="00EA6411">
              <w:rPr>
                <w:rFonts w:ascii="Century" w:hAnsi="Century"/>
                <w:color w:val="000080"/>
              </w:rPr>
              <w:t xml:space="preserve">: Prim Üretimi ve Ödenmiş Sermayede </w:t>
            </w:r>
            <w:r w:rsidR="004C6898" w:rsidRPr="00EA6411">
              <w:rPr>
                <w:rFonts w:ascii="Century" w:hAnsi="Century"/>
                <w:color w:val="000080"/>
              </w:rPr>
              <w:t>Uluslararası</w:t>
            </w:r>
            <w:r w:rsidRPr="00EA6411">
              <w:rPr>
                <w:rFonts w:ascii="Century" w:hAnsi="Century"/>
                <w:color w:val="000080"/>
              </w:rPr>
              <w:t xml:space="preserve"> Sermaye</w:t>
            </w:r>
            <w:r w:rsidR="004C6898" w:rsidRPr="00EA6411">
              <w:rPr>
                <w:rFonts w:ascii="Century" w:hAnsi="Century"/>
                <w:color w:val="000080"/>
              </w:rPr>
              <w:t>nin</w:t>
            </w:r>
            <w:r w:rsidRPr="00EA6411">
              <w:rPr>
                <w:rFonts w:ascii="Century" w:hAnsi="Century"/>
                <w:color w:val="000080"/>
              </w:rPr>
              <w:t xml:space="preserve"> Payı</w:t>
            </w:r>
          </w:p>
          <w:p w:rsidR="001F3AE7" w:rsidRDefault="00250B8A" w:rsidP="001F3AE7">
            <w:pPr>
              <w:pStyle w:val="Caption"/>
              <w:jc w:val="center"/>
              <w:rPr>
                <w:rFonts w:ascii="Century" w:hAnsi="Century"/>
                <w:b w:val="0"/>
                <w:i/>
                <w:color w:val="000080"/>
              </w:rPr>
            </w:pPr>
            <w:r w:rsidRPr="00EA6411">
              <w:rPr>
                <w:rFonts w:ascii="Century" w:hAnsi="Century"/>
                <w:b w:val="0"/>
                <w:i/>
                <w:color w:val="000080"/>
              </w:rPr>
              <w:t>International</w:t>
            </w:r>
            <w:r w:rsidR="001F3AE7" w:rsidRPr="00EA6411">
              <w:rPr>
                <w:rFonts w:ascii="Century" w:hAnsi="Century"/>
                <w:b w:val="0"/>
                <w:i/>
                <w:color w:val="000080"/>
              </w:rPr>
              <w:t xml:space="preserve"> Partners’ Share in Premium Volume and total Paid in Capital</w:t>
            </w:r>
            <w:r w:rsidR="00422B16" w:rsidRPr="00EA6411">
              <w:rPr>
                <w:rFonts w:ascii="Century" w:hAnsi="Century"/>
                <w:b w:val="0"/>
                <w:i/>
                <w:color w:val="000080"/>
              </w:rPr>
              <w:t xml:space="preserve"> (%)</w:t>
            </w:r>
          </w:p>
          <w:p w:rsidR="004B59BF" w:rsidRDefault="004B59BF" w:rsidP="004B59BF">
            <w:r>
              <w:rPr>
                <w:noProof/>
              </w:rPr>
              <w:drawing>
                <wp:inline distT="0" distB="0" distL="0" distR="0" wp14:anchorId="164CB5AF" wp14:editId="17E2ACB5">
                  <wp:extent cx="6098648" cy="148689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8648" cy="1486893"/>
                          </a:xfrm>
                          <a:prstGeom prst="rect">
                            <a:avLst/>
                          </a:prstGeom>
                          <a:noFill/>
                          <a:ln>
                            <a:noFill/>
                          </a:ln>
                        </pic:spPr>
                      </pic:pic>
                    </a:graphicData>
                  </a:graphic>
                </wp:inline>
              </w:drawing>
            </w:r>
          </w:p>
          <w:p w:rsidR="0080266C" w:rsidRPr="00EA6411" w:rsidRDefault="0080266C" w:rsidP="00FE1231">
            <w:pPr>
              <w:rPr>
                <w:rFonts w:ascii="Century" w:hAnsi="Century"/>
                <w:color w:val="333333"/>
                <w:sz w:val="22"/>
                <w:szCs w:val="22"/>
              </w:rPr>
            </w:pPr>
          </w:p>
        </w:tc>
      </w:tr>
      <w:tr w:rsidR="00F544B8" w:rsidRPr="00B10D90" w:rsidTr="00441D50">
        <w:trPr>
          <w:gridAfter w:val="2"/>
          <w:wAfter w:w="38" w:type="dxa"/>
          <w:trHeight w:val="267"/>
        </w:trPr>
        <w:tc>
          <w:tcPr>
            <w:tcW w:w="4917" w:type="dxa"/>
            <w:gridSpan w:val="6"/>
          </w:tcPr>
          <w:p w:rsidR="000C2550" w:rsidRPr="0054321D" w:rsidRDefault="000C2550" w:rsidP="000C2550">
            <w:pPr>
              <w:jc w:val="both"/>
              <w:rPr>
                <w:rFonts w:ascii="Century" w:hAnsi="Century"/>
                <w:bCs/>
                <w:sz w:val="22"/>
                <w:szCs w:val="22"/>
              </w:rPr>
            </w:pPr>
            <w:r w:rsidRPr="0054321D">
              <w:rPr>
                <w:rFonts w:ascii="Century" w:hAnsi="Century"/>
                <w:sz w:val="22"/>
                <w:szCs w:val="22"/>
              </w:rPr>
              <w:t>Uluslararası sermayenin topl</w:t>
            </w:r>
            <w:r w:rsidR="00B97F55" w:rsidRPr="0054321D">
              <w:rPr>
                <w:rFonts w:ascii="Century" w:hAnsi="Century"/>
                <w:sz w:val="22"/>
                <w:szCs w:val="22"/>
              </w:rPr>
              <w:t>am ödenmiş sermayedeki payı 201</w:t>
            </w:r>
            <w:r w:rsidR="00A21BCE" w:rsidRPr="0054321D">
              <w:rPr>
                <w:rFonts w:ascii="Century" w:hAnsi="Century"/>
                <w:sz w:val="22"/>
                <w:szCs w:val="22"/>
              </w:rPr>
              <w:t>8</w:t>
            </w:r>
            <w:r w:rsidR="00B97F55" w:rsidRPr="0054321D">
              <w:rPr>
                <w:rFonts w:ascii="Century" w:hAnsi="Century"/>
                <w:sz w:val="22"/>
                <w:szCs w:val="22"/>
              </w:rPr>
              <w:t xml:space="preserve"> yılı sonunda %</w:t>
            </w:r>
            <w:r w:rsidR="00A21BCE" w:rsidRPr="0054321D">
              <w:rPr>
                <w:rFonts w:ascii="Century" w:hAnsi="Century"/>
                <w:sz w:val="22"/>
                <w:szCs w:val="22"/>
              </w:rPr>
              <w:t>68</w:t>
            </w:r>
            <w:r w:rsidR="008208D1" w:rsidRPr="0054321D">
              <w:rPr>
                <w:rFonts w:ascii="Century" w:hAnsi="Century"/>
                <w:sz w:val="22"/>
                <w:szCs w:val="22"/>
              </w:rPr>
              <w:t xml:space="preserve"> olup</w:t>
            </w:r>
            <w:r w:rsidRPr="0054321D">
              <w:rPr>
                <w:rFonts w:ascii="Century" w:hAnsi="Century"/>
                <w:sz w:val="22"/>
                <w:szCs w:val="22"/>
              </w:rPr>
              <w:t>, topla</w:t>
            </w:r>
            <w:r w:rsidR="00B97F55" w:rsidRPr="0054321D">
              <w:rPr>
                <w:rFonts w:ascii="Century" w:hAnsi="Century"/>
                <w:sz w:val="22"/>
                <w:szCs w:val="22"/>
              </w:rPr>
              <w:t>m prim üretimindeki payı ise %</w:t>
            </w:r>
            <w:r w:rsidR="00A21BCE" w:rsidRPr="0054321D">
              <w:rPr>
                <w:rFonts w:ascii="Century" w:hAnsi="Century"/>
                <w:sz w:val="22"/>
                <w:szCs w:val="22"/>
              </w:rPr>
              <w:t>58</w:t>
            </w:r>
            <w:r w:rsidRPr="0054321D">
              <w:rPr>
                <w:rFonts w:ascii="Century" w:hAnsi="Century"/>
                <w:sz w:val="22"/>
                <w:szCs w:val="22"/>
              </w:rPr>
              <w:t xml:space="preserve"> olarak gerçekleşmiştir. </w:t>
            </w:r>
          </w:p>
          <w:p w:rsidR="003B05CE" w:rsidRPr="0054321D" w:rsidRDefault="003B05CE" w:rsidP="001F3AE7">
            <w:pPr>
              <w:jc w:val="both"/>
              <w:rPr>
                <w:rFonts w:ascii="Century" w:hAnsi="Century"/>
                <w:bCs/>
                <w:sz w:val="22"/>
                <w:szCs w:val="22"/>
              </w:rPr>
            </w:pPr>
          </w:p>
          <w:p w:rsidR="00156912" w:rsidRPr="0054321D" w:rsidRDefault="004043D3" w:rsidP="003B05CE">
            <w:pPr>
              <w:jc w:val="both"/>
              <w:rPr>
                <w:rFonts w:ascii="Century" w:hAnsi="Century"/>
                <w:sz w:val="22"/>
                <w:szCs w:val="22"/>
              </w:rPr>
            </w:pPr>
            <w:r w:rsidRPr="0054321D">
              <w:rPr>
                <w:rFonts w:ascii="Century" w:hAnsi="Century"/>
                <w:sz w:val="22"/>
                <w:szCs w:val="22"/>
              </w:rPr>
              <w:t>Uluslara</w:t>
            </w:r>
            <w:r w:rsidR="000D330D" w:rsidRPr="0054321D">
              <w:rPr>
                <w:rFonts w:ascii="Century" w:hAnsi="Century"/>
                <w:sz w:val="22"/>
                <w:szCs w:val="22"/>
              </w:rPr>
              <w:t>ra</w:t>
            </w:r>
            <w:r w:rsidRPr="0054321D">
              <w:rPr>
                <w:rFonts w:ascii="Century" w:hAnsi="Century"/>
                <w:sz w:val="22"/>
                <w:szCs w:val="22"/>
              </w:rPr>
              <w:t xml:space="preserve">sı </w:t>
            </w:r>
            <w:r w:rsidR="001F3AE7" w:rsidRPr="0054321D">
              <w:rPr>
                <w:rFonts w:ascii="Century" w:hAnsi="Century"/>
                <w:sz w:val="22"/>
                <w:szCs w:val="22"/>
              </w:rPr>
              <w:t>se</w:t>
            </w:r>
            <w:r w:rsidRPr="0054321D">
              <w:rPr>
                <w:rFonts w:ascii="Century" w:hAnsi="Century"/>
                <w:sz w:val="22"/>
                <w:szCs w:val="22"/>
              </w:rPr>
              <w:t xml:space="preserve">rmayenin </w:t>
            </w:r>
            <w:r w:rsidR="0057389C" w:rsidRPr="0054321D">
              <w:rPr>
                <w:rFonts w:ascii="Century" w:hAnsi="Century"/>
                <w:sz w:val="22"/>
                <w:szCs w:val="22"/>
              </w:rPr>
              <w:t xml:space="preserve">2001 yılından itibaren </w:t>
            </w:r>
            <w:r w:rsidRPr="0054321D">
              <w:rPr>
                <w:rFonts w:ascii="Century" w:hAnsi="Century"/>
                <w:sz w:val="22"/>
                <w:szCs w:val="22"/>
              </w:rPr>
              <w:t>sektör</w:t>
            </w:r>
            <w:r w:rsidR="001F3AE7" w:rsidRPr="0054321D">
              <w:rPr>
                <w:rFonts w:ascii="Century" w:hAnsi="Century"/>
                <w:sz w:val="22"/>
                <w:szCs w:val="22"/>
              </w:rPr>
              <w:t xml:space="preserve"> </w:t>
            </w:r>
            <w:r w:rsidRPr="0054321D">
              <w:rPr>
                <w:rFonts w:ascii="Century" w:hAnsi="Century"/>
                <w:sz w:val="22"/>
                <w:szCs w:val="22"/>
              </w:rPr>
              <w:t xml:space="preserve">ödenmiş sermaye ve prim üretimindeki </w:t>
            </w:r>
            <w:r w:rsidR="001F3AE7" w:rsidRPr="0054321D">
              <w:rPr>
                <w:rFonts w:ascii="Century" w:hAnsi="Century"/>
                <w:sz w:val="22"/>
                <w:szCs w:val="22"/>
              </w:rPr>
              <w:t xml:space="preserve">payı aşağıdaki grafikte karşılaştırmalı olarak gösterilmiştir. </w:t>
            </w:r>
          </w:p>
          <w:p w:rsidR="00156912" w:rsidRPr="0054321D" w:rsidRDefault="00156912" w:rsidP="003B05CE">
            <w:pPr>
              <w:jc w:val="both"/>
              <w:rPr>
                <w:rFonts w:ascii="Century" w:hAnsi="Century"/>
                <w:sz w:val="22"/>
                <w:szCs w:val="22"/>
              </w:rPr>
            </w:pPr>
          </w:p>
          <w:p w:rsidR="00F544B8" w:rsidRPr="0054321D" w:rsidRDefault="001F3AE7" w:rsidP="003B05CE">
            <w:pPr>
              <w:jc w:val="both"/>
              <w:rPr>
                <w:rFonts w:ascii="Century" w:hAnsi="Century"/>
                <w:sz w:val="22"/>
                <w:szCs w:val="22"/>
              </w:rPr>
            </w:pPr>
            <w:r w:rsidRPr="0054321D">
              <w:rPr>
                <w:rFonts w:ascii="Century" w:hAnsi="Century"/>
                <w:sz w:val="22"/>
                <w:szCs w:val="22"/>
              </w:rPr>
              <w:t xml:space="preserve">Grafikten de anlaşılacağı üzere, </w:t>
            </w:r>
            <w:r w:rsidR="004043D3" w:rsidRPr="0054321D">
              <w:rPr>
                <w:rFonts w:ascii="Century" w:hAnsi="Century"/>
                <w:sz w:val="22"/>
                <w:szCs w:val="22"/>
              </w:rPr>
              <w:t>uluslara</w:t>
            </w:r>
            <w:r w:rsidR="000D330D" w:rsidRPr="0054321D">
              <w:rPr>
                <w:rFonts w:ascii="Century" w:hAnsi="Century"/>
                <w:sz w:val="22"/>
                <w:szCs w:val="22"/>
              </w:rPr>
              <w:t>ra</w:t>
            </w:r>
            <w:r w:rsidR="00F575FA" w:rsidRPr="0054321D">
              <w:rPr>
                <w:rFonts w:ascii="Century" w:hAnsi="Century"/>
                <w:sz w:val="22"/>
                <w:szCs w:val="22"/>
              </w:rPr>
              <w:t xml:space="preserve">sı </w:t>
            </w:r>
            <w:r w:rsidR="004043D3" w:rsidRPr="0054321D">
              <w:rPr>
                <w:rFonts w:ascii="Century" w:hAnsi="Century"/>
                <w:sz w:val="22"/>
                <w:szCs w:val="22"/>
              </w:rPr>
              <w:t>sermayenin payında 2001</w:t>
            </w:r>
            <w:r w:rsidR="0000306C" w:rsidRPr="0054321D">
              <w:rPr>
                <w:rFonts w:ascii="Century" w:hAnsi="Century"/>
                <w:sz w:val="22"/>
                <w:szCs w:val="22"/>
              </w:rPr>
              <w:t>–</w:t>
            </w:r>
            <w:r w:rsidRPr="0054321D">
              <w:rPr>
                <w:rFonts w:ascii="Century" w:hAnsi="Century"/>
                <w:sz w:val="22"/>
                <w:szCs w:val="22"/>
              </w:rPr>
              <w:t>2005 yılları arasında önemli bir değişiklik yaşanma</w:t>
            </w:r>
            <w:r w:rsidR="00696E6F" w:rsidRPr="0054321D">
              <w:rPr>
                <w:rFonts w:ascii="Century" w:hAnsi="Century"/>
                <w:sz w:val="22"/>
                <w:szCs w:val="22"/>
              </w:rPr>
              <w:t>zken</w:t>
            </w:r>
            <w:r w:rsidRPr="0054321D">
              <w:rPr>
                <w:rFonts w:ascii="Century" w:hAnsi="Century"/>
                <w:sz w:val="22"/>
                <w:szCs w:val="22"/>
              </w:rPr>
              <w:t xml:space="preserve"> iken, </w:t>
            </w:r>
            <w:r w:rsidR="00246353" w:rsidRPr="0054321D">
              <w:rPr>
                <w:rFonts w:ascii="Century" w:hAnsi="Century"/>
                <w:sz w:val="22"/>
                <w:szCs w:val="22"/>
              </w:rPr>
              <w:t>2006 yılından 2013 yılına kadar hızlı b</w:t>
            </w:r>
            <w:r w:rsidR="00156912" w:rsidRPr="0054321D">
              <w:rPr>
                <w:rFonts w:ascii="Century" w:hAnsi="Century"/>
                <w:sz w:val="22"/>
                <w:szCs w:val="22"/>
              </w:rPr>
              <w:t>ir yükseliş meydana gelmiş, 2017</w:t>
            </w:r>
            <w:r w:rsidR="00246353" w:rsidRPr="0054321D">
              <w:rPr>
                <w:rFonts w:ascii="Century" w:hAnsi="Century"/>
                <w:sz w:val="22"/>
                <w:szCs w:val="22"/>
              </w:rPr>
              <w:t xml:space="preserve"> yılı sonuna kadar yatay bir seyir izlemiş</w:t>
            </w:r>
            <w:r w:rsidR="00156912" w:rsidRPr="0054321D">
              <w:rPr>
                <w:rFonts w:ascii="Century" w:hAnsi="Century"/>
                <w:sz w:val="22"/>
                <w:szCs w:val="22"/>
              </w:rPr>
              <w:t>, 2018 yılında ise 2</w:t>
            </w:r>
            <w:proofErr w:type="gramStart"/>
            <w:r w:rsidR="00156912" w:rsidRPr="0054321D">
              <w:rPr>
                <w:rFonts w:ascii="Century" w:hAnsi="Century"/>
                <w:sz w:val="22"/>
                <w:szCs w:val="22"/>
              </w:rPr>
              <w:t>,5</w:t>
            </w:r>
            <w:proofErr w:type="gramEnd"/>
            <w:r w:rsidR="0000306C" w:rsidRPr="0054321D">
              <w:rPr>
                <w:rFonts w:ascii="Century" w:hAnsi="Century"/>
                <w:sz w:val="22"/>
                <w:szCs w:val="22"/>
              </w:rPr>
              <w:t xml:space="preserve"> puanlık bir düşüş yaşanmıştır.</w:t>
            </w:r>
          </w:p>
          <w:p w:rsidR="00A21BCE" w:rsidRPr="0054321D" w:rsidRDefault="00A21BCE" w:rsidP="003B05CE">
            <w:pPr>
              <w:jc w:val="both"/>
              <w:rPr>
                <w:rFonts w:ascii="Century" w:hAnsi="Century"/>
                <w:sz w:val="22"/>
                <w:szCs w:val="22"/>
              </w:rPr>
            </w:pPr>
          </w:p>
          <w:p w:rsidR="00156BA2" w:rsidRPr="0054321D" w:rsidRDefault="00156BA2" w:rsidP="003B05CE">
            <w:pPr>
              <w:jc w:val="both"/>
              <w:rPr>
                <w:rFonts w:ascii="Century" w:hAnsi="Century"/>
                <w:sz w:val="22"/>
                <w:szCs w:val="22"/>
              </w:rPr>
            </w:pPr>
          </w:p>
        </w:tc>
        <w:tc>
          <w:tcPr>
            <w:tcW w:w="236" w:type="dxa"/>
            <w:gridSpan w:val="4"/>
          </w:tcPr>
          <w:p w:rsidR="00F544B8" w:rsidRPr="0054321D" w:rsidRDefault="00F544B8" w:rsidP="00EF2418">
            <w:pPr>
              <w:jc w:val="both"/>
              <w:rPr>
                <w:rFonts w:ascii="Century" w:hAnsi="Century"/>
                <w:sz w:val="22"/>
                <w:szCs w:val="22"/>
              </w:rPr>
            </w:pPr>
          </w:p>
        </w:tc>
        <w:tc>
          <w:tcPr>
            <w:tcW w:w="4667" w:type="dxa"/>
            <w:gridSpan w:val="4"/>
          </w:tcPr>
          <w:p w:rsidR="008B2CEA" w:rsidRPr="0054321D" w:rsidRDefault="00847F1A" w:rsidP="008B2CEA">
            <w:pPr>
              <w:jc w:val="both"/>
              <w:rPr>
                <w:rFonts w:ascii="Century" w:hAnsi="Century" w:cs="Arial"/>
                <w:color w:val="333333"/>
                <w:sz w:val="22"/>
                <w:szCs w:val="22"/>
              </w:rPr>
            </w:pPr>
            <w:r w:rsidRPr="0054321D">
              <w:rPr>
                <w:rFonts w:ascii="Century" w:hAnsi="Century"/>
                <w:color w:val="333333"/>
                <w:sz w:val="22"/>
                <w:szCs w:val="22"/>
              </w:rPr>
              <w:t>By</w:t>
            </w:r>
            <w:r w:rsidR="008208D1" w:rsidRPr="0054321D">
              <w:rPr>
                <w:rFonts w:ascii="Century" w:hAnsi="Century"/>
                <w:color w:val="333333"/>
                <w:sz w:val="22"/>
                <w:szCs w:val="22"/>
              </w:rPr>
              <w:t xml:space="preserve"> the end of 201</w:t>
            </w:r>
            <w:r w:rsidR="00A21BCE" w:rsidRPr="0054321D">
              <w:rPr>
                <w:rFonts w:ascii="Century" w:hAnsi="Century"/>
                <w:color w:val="333333"/>
                <w:sz w:val="22"/>
                <w:szCs w:val="22"/>
              </w:rPr>
              <w:t>8</w:t>
            </w:r>
            <w:r w:rsidR="000C2550" w:rsidRPr="0054321D">
              <w:rPr>
                <w:rFonts w:ascii="Century" w:hAnsi="Century"/>
                <w:color w:val="333333"/>
                <w:sz w:val="22"/>
                <w:szCs w:val="22"/>
              </w:rPr>
              <w:t xml:space="preserve">, the share of </w:t>
            </w:r>
            <w:r w:rsidRPr="0054321D">
              <w:rPr>
                <w:rFonts w:ascii="Century" w:hAnsi="Century" w:cs="Arial"/>
                <w:color w:val="333333"/>
                <w:sz w:val="22"/>
                <w:szCs w:val="22"/>
              </w:rPr>
              <w:t>foreign</w:t>
            </w:r>
            <w:r w:rsidR="000C2550" w:rsidRPr="0054321D">
              <w:rPr>
                <w:rFonts w:ascii="Century" w:hAnsi="Century" w:cs="Arial"/>
                <w:color w:val="333333"/>
                <w:sz w:val="22"/>
                <w:szCs w:val="22"/>
              </w:rPr>
              <w:t xml:space="preserve"> capital</w:t>
            </w:r>
            <w:r w:rsidR="000C2550" w:rsidRPr="0054321D">
              <w:rPr>
                <w:rFonts w:ascii="Century" w:hAnsi="Century"/>
                <w:color w:val="333333"/>
                <w:sz w:val="22"/>
                <w:szCs w:val="22"/>
              </w:rPr>
              <w:t xml:space="preserve"> </w:t>
            </w:r>
            <w:r w:rsidR="008208D1" w:rsidRPr="0054321D">
              <w:rPr>
                <w:rFonts w:ascii="Century" w:hAnsi="Century"/>
                <w:color w:val="333333"/>
                <w:sz w:val="22"/>
                <w:szCs w:val="22"/>
              </w:rPr>
              <w:t>was</w:t>
            </w:r>
            <w:r w:rsidR="00A21BCE" w:rsidRPr="0054321D">
              <w:rPr>
                <w:rFonts w:ascii="Century" w:hAnsi="Century"/>
                <w:color w:val="333333"/>
                <w:sz w:val="22"/>
                <w:szCs w:val="22"/>
              </w:rPr>
              <w:t xml:space="preserve"> 68</w:t>
            </w:r>
            <w:r w:rsidR="00CC3634" w:rsidRPr="0054321D">
              <w:rPr>
                <w:rFonts w:ascii="Century" w:hAnsi="Century"/>
                <w:bCs/>
                <w:color w:val="333333"/>
                <w:sz w:val="22"/>
                <w:szCs w:val="22"/>
              </w:rPr>
              <w:t>%</w:t>
            </w:r>
            <w:r w:rsidR="00B97F55" w:rsidRPr="0054321D">
              <w:rPr>
                <w:rFonts w:ascii="Century" w:hAnsi="Century"/>
                <w:color w:val="333333"/>
                <w:sz w:val="22"/>
                <w:szCs w:val="22"/>
              </w:rPr>
              <w:t xml:space="preserve"> of </w:t>
            </w:r>
            <w:r w:rsidRPr="0054321D">
              <w:rPr>
                <w:rFonts w:ascii="Century" w:hAnsi="Century"/>
                <w:color w:val="333333"/>
                <w:sz w:val="22"/>
                <w:szCs w:val="22"/>
              </w:rPr>
              <w:t>paid in capital</w:t>
            </w:r>
            <w:r w:rsidR="00A21BCE" w:rsidRPr="0054321D">
              <w:rPr>
                <w:rFonts w:ascii="Century" w:hAnsi="Century"/>
                <w:color w:val="333333"/>
                <w:sz w:val="22"/>
                <w:szCs w:val="22"/>
              </w:rPr>
              <w:t>, and 58</w:t>
            </w:r>
            <w:r w:rsidR="00CC3634" w:rsidRPr="0054321D">
              <w:rPr>
                <w:rFonts w:ascii="Century" w:hAnsi="Century"/>
                <w:bCs/>
                <w:color w:val="333333"/>
                <w:sz w:val="22"/>
                <w:szCs w:val="22"/>
              </w:rPr>
              <w:t>%</w:t>
            </w:r>
            <w:r w:rsidR="000C2550" w:rsidRPr="0054321D">
              <w:rPr>
                <w:rFonts w:ascii="Century" w:hAnsi="Century"/>
                <w:color w:val="333333"/>
                <w:sz w:val="22"/>
                <w:szCs w:val="22"/>
              </w:rPr>
              <w:t xml:space="preserve"> of total </w:t>
            </w:r>
            <w:r w:rsidRPr="0054321D">
              <w:rPr>
                <w:rFonts w:ascii="Century" w:hAnsi="Century"/>
                <w:color w:val="333333"/>
                <w:sz w:val="22"/>
                <w:szCs w:val="22"/>
              </w:rPr>
              <w:t>premium volume</w:t>
            </w:r>
            <w:r w:rsidR="000C2550" w:rsidRPr="0054321D">
              <w:rPr>
                <w:rFonts w:ascii="Century" w:hAnsi="Century"/>
                <w:color w:val="333333"/>
                <w:sz w:val="22"/>
                <w:szCs w:val="22"/>
              </w:rPr>
              <w:t xml:space="preserve">. </w:t>
            </w:r>
          </w:p>
          <w:p w:rsidR="003B05CE" w:rsidRPr="0054321D" w:rsidRDefault="003B05CE" w:rsidP="001F3AE7">
            <w:pPr>
              <w:jc w:val="both"/>
              <w:rPr>
                <w:rFonts w:ascii="Century" w:hAnsi="Century"/>
                <w:color w:val="333333"/>
                <w:sz w:val="22"/>
                <w:szCs w:val="22"/>
              </w:rPr>
            </w:pPr>
          </w:p>
          <w:p w:rsidR="0054321D" w:rsidRPr="0054321D" w:rsidRDefault="008B2CEA" w:rsidP="0054321D">
            <w:pPr>
              <w:jc w:val="both"/>
              <w:rPr>
                <w:rFonts w:ascii="Century" w:hAnsi="Century"/>
                <w:color w:val="333333"/>
                <w:sz w:val="22"/>
                <w:szCs w:val="22"/>
              </w:rPr>
            </w:pPr>
            <w:r w:rsidRPr="0054321D">
              <w:rPr>
                <w:rFonts w:ascii="Century" w:hAnsi="Century"/>
                <w:color w:val="333333"/>
                <w:sz w:val="22"/>
                <w:szCs w:val="22"/>
              </w:rPr>
              <w:t xml:space="preserve">The following graph shows the development of </w:t>
            </w:r>
            <w:r w:rsidR="00847F1A" w:rsidRPr="0054321D">
              <w:rPr>
                <w:rFonts w:ascii="Century" w:hAnsi="Century"/>
                <w:color w:val="333333"/>
                <w:sz w:val="22"/>
                <w:szCs w:val="22"/>
              </w:rPr>
              <w:t xml:space="preserve">foreign capital share </w:t>
            </w:r>
            <w:r w:rsidRPr="0054321D">
              <w:rPr>
                <w:rFonts w:ascii="Century" w:hAnsi="Century"/>
                <w:color w:val="333333"/>
                <w:sz w:val="22"/>
                <w:szCs w:val="22"/>
              </w:rPr>
              <w:t>in total paid-in capital and total written premi</w:t>
            </w:r>
            <w:r w:rsidR="0054321D" w:rsidRPr="0054321D">
              <w:rPr>
                <w:rFonts w:ascii="Century" w:hAnsi="Century"/>
                <w:color w:val="333333"/>
                <w:sz w:val="22"/>
                <w:szCs w:val="22"/>
              </w:rPr>
              <w:t>um in Turkish insurance market since the year of 2001.</w:t>
            </w:r>
          </w:p>
          <w:p w:rsidR="00156912" w:rsidRPr="0054321D" w:rsidRDefault="00156912" w:rsidP="008B2CEA">
            <w:pPr>
              <w:jc w:val="both"/>
              <w:rPr>
                <w:rFonts w:ascii="Century" w:hAnsi="Century"/>
                <w:color w:val="333333"/>
                <w:sz w:val="22"/>
                <w:szCs w:val="22"/>
              </w:rPr>
            </w:pPr>
          </w:p>
          <w:p w:rsidR="008B2CEA" w:rsidRPr="0054321D" w:rsidRDefault="008B2CEA" w:rsidP="008B2CEA">
            <w:pPr>
              <w:jc w:val="both"/>
              <w:rPr>
                <w:rFonts w:ascii="Century" w:hAnsi="Century"/>
                <w:color w:val="333333"/>
                <w:sz w:val="22"/>
                <w:szCs w:val="22"/>
              </w:rPr>
            </w:pPr>
            <w:r w:rsidRPr="0054321D">
              <w:rPr>
                <w:rFonts w:ascii="Century" w:hAnsi="Century"/>
                <w:color w:val="333333"/>
                <w:sz w:val="22"/>
                <w:szCs w:val="22"/>
              </w:rPr>
              <w:t>As it stated below, while the international partner’s share w</w:t>
            </w:r>
            <w:r w:rsidR="00292668" w:rsidRPr="0054321D">
              <w:rPr>
                <w:rFonts w:ascii="Century" w:hAnsi="Century"/>
                <w:color w:val="333333"/>
                <w:sz w:val="22"/>
                <w:szCs w:val="22"/>
              </w:rPr>
              <w:t>as experienced negligible rise</w:t>
            </w:r>
            <w:r w:rsidRPr="0054321D">
              <w:rPr>
                <w:rFonts w:ascii="Century" w:hAnsi="Century"/>
                <w:color w:val="333333"/>
                <w:sz w:val="22"/>
                <w:szCs w:val="22"/>
              </w:rPr>
              <w:t xml:space="preserve"> during the 2001–2005 period, there has been a substantial increase between 2006 </w:t>
            </w:r>
            <w:r w:rsidR="00292668" w:rsidRPr="0054321D">
              <w:rPr>
                <w:rFonts w:ascii="Century" w:hAnsi="Century"/>
                <w:color w:val="333333"/>
                <w:sz w:val="22"/>
                <w:szCs w:val="22"/>
              </w:rPr>
              <w:t>and</w:t>
            </w:r>
            <w:r w:rsidRPr="0054321D">
              <w:rPr>
                <w:rFonts w:ascii="Century" w:hAnsi="Century"/>
                <w:color w:val="333333"/>
                <w:sz w:val="22"/>
                <w:szCs w:val="22"/>
              </w:rPr>
              <w:t xml:space="preserve"> 2013. </w:t>
            </w:r>
            <w:r w:rsidR="0054321D" w:rsidRPr="0054321D">
              <w:rPr>
                <w:rFonts w:ascii="Century" w:hAnsi="Century"/>
                <w:color w:val="333333"/>
                <w:sz w:val="22"/>
                <w:szCs w:val="22"/>
              </w:rPr>
              <w:t>Thereafter the development follows steady course till the end of 2017; however, it decreased by 2.5% in 2018.</w:t>
            </w:r>
          </w:p>
          <w:p w:rsidR="00F544B8" w:rsidRPr="0054321D" w:rsidRDefault="00F544B8" w:rsidP="006C48AD">
            <w:pPr>
              <w:jc w:val="both"/>
              <w:rPr>
                <w:rFonts w:ascii="Century" w:hAnsi="Century"/>
                <w:b/>
                <w:color w:val="003366"/>
                <w:sz w:val="22"/>
                <w:szCs w:val="22"/>
              </w:rPr>
            </w:pPr>
          </w:p>
        </w:tc>
      </w:tr>
      <w:tr w:rsidR="0080266C" w:rsidRPr="00B10D90" w:rsidTr="00441D50">
        <w:trPr>
          <w:gridAfter w:val="2"/>
          <w:wAfter w:w="38" w:type="dxa"/>
          <w:trHeight w:val="267"/>
        </w:trPr>
        <w:tc>
          <w:tcPr>
            <w:tcW w:w="9820" w:type="dxa"/>
            <w:gridSpan w:val="14"/>
          </w:tcPr>
          <w:p w:rsidR="001F3AE7" w:rsidRPr="00156912" w:rsidRDefault="001F3AE7" w:rsidP="003B05CE">
            <w:pPr>
              <w:jc w:val="center"/>
              <w:rPr>
                <w:rFonts w:ascii="Century" w:hAnsi="Century"/>
                <w:b/>
                <w:color w:val="000080"/>
                <w:sz w:val="20"/>
                <w:szCs w:val="20"/>
              </w:rPr>
            </w:pPr>
            <w:r w:rsidRPr="00156912">
              <w:rPr>
                <w:rFonts w:ascii="Century" w:hAnsi="Century"/>
                <w:b/>
                <w:color w:val="000080"/>
                <w:sz w:val="20"/>
                <w:szCs w:val="20"/>
              </w:rPr>
              <w:t xml:space="preserve">Grafik </w:t>
            </w:r>
            <w:r w:rsidR="005D0DBF" w:rsidRPr="00156912">
              <w:rPr>
                <w:rFonts w:ascii="Century" w:hAnsi="Century"/>
                <w:b/>
                <w:color w:val="000080"/>
                <w:sz w:val="20"/>
                <w:szCs w:val="20"/>
              </w:rPr>
              <w:t>3</w:t>
            </w:r>
            <w:r w:rsidRPr="00156912">
              <w:rPr>
                <w:rFonts w:ascii="Century" w:hAnsi="Century"/>
                <w:b/>
                <w:color w:val="000080"/>
                <w:sz w:val="20"/>
                <w:szCs w:val="20"/>
              </w:rPr>
              <w:t>.</w:t>
            </w:r>
            <w:r w:rsidR="005D0DBF" w:rsidRPr="00156912">
              <w:rPr>
                <w:rFonts w:ascii="Century" w:hAnsi="Century"/>
                <w:b/>
                <w:color w:val="000080"/>
                <w:sz w:val="20"/>
                <w:szCs w:val="20"/>
              </w:rPr>
              <w:t>1</w:t>
            </w:r>
            <w:r w:rsidRPr="00156912">
              <w:rPr>
                <w:rFonts w:ascii="Century" w:hAnsi="Century"/>
                <w:b/>
                <w:color w:val="000080"/>
                <w:sz w:val="20"/>
                <w:szCs w:val="20"/>
              </w:rPr>
              <w:t>.</w:t>
            </w:r>
            <w:r w:rsidR="005D0DBF" w:rsidRPr="00156912">
              <w:rPr>
                <w:rFonts w:ascii="Century" w:hAnsi="Century"/>
                <w:b/>
                <w:color w:val="000080"/>
                <w:sz w:val="20"/>
                <w:szCs w:val="20"/>
              </w:rPr>
              <w:t>5</w:t>
            </w:r>
            <w:r w:rsidR="00CD6987" w:rsidRPr="00156912">
              <w:rPr>
                <w:rFonts w:ascii="Century" w:hAnsi="Century"/>
                <w:b/>
                <w:color w:val="000080"/>
                <w:sz w:val="20"/>
                <w:szCs w:val="20"/>
              </w:rPr>
              <w:t xml:space="preserve">: </w:t>
            </w:r>
            <w:r w:rsidR="00996C36" w:rsidRPr="00156912">
              <w:rPr>
                <w:rFonts w:ascii="Century" w:hAnsi="Century"/>
                <w:b/>
                <w:color w:val="000080"/>
                <w:sz w:val="20"/>
                <w:szCs w:val="20"/>
              </w:rPr>
              <w:t>Uluslararası</w:t>
            </w:r>
            <w:r w:rsidRPr="00156912">
              <w:rPr>
                <w:rFonts w:ascii="Century" w:hAnsi="Century"/>
                <w:b/>
                <w:color w:val="000080"/>
                <w:sz w:val="20"/>
                <w:szCs w:val="20"/>
              </w:rPr>
              <w:t xml:space="preserve"> Sermaye Payının Gelişimi (%)</w:t>
            </w:r>
          </w:p>
          <w:p w:rsidR="004B477A" w:rsidRDefault="001F3AE7" w:rsidP="001F3AE7">
            <w:pPr>
              <w:jc w:val="center"/>
              <w:rPr>
                <w:rFonts w:ascii="Century" w:hAnsi="Century"/>
                <w:i/>
                <w:color w:val="000080"/>
                <w:sz w:val="20"/>
                <w:szCs w:val="20"/>
              </w:rPr>
            </w:pPr>
            <w:r w:rsidRPr="00156912">
              <w:rPr>
                <w:rFonts w:ascii="Century" w:hAnsi="Century"/>
                <w:i/>
                <w:color w:val="000080"/>
                <w:sz w:val="20"/>
                <w:szCs w:val="20"/>
              </w:rPr>
              <w:t>Development of</w:t>
            </w:r>
            <w:r w:rsidRPr="00156912">
              <w:rPr>
                <w:rFonts w:ascii="Century" w:hAnsi="Century"/>
                <w:b/>
                <w:color w:val="000080"/>
                <w:sz w:val="20"/>
                <w:szCs w:val="20"/>
              </w:rPr>
              <w:t xml:space="preserve"> </w:t>
            </w:r>
            <w:r w:rsidR="00250B8A" w:rsidRPr="00156912">
              <w:rPr>
                <w:rFonts w:ascii="Century" w:hAnsi="Century"/>
                <w:i/>
                <w:color w:val="000080"/>
                <w:sz w:val="20"/>
                <w:szCs w:val="20"/>
              </w:rPr>
              <w:t>International</w:t>
            </w:r>
            <w:r w:rsidRPr="00156912">
              <w:rPr>
                <w:rFonts w:ascii="Century" w:hAnsi="Century"/>
                <w:i/>
                <w:color w:val="000080"/>
                <w:sz w:val="20"/>
                <w:szCs w:val="20"/>
              </w:rPr>
              <w:t xml:space="preserve"> Capital Share (%)</w:t>
            </w:r>
          </w:p>
          <w:p w:rsidR="00A130D3" w:rsidRPr="00156912" w:rsidRDefault="00A130D3" w:rsidP="001F3AE7">
            <w:pPr>
              <w:jc w:val="center"/>
              <w:rPr>
                <w:rFonts w:ascii="Century" w:hAnsi="Century"/>
                <w:i/>
                <w:color w:val="000080"/>
                <w:sz w:val="20"/>
                <w:szCs w:val="20"/>
              </w:rPr>
            </w:pPr>
            <w:r>
              <w:rPr>
                <w:rFonts w:ascii="Century" w:hAnsi="Century"/>
                <w:i/>
                <w:noProof/>
                <w:color w:val="000080"/>
                <w:sz w:val="20"/>
                <w:szCs w:val="20"/>
              </w:rPr>
              <w:drawing>
                <wp:inline distT="0" distB="0" distL="0" distR="0" wp14:anchorId="6E0853B9" wp14:editId="5080D458">
                  <wp:extent cx="6090699" cy="2846567"/>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0920" cy="2846670"/>
                          </a:xfrm>
                          <a:prstGeom prst="rect">
                            <a:avLst/>
                          </a:prstGeom>
                          <a:noFill/>
                          <a:ln>
                            <a:noFill/>
                          </a:ln>
                        </pic:spPr>
                      </pic:pic>
                    </a:graphicData>
                  </a:graphic>
                </wp:inline>
              </w:drawing>
            </w:r>
          </w:p>
          <w:p w:rsidR="00B97F55" w:rsidRPr="00156912" w:rsidRDefault="00B97F55" w:rsidP="001F3AE7">
            <w:pPr>
              <w:jc w:val="center"/>
              <w:rPr>
                <w:rFonts w:ascii="Century" w:hAnsi="Century"/>
                <w:i/>
                <w:color w:val="000080"/>
                <w:sz w:val="20"/>
                <w:szCs w:val="20"/>
              </w:rPr>
            </w:pPr>
          </w:p>
          <w:p w:rsidR="00156912" w:rsidRDefault="00156912" w:rsidP="00156BA2">
            <w:pPr>
              <w:rPr>
                <w:rFonts w:ascii="Century" w:hAnsi="Century"/>
                <w:b/>
                <w:i/>
                <w:color w:val="000080"/>
                <w:sz w:val="20"/>
                <w:szCs w:val="20"/>
              </w:rPr>
            </w:pPr>
          </w:p>
          <w:p w:rsidR="00A130D3" w:rsidRPr="00156912" w:rsidRDefault="00A130D3" w:rsidP="00156BA2">
            <w:pPr>
              <w:rPr>
                <w:rFonts w:ascii="Century" w:hAnsi="Century"/>
                <w:b/>
                <w:i/>
                <w:color w:val="000080"/>
                <w:sz w:val="20"/>
                <w:szCs w:val="20"/>
              </w:rPr>
            </w:pPr>
          </w:p>
        </w:tc>
      </w:tr>
      <w:tr w:rsidR="00F544B8" w:rsidRPr="00B10D90" w:rsidTr="00441D50">
        <w:trPr>
          <w:gridAfter w:val="2"/>
          <w:wAfter w:w="38" w:type="dxa"/>
        </w:trPr>
        <w:tc>
          <w:tcPr>
            <w:tcW w:w="4880" w:type="dxa"/>
            <w:gridSpan w:val="4"/>
          </w:tcPr>
          <w:p w:rsidR="00F544B8" w:rsidRPr="0054321D" w:rsidRDefault="001573E8" w:rsidP="005A404D">
            <w:pPr>
              <w:pStyle w:val="Heading3"/>
              <w:keepNext w:val="0"/>
              <w:spacing w:before="0" w:after="0"/>
              <w:ind w:left="0"/>
              <w:rPr>
                <w:rFonts w:ascii="Century" w:hAnsi="Century"/>
                <w:color w:val="000080"/>
                <w:sz w:val="22"/>
                <w:szCs w:val="22"/>
              </w:rPr>
            </w:pPr>
            <w:bookmarkStart w:id="192" w:name="_Toc327793338"/>
            <w:bookmarkStart w:id="193" w:name="_Toc358380198"/>
            <w:bookmarkStart w:id="194" w:name="_Toc12957668"/>
            <w:r w:rsidRPr="0054321D">
              <w:rPr>
                <w:rFonts w:ascii="Century" w:hAnsi="Century"/>
                <w:color w:val="000080"/>
                <w:sz w:val="22"/>
                <w:szCs w:val="22"/>
              </w:rPr>
              <w:lastRenderedPageBreak/>
              <w:t>Teknik Karşılık</w:t>
            </w:r>
            <w:r w:rsidR="00F544B8" w:rsidRPr="0054321D">
              <w:rPr>
                <w:rFonts w:ascii="Century" w:hAnsi="Century"/>
                <w:color w:val="000080"/>
                <w:sz w:val="22"/>
                <w:szCs w:val="22"/>
              </w:rPr>
              <w:t>lar</w:t>
            </w:r>
            <w:bookmarkEnd w:id="192"/>
            <w:bookmarkEnd w:id="193"/>
            <w:bookmarkEnd w:id="194"/>
          </w:p>
          <w:p w:rsidR="00F544B8" w:rsidRPr="0054321D" w:rsidRDefault="00F544B8" w:rsidP="00E11657">
            <w:pPr>
              <w:rPr>
                <w:rFonts w:ascii="Century" w:hAnsi="Century"/>
                <w:sz w:val="22"/>
                <w:szCs w:val="22"/>
              </w:rPr>
            </w:pPr>
          </w:p>
          <w:p w:rsidR="000C2550" w:rsidRPr="0054321D" w:rsidRDefault="000C2550" w:rsidP="000C2550">
            <w:pPr>
              <w:jc w:val="both"/>
              <w:rPr>
                <w:rFonts w:ascii="Century" w:hAnsi="Century"/>
                <w:color w:val="000000"/>
                <w:sz w:val="22"/>
                <w:szCs w:val="22"/>
              </w:rPr>
            </w:pPr>
            <w:r w:rsidRPr="0054321D">
              <w:rPr>
                <w:rFonts w:ascii="Century" w:hAnsi="Century"/>
                <w:color w:val="000000"/>
                <w:sz w:val="22"/>
                <w:szCs w:val="22"/>
              </w:rPr>
              <w:t>Sigorta, reasürans ve emeklilik şirketlerinin sigorta sözleşmelerinden kaynaklanan yükümlülükleri için ayırmak zorunda oldukları teknik karşılıklar, mevzuat değişikliklerinin de etkisiyle son yıllarda önemli miktarda artış göstermiştir. 201</w:t>
            </w:r>
            <w:r w:rsidR="000D3607" w:rsidRPr="0054321D">
              <w:rPr>
                <w:rFonts w:ascii="Century" w:hAnsi="Century"/>
                <w:color w:val="000000"/>
                <w:sz w:val="22"/>
                <w:szCs w:val="22"/>
              </w:rPr>
              <w:t>4</w:t>
            </w:r>
            <w:r w:rsidR="002411A6" w:rsidRPr="0054321D">
              <w:rPr>
                <w:rFonts w:ascii="Century" w:hAnsi="Century"/>
                <w:color w:val="000000"/>
                <w:sz w:val="22"/>
                <w:szCs w:val="22"/>
              </w:rPr>
              <w:t xml:space="preserve"> ve 201</w:t>
            </w:r>
            <w:r w:rsidR="000D3607" w:rsidRPr="0054321D">
              <w:rPr>
                <w:rFonts w:ascii="Century" w:hAnsi="Century"/>
                <w:color w:val="000000"/>
                <w:sz w:val="22"/>
                <w:szCs w:val="22"/>
              </w:rPr>
              <w:t>8</w:t>
            </w:r>
            <w:r w:rsidRPr="0054321D">
              <w:rPr>
                <w:rFonts w:ascii="Century" w:hAnsi="Century"/>
                <w:color w:val="000000"/>
                <w:sz w:val="22"/>
                <w:szCs w:val="22"/>
              </w:rPr>
              <w:t xml:space="preserve"> yılları arasında teknik karşılıklardaki en yüksek artış, Muallak Tazminat Karşılıklarında yaşanmıştır. </w:t>
            </w:r>
          </w:p>
          <w:p w:rsidR="000C2550" w:rsidRPr="0054321D" w:rsidRDefault="000C2550" w:rsidP="000C2550">
            <w:pPr>
              <w:jc w:val="both"/>
              <w:rPr>
                <w:rFonts w:ascii="Century" w:hAnsi="Century"/>
                <w:color w:val="000000"/>
                <w:sz w:val="22"/>
                <w:szCs w:val="22"/>
              </w:rPr>
            </w:pPr>
          </w:p>
          <w:p w:rsidR="00FE013E" w:rsidRPr="0054321D" w:rsidRDefault="000C2550" w:rsidP="009A61E9">
            <w:pPr>
              <w:jc w:val="both"/>
              <w:rPr>
                <w:rFonts w:ascii="Century" w:hAnsi="Century"/>
                <w:color w:val="000000"/>
                <w:sz w:val="22"/>
                <w:szCs w:val="22"/>
              </w:rPr>
            </w:pPr>
            <w:r w:rsidRPr="0054321D">
              <w:rPr>
                <w:rFonts w:ascii="Century" w:hAnsi="Century"/>
                <w:color w:val="000000"/>
                <w:sz w:val="22"/>
                <w:szCs w:val="22"/>
              </w:rPr>
              <w:t>Aşağıdaki tabloda teknik karşılıklarda son beş yıllık döneme ilişkin tutarlar karşılık türü bazında verilmiştir.</w:t>
            </w:r>
          </w:p>
          <w:p w:rsidR="009A61E9" w:rsidRPr="0054321D" w:rsidRDefault="009A61E9" w:rsidP="009A61E9">
            <w:pPr>
              <w:jc w:val="both"/>
              <w:rPr>
                <w:rFonts w:ascii="Century" w:hAnsi="Century"/>
                <w:sz w:val="22"/>
                <w:szCs w:val="22"/>
              </w:rPr>
            </w:pPr>
          </w:p>
        </w:tc>
        <w:tc>
          <w:tcPr>
            <w:tcW w:w="290" w:type="dxa"/>
            <w:gridSpan w:val="7"/>
          </w:tcPr>
          <w:p w:rsidR="00F544B8" w:rsidRPr="0054321D" w:rsidRDefault="00F544B8" w:rsidP="008D17FE">
            <w:pPr>
              <w:rPr>
                <w:rFonts w:ascii="Century" w:hAnsi="Century"/>
                <w:sz w:val="22"/>
                <w:szCs w:val="22"/>
              </w:rPr>
            </w:pPr>
          </w:p>
        </w:tc>
        <w:tc>
          <w:tcPr>
            <w:tcW w:w="4650" w:type="dxa"/>
            <w:gridSpan w:val="3"/>
          </w:tcPr>
          <w:p w:rsidR="00F544B8" w:rsidRPr="0054321D" w:rsidRDefault="009A743A" w:rsidP="00E54B0C">
            <w:pPr>
              <w:jc w:val="both"/>
              <w:rPr>
                <w:rFonts w:ascii="Century" w:hAnsi="Century"/>
                <w:b/>
                <w:color w:val="003366"/>
                <w:sz w:val="22"/>
                <w:szCs w:val="22"/>
              </w:rPr>
            </w:pPr>
            <w:r w:rsidRPr="0054321D">
              <w:rPr>
                <w:rFonts w:ascii="Century" w:hAnsi="Century"/>
                <w:b/>
                <w:color w:val="003366"/>
                <w:sz w:val="22"/>
                <w:szCs w:val="22"/>
              </w:rPr>
              <w:t>3</w:t>
            </w:r>
            <w:r w:rsidR="00F544B8" w:rsidRPr="0054321D">
              <w:rPr>
                <w:rFonts w:ascii="Century" w:hAnsi="Century"/>
                <w:b/>
                <w:color w:val="003366"/>
                <w:sz w:val="22"/>
                <w:szCs w:val="22"/>
              </w:rPr>
              <w:t>.</w:t>
            </w:r>
            <w:r w:rsidRPr="0054321D">
              <w:rPr>
                <w:rFonts w:ascii="Century" w:hAnsi="Century"/>
                <w:b/>
                <w:color w:val="003366"/>
                <w:sz w:val="22"/>
                <w:szCs w:val="22"/>
              </w:rPr>
              <w:t>1</w:t>
            </w:r>
            <w:r w:rsidR="00F544B8" w:rsidRPr="0054321D">
              <w:rPr>
                <w:rFonts w:ascii="Century" w:hAnsi="Century"/>
                <w:b/>
                <w:color w:val="003366"/>
                <w:sz w:val="22"/>
                <w:szCs w:val="22"/>
              </w:rPr>
              <w:t>.</w:t>
            </w:r>
            <w:r w:rsidRPr="0054321D">
              <w:rPr>
                <w:rFonts w:ascii="Century" w:hAnsi="Century"/>
                <w:b/>
                <w:color w:val="003366"/>
                <w:sz w:val="22"/>
                <w:szCs w:val="22"/>
              </w:rPr>
              <w:t>3</w:t>
            </w:r>
            <w:r w:rsidR="00F544B8" w:rsidRPr="0054321D">
              <w:rPr>
                <w:rFonts w:ascii="Century" w:hAnsi="Century"/>
                <w:b/>
                <w:color w:val="003366"/>
                <w:sz w:val="22"/>
                <w:szCs w:val="22"/>
              </w:rPr>
              <w:t>. Technical Reserves</w:t>
            </w:r>
            <w:r w:rsidR="00114D16" w:rsidRPr="0054321D">
              <w:rPr>
                <w:rFonts w:ascii="Century" w:hAnsi="Century"/>
                <w:b/>
                <w:color w:val="003366"/>
                <w:sz w:val="22"/>
                <w:szCs w:val="22"/>
              </w:rPr>
              <w:t xml:space="preserve"> </w:t>
            </w:r>
          </w:p>
          <w:p w:rsidR="00F544B8" w:rsidRPr="0054321D" w:rsidRDefault="00F544B8" w:rsidP="00E54B0C">
            <w:pPr>
              <w:jc w:val="both"/>
              <w:rPr>
                <w:rFonts w:ascii="Century" w:hAnsi="Century"/>
                <w:color w:val="404040"/>
                <w:sz w:val="22"/>
                <w:szCs w:val="22"/>
              </w:rPr>
            </w:pPr>
          </w:p>
          <w:p w:rsidR="0054321D" w:rsidRPr="0054321D" w:rsidRDefault="000C2550" w:rsidP="0054321D">
            <w:pPr>
              <w:jc w:val="both"/>
              <w:rPr>
                <w:rFonts w:ascii="Century" w:hAnsi="Century" w:cs="Arial"/>
                <w:color w:val="333333"/>
                <w:sz w:val="22"/>
                <w:szCs w:val="22"/>
              </w:rPr>
            </w:pPr>
            <w:r w:rsidRPr="0054321D">
              <w:rPr>
                <w:rFonts w:ascii="Century" w:hAnsi="Century"/>
                <w:color w:val="333333"/>
                <w:sz w:val="22"/>
                <w:szCs w:val="22"/>
                <w:lang w:val="en-GB"/>
              </w:rPr>
              <w:t xml:space="preserve">The technical reserves which insurance, reinsurance and pension companies have to set-aside for their liabilities arising from insurance contracts </w:t>
            </w:r>
            <w:r w:rsidRPr="0054321D">
              <w:rPr>
                <w:rFonts w:ascii="Century" w:hAnsi="Century" w:cs="Arial"/>
                <w:color w:val="333333"/>
                <w:sz w:val="22"/>
                <w:szCs w:val="22"/>
              </w:rPr>
              <w:t xml:space="preserve">has substantially increased with the effect of amendments in the regulation. </w:t>
            </w:r>
            <w:r w:rsidR="0054321D" w:rsidRPr="0054321D">
              <w:rPr>
                <w:rFonts w:ascii="Century" w:hAnsi="Century" w:cs="Arial"/>
                <w:color w:val="333333"/>
                <w:sz w:val="22"/>
                <w:szCs w:val="22"/>
              </w:rPr>
              <w:t xml:space="preserve">. The largest increase in the technical reserves has been experienced in outstanding claims reserves during years between 2014 and 2018. </w:t>
            </w:r>
          </w:p>
          <w:p w:rsidR="000C2550" w:rsidRPr="0054321D" w:rsidRDefault="000C2550" w:rsidP="000C2550">
            <w:pPr>
              <w:jc w:val="both"/>
              <w:rPr>
                <w:rFonts w:ascii="Century" w:hAnsi="Century" w:cs="Arial"/>
                <w:color w:val="333333"/>
                <w:sz w:val="22"/>
                <w:szCs w:val="22"/>
              </w:rPr>
            </w:pPr>
          </w:p>
          <w:p w:rsidR="00F544B8" w:rsidRPr="0054321D" w:rsidRDefault="000C2550" w:rsidP="000C2550">
            <w:pPr>
              <w:jc w:val="both"/>
              <w:rPr>
                <w:rFonts w:ascii="Century" w:hAnsi="Century"/>
                <w:color w:val="333333"/>
                <w:sz w:val="22"/>
                <w:szCs w:val="22"/>
              </w:rPr>
            </w:pPr>
            <w:r w:rsidRPr="0054321D">
              <w:rPr>
                <w:rFonts w:ascii="Century" w:hAnsi="Century" w:cs="Arial"/>
                <w:color w:val="333333"/>
                <w:sz w:val="22"/>
                <w:szCs w:val="22"/>
              </w:rPr>
              <w:t xml:space="preserve">The following table </w:t>
            </w:r>
            <w:r w:rsidR="009A168E" w:rsidRPr="0054321D">
              <w:rPr>
                <w:rFonts w:ascii="Century" w:hAnsi="Century" w:cs="Arial"/>
                <w:color w:val="333333"/>
                <w:sz w:val="22"/>
                <w:szCs w:val="22"/>
              </w:rPr>
              <w:t>re</w:t>
            </w:r>
            <w:r w:rsidRPr="0054321D">
              <w:rPr>
                <w:rFonts w:ascii="Century" w:hAnsi="Century" w:cs="Arial"/>
                <w:color w:val="333333"/>
                <w:sz w:val="22"/>
                <w:szCs w:val="22"/>
              </w:rPr>
              <w:t>presents the amount of the technical reserves and provisions for the last five years.</w:t>
            </w:r>
          </w:p>
        </w:tc>
      </w:tr>
      <w:tr w:rsidR="00F544B8" w:rsidRPr="00B10D90" w:rsidTr="00441D50">
        <w:trPr>
          <w:gridAfter w:val="2"/>
          <w:wAfter w:w="38" w:type="dxa"/>
          <w:trHeight w:val="2532"/>
        </w:trPr>
        <w:tc>
          <w:tcPr>
            <w:tcW w:w="9820" w:type="dxa"/>
            <w:gridSpan w:val="14"/>
          </w:tcPr>
          <w:p w:rsidR="00D26359" w:rsidRPr="00747821" w:rsidRDefault="00F544B8" w:rsidP="00D26359">
            <w:pPr>
              <w:pStyle w:val="Caption"/>
              <w:jc w:val="center"/>
              <w:rPr>
                <w:rFonts w:ascii="Century" w:hAnsi="Century"/>
                <w:b w:val="0"/>
                <w:bCs w:val="0"/>
                <w:i/>
                <w:iCs/>
                <w:color w:val="000080"/>
              </w:rPr>
            </w:pPr>
            <w:r w:rsidRPr="00747821">
              <w:rPr>
                <w:rFonts w:ascii="Century" w:hAnsi="Century"/>
                <w:color w:val="000080"/>
              </w:rPr>
              <w:t xml:space="preserve">Tablo </w:t>
            </w:r>
            <w:r w:rsidR="005D0DBF" w:rsidRPr="00747821">
              <w:rPr>
                <w:rFonts w:ascii="Century" w:hAnsi="Century"/>
                <w:color w:val="000080"/>
              </w:rPr>
              <w:t>3</w:t>
            </w:r>
            <w:r w:rsidRPr="00747821">
              <w:rPr>
                <w:rFonts w:ascii="Century" w:hAnsi="Century"/>
                <w:color w:val="000080"/>
              </w:rPr>
              <w:t>.</w:t>
            </w:r>
            <w:r w:rsidR="005D0DBF" w:rsidRPr="00747821">
              <w:rPr>
                <w:rFonts w:ascii="Century" w:hAnsi="Century"/>
                <w:color w:val="000080"/>
              </w:rPr>
              <w:t>1</w:t>
            </w:r>
            <w:r w:rsidRPr="00747821">
              <w:rPr>
                <w:rFonts w:ascii="Century" w:hAnsi="Century"/>
                <w:color w:val="000080"/>
              </w:rPr>
              <w:t>.</w:t>
            </w:r>
            <w:r w:rsidR="005D0DBF" w:rsidRPr="00747821">
              <w:rPr>
                <w:rFonts w:ascii="Century" w:hAnsi="Century"/>
                <w:color w:val="000080"/>
              </w:rPr>
              <w:t>2</w:t>
            </w:r>
            <w:r w:rsidRPr="00747821">
              <w:rPr>
                <w:rFonts w:ascii="Century" w:hAnsi="Century"/>
                <w:color w:val="000080"/>
              </w:rPr>
              <w:t xml:space="preserve">: </w:t>
            </w:r>
            <w:r w:rsidR="001573E8" w:rsidRPr="00747821">
              <w:rPr>
                <w:rFonts w:ascii="Century" w:hAnsi="Century"/>
                <w:bCs w:val="0"/>
                <w:color w:val="000080"/>
              </w:rPr>
              <w:t>Teknik Karşılık</w:t>
            </w:r>
            <w:r w:rsidRPr="00747821">
              <w:rPr>
                <w:rFonts w:ascii="Century" w:hAnsi="Century"/>
                <w:bCs w:val="0"/>
                <w:color w:val="000080"/>
              </w:rPr>
              <w:t xml:space="preserve">lar (Brüt) – </w:t>
            </w:r>
            <w:r w:rsidRPr="00747821">
              <w:rPr>
                <w:rFonts w:ascii="Century" w:hAnsi="Century"/>
                <w:b w:val="0"/>
                <w:bCs w:val="0"/>
                <w:i/>
                <w:color w:val="000080"/>
              </w:rPr>
              <w:t>Gross T</w:t>
            </w:r>
            <w:r w:rsidRPr="00747821">
              <w:rPr>
                <w:rFonts w:ascii="Century" w:hAnsi="Century"/>
                <w:b w:val="0"/>
                <w:bCs w:val="0"/>
                <w:i/>
                <w:iCs/>
                <w:color w:val="000080"/>
              </w:rPr>
              <w:t xml:space="preserve">echnical </w:t>
            </w:r>
            <w:r w:rsidRPr="00747821">
              <w:rPr>
                <w:rFonts w:ascii="Century" w:hAnsi="Century"/>
                <w:b w:val="0"/>
                <w:bCs w:val="0"/>
                <w:i/>
                <w:color w:val="000080"/>
              </w:rPr>
              <w:t>Reserves</w:t>
            </w:r>
            <w:r w:rsidRPr="00747821">
              <w:rPr>
                <w:rFonts w:ascii="Century" w:hAnsi="Century"/>
                <w:b w:val="0"/>
                <w:bCs w:val="0"/>
                <w:i/>
                <w:iCs/>
                <w:color w:val="000080"/>
              </w:rPr>
              <w:t xml:space="preserve"> </w:t>
            </w:r>
            <w:r w:rsidR="00EB1D98" w:rsidRPr="00747821">
              <w:rPr>
                <w:rFonts w:ascii="Century" w:hAnsi="Century"/>
                <w:b w:val="0"/>
                <w:bCs w:val="0"/>
                <w:i/>
                <w:iCs/>
                <w:color w:val="000080"/>
              </w:rPr>
              <w:t xml:space="preserve">and Provisions </w:t>
            </w:r>
            <w:r w:rsidRPr="00747821">
              <w:rPr>
                <w:rFonts w:ascii="Century" w:hAnsi="Century"/>
                <w:b w:val="0"/>
                <w:bCs w:val="0"/>
                <w:i/>
                <w:iCs/>
                <w:color w:val="000080"/>
              </w:rPr>
              <w:t>(*)</w:t>
            </w:r>
          </w:p>
          <w:p w:rsidR="00BC43F6" w:rsidRPr="00747821" w:rsidRDefault="000D3607" w:rsidP="00BC43F6">
            <w:pPr>
              <w:jc w:val="center"/>
            </w:pPr>
            <w:r w:rsidRPr="00747821">
              <w:rPr>
                <w:noProof/>
              </w:rPr>
              <w:drawing>
                <wp:inline distT="0" distB="0" distL="0" distR="0" wp14:anchorId="795F22C9" wp14:editId="51C66BA9">
                  <wp:extent cx="6098650" cy="1478943"/>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8540" cy="1478916"/>
                          </a:xfrm>
                          <a:prstGeom prst="rect">
                            <a:avLst/>
                          </a:prstGeom>
                          <a:noFill/>
                          <a:ln>
                            <a:noFill/>
                          </a:ln>
                        </pic:spPr>
                      </pic:pic>
                    </a:graphicData>
                  </a:graphic>
                </wp:inline>
              </w:drawing>
            </w:r>
          </w:p>
          <w:p w:rsidR="00FB4563" w:rsidRPr="00747821" w:rsidRDefault="00F544B8" w:rsidP="00902EDF">
            <w:pPr>
              <w:rPr>
                <w:rFonts w:ascii="Century" w:hAnsi="Century" w:cs="Arial TUR"/>
                <w:i/>
                <w:iCs/>
                <w:sz w:val="16"/>
                <w:szCs w:val="16"/>
                <w:lang w:eastAsia="tr-TR"/>
              </w:rPr>
            </w:pPr>
            <w:r w:rsidRPr="00747821">
              <w:rPr>
                <w:rFonts w:ascii="Century" w:hAnsi="Century" w:cs="Arial TUR"/>
                <w:sz w:val="16"/>
                <w:szCs w:val="16"/>
                <w:lang w:eastAsia="tr-TR"/>
              </w:rPr>
              <w:t xml:space="preserve">(*) Sigorta ve emeklilik şirketlerinin bilanço verileridir. </w:t>
            </w:r>
            <w:r w:rsidRPr="00747821">
              <w:rPr>
                <w:rFonts w:ascii="Century" w:hAnsi="Century" w:cs="Arial TUR"/>
                <w:i/>
                <w:sz w:val="16"/>
                <w:szCs w:val="16"/>
                <w:lang w:eastAsia="tr-TR"/>
              </w:rPr>
              <w:t>The figures are taken from the balance sheets of insurance and pension companies.</w:t>
            </w:r>
          </w:p>
        </w:tc>
      </w:tr>
      <w:tr w:rsidR="00355E0F" w:rsidRPr="00B10D90" w:rsidTr="00441D50">
        <w:trPr>
          <w:gridAfter w:val="2"/>
          <w:wAfter w:w="38" w:type="dxa"/>
          <w:trHeight w:val="135"/>
        </w:trPr>
        <w:tc>
          <w:tcPr>
            <w:tcW w:w="4817" w:type="dxa"/>
            <w:gridSpan w:val="2"/>
            <w:vMerge w:val="restart"/>
          </w:tcPr>
          <w:p w:rsidR="00902EDF" w:rsidRPr="00EA0543" w:rsidRDefault="00902EDF" w:rsidP="00B51DCF">
            <w:pPr>
              <w:jc w:val="both"/>
              <w:rPr>
                <w:rFonts w:ascii="Century" w:hAnsi="Century"/>
                <w:color w:val="000000"/>
                <w:sz w:val="22"/>
                <w:szCs w:val="22"/>
                <w:highlight w:val="yellow"/>
              </w:rPr>
            </w:pPr>
          </w:p>
          <w:p w:rsidR="000D3607" w:rsidRDefault="00EB7FAA" w:rsidP="00B51DCF">
            <w:pPr>
              <w:jc w:val="both"/>
              <w:rPr>
                <w:rFonts w:ascii="Century" w:hAnsi="Century"/>
                <w:color w:val="000000"/>
                <w:sz w:val="22"/>
                <w:szCs w:val="22"/>
                <w:highlight w:val="yellow"/>
              </w:rPr>
            </w:pPr>
            <w:r w:rsidRPr="00747821">
              <w:rPr>
                <w:rFonts w:ascii="Century" w:hAnsi="Century"/>
                <w:color w:val="000000"/>
                <w:sz w:val="22"/>
                <w:szCs w:val="22"/>
              </w:rPr>
              <w:t>Sigorta ve emeklilik şirketleri tarafı</w:t>
            </w:r>
            <w:r w:rsidR="00705F45" w:rsidRPr="00747821">
              <w:rPr>
                <w:rFonts w:ascii="Century" w:hAnsi="Century"/>
                <w:color w:val="000000"/>
                <w:sz w:val="22"/>
                <w:szCs w:val="22"/>
              </w:rPr>
              <w:t>ndan 31.</w:t>
            </w:r>
            <w:r w:rsidRPr="00747821">
              <w:rPr>
                <w:rFonts w:ascii="Century" w:hAnsi="Century"/>
                <w:color w:val="000000"/>
                <w:sz w:val="22"/>
                <w:szCs w:val="22"/>
              </w:rPr>
              <w:t>12</w:t>
            </w:r>
            <w:r w:rsidR="00705F45" w:rsidRPr="00747821">
              <w:rPr>
                <w:rFonts w:ascii="Century" w:hAnsi="Century"/>
                <w:color w:val="000000"/>
                <w:sz w:val="22"/>
                <w:szCs w:val="22"/>
              </w:rPr>
              <w:t>.</w:t>
            </w:r>
            <w:r w:rsidRPr="00747821">
              <w:rPr>
                <w:rFonts w:ascii="Century" w:hAnsi="Century"/>
                <w:color w:val="000000"/>
                <w:sz w:val="22"/>
                <w:szCs w:val="22"/>
              </w:rPr>
              <w:t>201</w:t>
            </w:r>
            <w:r w:rsidR="00747821" w:rsidRPr="00747821">
              <w:rPr>
                <w:rFonts w:ascii="Century" w:hAnsi="Century"/>
                <w:color w:val="000000"/>
                <w:sz w:val="22"/>
                <w:szCs w:val="22"/>
              </w:rPr>
              <w:t xml:space="preserve">8 tarihi </w:t>
            </w:r>
            <w:r w:rsidR="00747821" w:rsidRPr="007158B9">
              <w:rPr>
                <w:rFonts w:ascii="Century" w:hAnsi="Century"/>
                <w:color w:val="000000"/>
                <w:sz w:val="22"/>
                <w:szCs w:val="22"/>
              </w:rPr>
              <w:t>itibarıyla 39</w:t>
            </w:r>
            <w:proofErr w:type="gramStart"/>
            <w:r w:rsidRPr="007158B9">
              <w:rPr>
                <w:rFonts w:ascii="Century" w:hAnsi="Century"/>
                <w:color w:val="000000"/>
                <w:sz w:val="22"/>
                <w:szCs w:val="22"/>
              </w:rPr>
              <w:t>,</w:t>
            </w:r>
            <w:r w:rsidR="00747821" w:rsidRPr="007158B9">
              <w:rPr>
                <w:rFonts w:ascii="Century" w:hAnsi="Century"/>
                <w:color w:val="000000"/>
                <w:sz w:val="22"/>
                <w:szCs w:val="22"/>
              </w:rPr>
              <w:t>3</w:t>
            </w:r>
            <w:proofErr w:type="gramEnd"/>
            <w:r w:rsidRPr="007158B9">
              <w:rPr>
                <w:rFonts w:ascii="Century" w:hAnsi="Century"/>
                <w:color w:val="000000"/>
                <w:sz w:val="22"/>
                <w:szCs w:val="22"/>
              </w:rPr>
              <w:t xml:space="preserve"> milyar TL muallak tazminat karşılığı ayrılmıştır. </w:t>
            </w:r>
            <w:r w:rsidR="00C62516">
              <w:rPr>
                <w:rFonts w:ascii="Century" w:hAnsi="Century"/>
                <w:color w:val="000000"/>
                <w:sz w:val="22"/>
                <w:szCs w:val="22"/>
              </w:rPr>
              <w:t>Bakanlığımız</w:t>
            </w:r>
            <w:r w:rsidRPr="007158B9">
              <w:rPr>
                <w:rFonts w:ascii="Century" w:hAnsi="Century"/>
                <w:color w:val="000000"/>
                <w:sz w:val="22"/>
                <w:szCs w:val="22"/>
              </w:rPr>
              <w:t xml:space="preserve"> tarafından yayımlanan 2016/22 sayılı Muallak Tazminat Karşılığından Kaynaklanan Net Nakit Akışlarının İskonto Edilmesi Hakkında Genelge uyarınca yapılan iskonto sonucunda ayrılan muallak tazminat karşılığı tutarı</w:t>
            </w:r>
            <w:r w:rsidR="005A2237" w:rsidRPr="007158B9">
              <w:rPr>
                <w:rFonts w:ascii="Century" w:hAnsi="Century"/>
                <w:color w:val="000000"/>
                <w:sz w:val="22"/>
                <w:szCs w:val="22"/>
              </w:rPr>
              <w:t xml:space="preserve"> </w:t>
            </w:r>
            <w:r w:rsidR="00747821" w:rsidRPr="007158B9">
              <w:rPr>
                <w:rFonts w:ascii="Century" w:hAnsi="Century"/>
                <w:color w:val="000000"/>
                <w:sz w:val="22"/>
                <w:szCs w:val="22"/>
              </w:rPr>
              <w:t>5</w:t>
            </w:r>
            <w:proofErr w:type="gramStart"/>
            <w:r w:rsidR="005A2237" w:rsidRPr="007158B9">
              <w:rPr>
                <w:rFonts w:ascii="Century" w:hAnsi="Century"/>
                <w:color w:val="000000"/>
                <w:sz w:val="22"/>
                <w:szCs w:val="22"/>
              </w:rPr>
              <w:t>,</w:t>
            </w:r>
            <w:r w:rsidR="00747821" w:rsidRPr="007158B9">
              <w:rPr>
                <w:rFonts w:ascii="Century" w:hAnsi="Century"/>
                <w:color w:val="000000"/>
                <w:sz w:val="22"/>
                <w:szCs w:val="22"/>
              </w:rPr>
              <w:t>1</w:t>
            </w:r>
            <w:proofErr w:type="gramEnd"/>
            <w:r w:rsidRPr="007158B9">
              <w:rPr>
                <w:rFonts w:ascii="Century" w:hAnsi="Century"/>
                <w:color w:val="000000"/>
                <w:sz w:val="22"/>
                <w:szCs w:val="22"/>
              </w:rPr>
              <w:t xml:space="preserve">  mily</w:t>
            </w:r>
            <w:r w:rsidR="00A7384A" w:rsidRPr="007158B9">
              <w:rPr>
                <w:rFonts w:ascii="Century" w:hAnsi="Century"/>
                <w:color w:val="000000"/>
                <w:sz w:val="22"/>
                <w:szCs w:val="22"/>
              </w:rPr>
              <w:t>ar TL azalarak 34</w:t>
            </w:r>
            <w:r w:rsidRPr="007158B9">
              <w:rPr>
                <w:rFonts w:ascii="Century" w:hAnsi="Century"/>
                <w:color w:val="000000"/>
                <w:sz w:val="22"/>
                <w:szCs w:val="22"/>
              </w:rPr>
              <w:t>,</w:t>
            </w:r>
            <w:r w:rsidR="00A7384A" w:rsidRPr="007158B9">
              <w:rPr>
                <w:rFonts w:ascii="Century" w:hAnsi="Century"/>
                <w:color w:val="000000"/>
                <w:sz w:val="22"/>
                <w:szCs w:val="22"/>
              </w:rPr>
              <w:t>2</w:t>
            </w:r>
            <w:r w:rsidRPr="007158B9">
              <w:rPr>
                <w:rFonts w:ascii="Century" w:hAnsi="Century"/>
                <w:color w:val="000000"/>
                <w:sz w:val="22"/>
                <w:szCs w:val="22"/>
              </w:rPr>
              <w:t xml:space="preserve"> milyar TL’ye</w:t>
            </w:r>
            <w:r w:rsidRPr="00A7384A">
              <w:rPr>
                <w:rFonts w:ascii="Century" w:hAnsi="Century"/>
                <w:color w:val="000000"/>
                <w:sz w:val="22"/>
                <w:szCs w:val="22"/>
              </w:rPr>
              <w:t xml:space="preserve"> </w:t>
            </w:r>
            <w:r w:rsidRPr="00840217">
              <w:rPr>
                <w:rFonts w:ascii="Century" w:hAnsi="Century"/>
                <w:color w:val="000000"/>
                <w:sz w:val="22"/>
                <w:szCs w:val="22"/>
              </w:rPr>
              <w:t xml:space="preserve">düşmüştür. </w:t>
            </w:r>
            <w:r w:rsidR="00B51DCF" w:rsidRPr="00840217">
              <w:rPr>
                <w:rFonts w:ascii="Century" w:hAnsi="Century"/>
                <w:color w:val="000000"/>
                <w:sz w:val="22"/>
                <w:szCs w:val="22"/>
              </w:rPr>
              <w:t>201</w:t>
            </w:r>
            <w:r w:rsidR="00840217">
              <w:rPr>
                <w:rFonts w:ascii="Century" w:hAnsi="Century"/>
                <w:color w:val="000000"/>
                <w:sz w:val="22"/>
                <w:szCs w:val="22"/>
              </w:rPr>
              <w:t>8</w:t>
            </w:r>
            <w:r w:rsidR="00B51DCF" w:rsidRPr="00840217">
              <w:rPr>
                <w:rFonts w:ascii="Century" w:hAnsi="Century"/>
                <w:color w:val="000000"/>
                <w:sz w:val="22"/>
                <w:szCs w:val="22"/>
              </w:rPr>
              <w:t xml:space="preserve"> yılı sonunda ayrılan teknik karşılık kalemleri içinde </w:t>
            </w:r>
            <w:r w:rsidR="005A2237" w:rsidRPr="00840217">
              <w:rPr>
                <w:rFonts w:ascii="Century" w:hAnsi="Century"/>
                <w:color w:val="000000"/>
                <w:sz w:val="22"/>
                <w:szCs w:val="22"/>
              </w:rPr>
              <w:t>%4</w:t>
            </w:r>
            <w:r w:rsidR="00840217" w:rsidRPr="00840217">
              <w:rPr>
                <w:rFonts w:ascii="Century" w:hAnsi="Century"/>
                <w:color w:val="000000"/>
                <w:sz w:val="22"/>
                <w:szCs w:val="22"/>
              </w:rPr>
              <w:t>8</w:t>
            </w:r>
            <w:proofErr w:type="gramStart"/>
            <w:r w:rsidR="00840217" w:rsidRPr="00840217">
              <w:rPr>
                <w:rFonts w:ascii="Century" w:hAnsi="Century"/>
                <w:color w:val="000000"/>
                <w:sz w:val="22"/>
                <w:szCs w:val="22"/>
              </w:rPr>
              <w:t>,7</w:t>
            </w:r>
            <w:proofErr w:type="gramEnd"/>
            <w:r w:rsidR="00B51DCF" w:rsidRPr="00840217">
              <w:rPr>
                <w:rFonts w:ascii="Century" w:hAnsi="Century"/>
                <w:color w:val="000000"/>
                <w:sz w:val="22"/>
                <w:szCs w:val="22"/>
              </w:rPr>
              <w:t xml:space="preserve"> oranında paya sahip olan </w:t>
            </w:r>
            <w:r w:rsidRPr="00840217">
              <w:rPr>
                <w:rFonts w:ascii="Century" w:hAnsi="Century"/>
                <w:color w:val="000000"/>
                <w:sz w:val="22"/>
                <w:szCs w:val="22"/>
              </w:rPr>
              <w:t xml:space="preserve">iskonto edilmiş </w:t>
            </w:r>
            <w:r w:rsidR="00B51DCF" w:rsidRPr="00840217">
              <w:rPr>
                <w:rFonts w:ascii="Century" w:hAnsi="Century"/>
                <w:color w:val="000000"/>
                <w:sz w:val="22"/>
                <w:szCs w:val="22"/>
              </w:rPr>
              <w:t>Muallak T</w:t>
            </w:r>
            <w:r w:rsidR="005A2237" w:rsidRPr="00840217">
              <w:rPr>
                <w:rFonts w:ascii="Century" w:hAnsi="Century"/>
                <w:color w:val="000000"/>
                <w:sz w:val="22"/>
                <w:szCs w:val="22"/>
              </w:rPr>
              <w:t>azminat Karşılığı yıl içinde</w:t>
            </w:r>
            <w:r w:rsidR="00840217" w:rsidRPr="00840217">
              <w:rPr>
                <w:rFonts w:ascii="Century" w:hAnsi="Century"/>
                <w:color w:val="000000"/>
                <w:sz w:val="22"/>
                <w:szCs w:val="22"/>
              </w:rPr>
              <w:t xml:space="preserve"> %36,7</w:t>
            </w:r>
            <w:r w:rsidR="00B51DCF" w:rsidRPr="00840217">
              <w:rPr>
                <w:rFonts w:ascii="Century" w:hAnsi="Century"/>
                <w:color w:val="000000"/>
                <w:sz w:val="22"/>
                <w:szCs w:val="22"/>
              </w:rPr>
              <w:t xml:space="preserve"> oranında yükselmiştir. </w:t>
            </w:r>
            <w:r w:rsidR="00B51DCF" w:rsidRPr="00EA0543">
              <w:rPr>
                <w:rFonts w:ascii="Century" w:hAnsi="Century"/>
                <w:color w:val="000000"/>
                <w:sz w:val="22"/>
                <w:szCs w:val="22"/>
              </w:rPr>
              <w:t>Teknik karşılıklar içinde büyüklük açısından ikinci sırada yer alan Kazanıl</w:t>
            </w:r>
            <w:r w:rsidR="005A2237" w:rsidRPr="00EA0543">
              <w:rPr>
                <w:rFonts w:ascii="Century" w:hAnsi="Century"/>
                <w:color w:val="000000"/>
                <w:sz w:val="22"/>
                <w:szCs w:val="22"/>
              </w:rPr>
              <w:t>mamış Prim Karşılıkları ise 201</w:t>
            </w:r>
            <w:r w:rsidR="00840217" w:rsidRPr="00EA0543">
              <w:rPr>
                <w:rFonts w:ascii="Century" w:hAnsi="Century"/>
                <w:color w:val="000000"/>
                <w:sz w:val="22"/>
                <w:szCs w:val="22"/>
              </w:rPr>
              <w:t>8</w:t>
            </w:r>
            <w:r w:rsidR="00B51DCF" w:rsidRPr="00EA0543">
              <w:rPr>
                <w:rFonts w:ascii="Century" w:hAnsi="Century"/>
                <w:color w:val="000000"/>
                <w:sz w:val="22"/>
                <w:szCs w:val="22"/>
              </w:rPr>
              <w:t xml:space="preserve"> yılında </w:t>
            </w:r>
            <w:r w:rsidR="005A2237" w:rsidRPr="00EA0543">
              <w:rPr>
                <w:rFonts w:ascii="Century" w:hAnsi="Century"/>
                <w:color w:val="000000"/>
                <w:sz w:val="22"/>
                <w:szCs w:val="22"/>
              </w:rPr>
              <w:t>%1</w:t>
            </w:r>
            <w:r w:rsidR="00EA0543" w:rsidRPr="00EA0543">
              <w:rPr>
                <w:rFonts w:ascii="Century" w:hAnsi="Century"/>
                <w:color w:val="000000"/>
                <w:sz w:val="22"/>
                <w:szCs w:val="22"/>
              </w:rPr>
              <w:t>9</w:t>
            </w:r>
            <w:proofErr w:type="gramStart"/>
            <w:r w:rsidR="00EA0543" w:rsidRPr="00EA0543">
              <w:rPr>
                <w:rFonts w:ascii="Century" w:hAnsi="Century"/>
                <w:color w:val="000000"/>
                <w:sz w:val="22"/>
                <w:szCs w:val="22"/>
              </w:rPr>
              <w:t>,3</w:t>
            </w:r>
            <w:proofErr w:type="gramEnd"/>
            <w:r w:rsidR="00B51DCF" w:rsidRPr="00EA0543">
              <w:rPr>
                <w:rFonts w:ascii="Century" w:hAnsi="Century"/>
                <w:color w:val="000000"/>
                <w:sz w:val="22"/>
                <w:szCs w:val="22"/>
              </w:rPr>
              <w:t xml:space="preserve"> oranında artmış ve yıl sonu itibarıyla </w:t>
            </w:r>
            <w:r w:rsidR="00EA0543" w:rsidRPr="00EA0543">
              <w:rPr>
                <w:rFonts w:ascii="Century" w:hAnsi="Century"/>
                <w:color w:val="000000"/>
                <w:sz w:val="22"/>
                <w:szCs w:val="22"/>
              </w:rPr>
              <w:t>%36</w:t>
            </w:r>
            <w:r w:rsidR="00B51DCF" w:rsidRPr="00EA0543">
              <w:rPr>
                <w:rFonts w:ascii="Century" w:hAnsi="Century"/>
                <w:color w:val="000000"/>
                <w:sz w:val="22"/>
                <w:szCs w:val="22"/>
              </w:rPr>
              <w:t>’l</w:t>
            </w:r>
            <w:r w:rsidR="00EA0543" w:rsidRPr="00EA0543">
              <w:rPr>
                <w:rFonts w:ascii="Century" w:hAnsi="Century"/>
                <w:color w:val="000000"/>
                <w:sz w:val="22"/>
                <w:szCs w:val="22"/>
              </w:rPr>
              <w:t>ı</w:t>
            </w:r>
            <w:r w:rsidR="00B51DCF" w:rsidRPr="00EA0543">
              <w:rPr>
                <w:rFonts w:ascii="Century" w:hAnsi="Century"/>
                <w:color w:val="000000"/>
                <w:sz w:val="22"/>
                <w:szCs w:val="22"/>
              </w:rPr>
              <w:t>k bir paya sahip olmuştur. Kazanılmamış Prim Karşılıkl</w:t>
            </w:r>
            <w:r w:rsidR="00EA0543" w:rsidRPr="00EA0543">
              <w:rPr>
                <w:rFonts w:ascii="Century" w:hAnsi="Century"/>
                <w:color w:val="000000"/>
                <w:sz w:val="22"/>
                <w:szCs w:val="22"/>
              </w:rPr>
              <w:t>arını %11</w:t>
            </w:r>
            <w:r w:rsidR="00B51DCF" w:rsidRPr="00EA0543">
              <w:rPr>
                <w:rFonts w:ascii="Century" w:hAnsi="Century"/>
                <w:color w:val="000000"/>
                <w:sz w:val="22"/>
                <w:szCs w:val="22"/>
              </w:rPr>
              <w:t>’lik pay ile Matematik Karşılıklar takip etmekle beraber, toplam teknik karşılıklar içindeki payı her yıl azalmaktadır.</w:t>
            </w:r>
          </w:p>
          <w:p w:rsidR="00840217" w:rsidRPr="00B10D90" w:rsidRDefault="00840217" w:rsidP="00B51DCF">
            <w:pPr>
              <w:jc w:val="both"/>
              <w:rPr>
                <w:rFonts w:ascii="Century" w:hAnsi="Century"/>
                <w:color w:val="000000"/>
                <w:sz w:val="22"/>
                <w:szCs w:val="22"/>
                <w:highlight w:val="yellow"/>
              </w:rPr>
            </w:pPr>
          </w:p>
          <w:p w:rsidR="0038274E" w:rsidRPr="00EA0543" w:rsidRDefault="00B51DCF" w:rsidP="00480CF9">
            <w:pPr>
              <w:jc w:val="both"/>
              <w:rPr>
                <w:rFonts w:ascii="Century" w:hAnsi="Century"/>
                <w:color w:val="000000"/>
                <w:sz w:val="22"/>
                <w:szCs w:val="22"/>
              </w:rPr>
            </w:pPr>
            <w:r w:rsidRPr="00EA0543">
              <w:rPr>
                <w:rFonts w:ascii="Century" w:hAnsi="Century"/>
                <w:color w:val="000000"/>
                <w:sz w:val="22"/>
                <w:szCs w:val="22"/>
              </w:rPr>
              <w:lastRenderedPageBreak/>
              <w:t>Aşağıdaki tabloda, şirketlerin Muallak Tazminat Karşılıkları branş bazında, istatistiki yöntemlere göre hesaplanan ile dosya bazında ayrılan olmak üzere ayrıştırılarak gösterilmiştir.</w:t>
            </w:r>
          </w:p>
          <w:p w:rsidR="00480CF9" w:rsidRPr="00B10D90" w:rsidRDefault="00480CF9" w:rsidP="00480CF9">
            <w:pPr>
              <w:jc w:val="both"/>
              <w:rPr>
                <w:rFonts w:ascii="Century" w:hAnsi="Century"/>
                <w:color w:val="000000"/>
                <w:sz w:val="22"/>
                <w:szCs w:val="22"/>
                <w:highlight w:val="yellow"/>
              </w:rPr>
            </w:pPr>
          </w:p>
        </w:tc>
        <w:tc>
          <w:tcPr>
            <w:tcW w:w="318" w:type="dxa"/>
            <w:gridSpan w:val="7"/>
          </w:tcPr>
          <w:p w:rsidR="00355E0F" w:rsidRPr="00B10D90" w:rsidRDefault="00355E0F" w:rsidP="008D17FE">
            <w:pPr>
              <w:rPr>
                <w:rFonts w:ascii="Century" w:hAnsi="Century"/>
                <w:color w:val="000000"/>
                <w:sz w:val="22"/>
                <w:szCs w:val="22"/>
                <w:highlight w:val="yellow"/>
              </w:rPr>
            </w:pPr>
          </w:p>
        </w:tc>
        <w:tc>
          <w:tcPr>
            <w:tcW w:w="4685" w:type="dxa"/>
            <w:gridSpan w:val="5"/>
            <w:vMerge w:val="restart"/>
          </w:tcPr>
          <w:p w:rsidR="00902EDF" w:rsidRPr="00EA0543" w:rsidRDefault="00902EDF" w:rsidP="00AB2DC2">
            <w:pPr>
              <w:jc w:val="both"/>
              <w:rPr>
                <w:rFonts w:ascii="Century" w:hAnsi="Century" w:cs="Arial"/>
                <w:color w:val="333333"/>
                <w:sz w:val="22"/>
                <w:szCs w:val="22"/>
                <w:highlight w:val="yellow"/>
              </w:rPr>
            </w:pPr>
          </w:p>
          <w:p w:rsidR="00B51DCF" w:rsidRPr="00B10D90" w:rsidRDefault="009A168E" w:rsidP="00B51DCF">
            <w:pPr>
              <w:jc w:val="both"/>
              <w:rPr>
                <w:rFonts w:ascii="Century" w:hAnsi="Century" w:cs="Arial"/>
                <w:color w:val="333333"/>
                <w:sz w:val="22"/>
                <w:szCs w:val="22"/>
                <w:highlight w:val="yellow"/>
              </w:rPr>
            </w:pPr>
            <w:r w:rsidRPr="00747821">
              <w:rPr>
                <w:rFonts w:ascii="Century" w:hAnsi="Century" w:cs="Arial"/>
                <w:color w:val="333333"/>
                <w:sz w:val="22"/>
                <w:szCs w:val="22"/>
              </w:rPr>
              <w:t>By</w:t>
            </w:r>
            <w:r w:rsidR="005A2237" w:rsidRPr="00747821">
              <w:rPr>
                <w:rFonts w:ascii="Century" w:hAnsi="Century" w:cs="Arial"/>
                <w:color w:val="333333"/>
                <w:sz w:val="22"/>
                <w:szCs w:val="22"/>
              </w:rPr>
              <w:t xml:space="preserve"> of the end of 201</w:t>
            </w:r>
            <w:r w:rsidR="00747821" w:rsidRPr="00747821">
              <w:rPr>
                <w:rFonts w:ascii="Century" w:hAnsi="Century" w:cs="Arial"/>
                <w:color w:val="333333"/>
                <w:sz w:val="22"/>
                <w:szCs w:val="22"/>
              </w:rPr>
              <w:t>8</w:t>
            </w:r>
            <w:r w:rsidR="00AB2DC2" w:rsidRPr="00747821">
              <w:rPr>
                <w:rFonts w:ascii="Century" w:hAnsi="Century" w:cs="Arial"/>
                <w:color w:val="333333"/>
                <w:sz w:val="22"/>
                <w:szCs w:val="22"/>
              </w:rPr>
              <w:t xml:space="preserve">, outstanding claim </w:t>
            </w:r>
            <w:r w:rsidR="00AB2DC2" w:rsidRPr="00A7384A">
              <w:rPr>
                <w:rFonts w:ascii="Century" w:hAnsi="Century" w:cs="Arial"/>
                <w:color w:val="333333"/>
                <w:sz w:val="22"/>
                <w:szCs w:val="22"/>
              </w:rPr>
              <w:t xml:space="preserve">provision reached </w:t>
            </w:r>
            <w:r w:rsidR="00AB2DC2" w:rsidRPr="00A7384A">
              <w:rPr>
                <w:rFonts w:ascii="AbakuTLSymSans" w:hAnsi="AbakuTLSymSans" w:cs="Arial"/>
                <w:bCs/>
                <w:color w:val="333333"/>
                <w:sz w:val="22"/>
                <w:szCs w:val="22"/>
              </w:rPr>
              <w:t>¨</w:t>
            </w:r>
            <w:r w:rsidR="00747821" w:rsidRPr="00A7384A">
              <w:rPr>
                <w:rFonts w:ascii="Century" w:hAnsi="Century" w:cs="Arial"/>
                <w:color w:val="333333"/>
                <w:sz w:val="22"/>
                <w:szCs w:val="22"/>
              </w:rPr>
              <w:t>39</w:t>
            </w:r>
            <w:r w:rsidR="00AB2DC2" w:rsidRPr="00A7384A">
              <w:rPr>
                <w:rFonts w:ascii="Century" w:hAnsi="Century" w:cs="Arial"/>
                <w:color w:val="333333"/>
                <w:sz w:val="22"/>
                <w:szCs w:val="22"/>
              </w:rPr>
              <w:t>.</w:t>
            </w:r>
            <w:r w:rsidR="00747821" w:rsidRPr="00A7384A">
              <w:rPr>
                <w:rFonts w:ascii="Century" w:hAnsi="Century" w:cs="Arial"/>
                <w:color w:val="333333"/>
                <w:sz w:val="22"/>
                <w:szCs w:val="22"/>
              </w:rPr>
              <w:t>3</w:t>
            </w:r>
            <w:r w:rsidR="00AB2DC2" w:rsidRPr="00A7384A">
              <w:rPr>
                <w:rFonts w:ascii="Century" w:hAnsi="Century" w:cs="Arial"/>
                <w:color w:val="333333"/>
                <w:sz w:val="22"/>
                <w:szCs w:val="22"/>
              </w:rPr>
              <w:t xml:space="preserve"> billion. In accordance with the legislation about discounting of outstanding claim provision related </w:t>
            </w:r>
            <w:r w:rsidRPr="00A7384A">
              <w:rPr>
                <w:rFonts w:ascii="Century" w:hAnsi="Century" w:cs="Arial"/>
                <w:color w:val="333333"/>
                <w:sz w:val="22"/>
                <w:szCs w:val="22"/>
              </w:rPr>
              <w:t xml:space="preserve">to </w:t>
            </w:r>
            <w:r w:rsidR="00AB2DC2" w:rsidRPr="00A7384A">
              <w:rPr>
                <w:rFonts w:ascii="Century" w:hAnsi="Century" w:cs="Arial"/>
                <w:color w:val="333333"/>
                <w:sz w:val="22"/>
                <w:szCs w:val="22"/>
              </w:rPr>
              <w:t xml:space="preserve">net cash flows, outstanding claim provision is </w:t>
            </w:r>
            <w:r w:rsidR="00AB2DC2" w:rsidRPr="00840217">
              <w:rPr>
                <w:rFonts w:ascii="Century" w:hAnsi="Century" w:cs="Arial"/>
                <w:color w:val="333333"/>
                <w:sz w:val="22"/>
                <w:szCs w:val="22"/>
              </w:rPr>
              <w:t xml:space="preserve">decreased by </w:t>
            </w:r>
            <w:r w:rsidR="00AB2DC2" w:rsidRPr="00840217">
              <w:rPr>
                <w:rFonts w:ascii="AbakuTLSymSans" w:hAnsi="AbakuTLSymSans" w:cs="Arial"/>
                <w:bCs/>
                <w:color w:val="333333"/>
                <w:sz w:val="22"/>
                <w:szCs w:val="22"/>
              </w:rPr>
              <w:t>¨</w:t>
            </w:r>
            <w:r w:rsidR="00A7384A" w:rsidRPr="00840217">
              <w:rPr>
                <w:rFonts w:ascii="Century" w:hAnsi="Century" w:cs="Arial"/>
                <w:color w:val="333333"/>
                <w:sz w:val="22"/>
                <w:szCs w:val="22"/>
              </w:rPr>
              <w:t>5</w:t>
            </w:r>
            <w:r w:rsidR="00393579" w:rsidRPr="00840217">
              <w:rPr>
                <w:rFonts w:ascii="Century" w:hAnsi="Century" w:cs="Arial"/>
                <w:color w:val="333333"/>
                <w:sz w:val="22"/>
                <w:szCs w:val="22"/>
              </w:rPr>
              <w:t>.</w:t>
            </w:r>
            <w:r w:rsidR="00A7384A" w:rsidRPr="00840217">
              <w:rPr>
                <w:rFonts w:ascii="Century" w:hAnsi="Century" w:cs="Arial"/>
                <w:color w:val="333333"/>
                <w:sz w:val="22"/>
                <w:szCs w:val="22"/>
              </w:rPr>
              <w:t>1</w:t>
            </w:r>
            <w:r w:rsidR="00AB2DC2" w:rsidRPr="00840217">
              <w:rPr>
                <w:rFonts w:ascii="Century" w:hAnsi="Century" w:cs="Arial"/>
                <w:color w:val="333333"/>
                <w:sz w:val="22"/>
                <w:szCs w:val="22"/>
              </w:rPr>
              <w:t xml:space="preserve"> </w:t>
            </w:r>
            <w:r w:rsidR="005A2237" w:rsidRPr="00840217">
              <w:rPr>
                <w:rFonts w:ascii="Century" w:hAnsi="Century" w:cs="Arial"/>
                <w:color w:val="333333"/>
                <w:sz w:val="22"/>
                <w:szCs w:val="22"/>
              </w:rPr>
              <w:t>billion</w:t>
            </w:r>
            <w:r w:rsidR="00AB2DC2" w:rsidRPr="00840217">
              <w:rPr>
                <w:rFonts w:ascii="Century" w:hAnsi="Century" w:cs="Arial"/>
                <w:color w:val="333333"/>
                <w:sz w:val="22"/>
                <w:szCs w:val="22"/>
              </w:rPr>
              <w:t xml:space="preserve"> to </w:t>
            </w:r>
            <w:r w:rsidR="00AB2DC2" w:rsidRPr="00840217">
              <w:rPr>
                <w:rFonts w:ascii="AbakuTLSymSans" w:hAnsi="AbakuTLSymSans" w:cs="Arial"/>
                <w:bCs/>
                <w:color w:val="333333"/>
                <w:sz w:val="22"/>
                <w:szCs w:val="22"/>
              </w:rPr>
              <w:t>¨</w:t>
            </w:r>
            <w:r w:rsidR="00A7384A" w:rsidRPr="00840217">
              <w:rPr>
                <w:rFonts w:ascii="Century" w:hAnsi="Century" w:cs="Arial"/>
                <w:color w:val="333333"/>
                <w:sz w:val="22"/>
                <w:szCs w:val="22"/>
              </w:rPr>
              <w:t>34.2</w:t>
            </w:r>
            <w:r w:rsidR="00AB2DC2" w:rsidRPr="00840217">
              <w:rPr>
                <w:rFonts w:ascii="Century" w:hAnsi="Century" w:cs="Arial"/>
                <w:color w:val="333333"/>
                <w:sz w:val="22"/>
                <w:szCs w:val="22"/>
              </w:rPr>
              <w:t xml:space="preserve"> billion. Discounted outstanding claim provision </w:t>
            </w:r>
            <w:r w:rsidRPr="00840217">
              <w:rPr>
                <w:rFonts w:ascii="Century" w:hAnsi="Century" w:cs="Arial"/>
                <w:color w:val="333333"/>
                <w:sz w:val="22"/>
                <w:szCs w:val="22"/>
              </w:rPr>
              <w:t>which has</w:t>
            </w:r>
            <w:r w:rsidR="0029276E" w:rsidRPr="00840217">
              <w:rPr>
                <w:rFonts w:ascii="Century" w:hAnsi="Century" w:cs="Arial"/>
                <w:color w:val="333333"/>
                <w:sz w:val="22"/>
                <w:szCs w:val="22"/>
              </w:rPr>
              <w:t xml:space="preserve"> 4</w:t>
            </w:r>
            <w:r w:rsidR="00840217" w:rsidRPr="00840217">
              <w:rPr>
                <w:rFonts w:ascii="Century" w:hAnsi="Century" w:cs="Arial"/>
                <w:color w:val="333333"/>
                <w:sz w:val="22"/>
                <w:szCs w:val="22"/>
              </w:rPr>
              <w:t>8.7</w:t>
            </w:r>
            <w:r w:rsidR="00186832" w:rsidRPr="00840217">
              <w:rPr>
                <w:rFonts w:ascii="Century" w:hAnsi="Century" w:cs="Arial"/>
                <w:color w:val="333333"/>
                <w:sz w:val="22"/>
                <w:szCs w:val="22"/>
              </w:rPr>
              <w:t>%</w:t>
            </w:r>
            <w:r w:rsidR="0029276E" w:rsidRPr="00840217">
              <w:rPr>
                <w:rFonts w:ascii="Century" w:hAnsi="Century" w:cs="Arial"/>
                <w:color w:val="333333"/>
                <w:sz w:val="22"/>
                <w:szCs w:val="22"/>
              </w:rPr>
              <w:t xml:space="preserve"> share in technical reserves accounts </w:t>
            </w:r>
            <w:r w:rsidR="00AB2DC2" w:rsidRPr="00840217">
              <w:rPr>
                <w:rFonts w:ascii="Century" w:hAnsi="Century" w:cs="Arial"/>
                <w:color w:val="333333"/>
                <w:sz w:val="22"/>
                <w:szCs w:val="22"/>
              </w:rPr>
              <w:t>increased</w:t>
            </w:r>
            <w:r w:rsidR="005A2237" w:rsidRPr="00840217">
              <w:rPr>
                <w:rFonts w:ascii="Century" w:hAnsi="Century" w:cs="Arial"/>
                <w:color w:val="333333"/>
                <w:sz w:val="22"/>
                <w:szCs w:val="22"/>
              </w:rPr>
              <w:t xml:space="preserve"> by </w:t>
            </w:r>
            <w:r w:rsidRPr="00840217">
              <w:rPr>
                <w:rFonts w:ascii="Century" w:hAnsi="Century" w:cs="Arial"/>
                <w:color w:val="333333"/>
                <w:sz w:val="22"/>
                <w:szCs w:val="22"/>
              </w:rPr>
              <w:t>%</w:t>
            </w:r>
            <w:r w:rsidR="00840217" w:rsidRPr="00EA0543">
              <w:rPr>
                <w:rFonts w:ascii="Century" w:hAnsi="Century" w:cs="Arial"/>
                <w:color w:val="333333"/>
                <w:sz w:val="22"/>
                <w:szCs w:val="22"/>
              </w:rPr>
              <w:t>36.7</w:t>
            </w:r>
            <w:r w:rsidR="00A83151" w:rsidRPr="00EA0543">
              <w:rPr>
                <w:rFonts w:ascii="Century" w:hAnsi="Century" w:cs="Arial"/>
                <w:color w:val="333333"/>
                <w:sz w:val="22"/>
                <w:szCs w:val="22"/>
              </w:rPr>
              <w:t xml:space="preserve"> according to last year.</w:t>
            </w:r>
            <w:r w:rsidR="00AB2DC2" w:rsidRPr="00EA0543">
              <w:rPr>
                <w:rFonts w:ascii="Century" w:hAnsi="Century" w:cs="Arial"/>
                <w:color w:val="333333"/>
                <w:sz w:val="22"/>
                <w:szCs w:val="22"/>
              </w:rPr>
              <w:t xml:space="preserve"> Unearned premium reserves which has second biggest</w:t>
            </w:r>
            <w:r w:rsidR="005A2237" w:rsidRPr="00EA0543">
              <w:rPr>
                <w:rFonts w:ascii="Century" w:hAnsi="Century" w:cs="Arial"/>
                <w:color w:val="333333"/>
                <w:sz w:val="22"/>
                <w:szCs w:val="22"/>
              </w:rPr>
              <w:t xml:space="preserve"> s</w:t>
            </w:r>
            <w:r w:rsidRPr="00EA0543">
              <w:rPr>
                <w:rFonts w:ascii="Century" w:hAnsi="Century" w:cs="Arial"/>
                <w:color w:val="333333"/>
                <w:sz w:val="22"/>
                <w:szCs w:val="22"/>
              </w:rPr>
              <w:t xml:space="preserve">hare in provisions has risen </w:t>
            </w:r>
            <w:r w:rsidR="00186832" w:rsidRPr="00EA0543">
              <w:rPr>
                <w:rFonts w:ascii="Century" w:hAnsi="Century" w:cs="Arial"/>
                <w:color w:val="333333"/>
                <w:sz w:val="22"/>
                <w:szCs w:val="22"/>
              </w:rPr>
              <w:t xml:space="preserve">by </w:t>
            </w:r>
            <w:r w:rsidR="00EA0543" w:rsidRPr="00EA0543">
              <w:rPr>
                <w:rFonts w:ascii="Century" w:hAnsi="Century" w:cs="Arial"/>
                <w:color w:val="333333"/>
                <w:sz w:val="22"/>
                <w:szCs w:val="22"/>
              </w:rPr>
              <w:t>19.3</w:t>
            </w:r>
            <w:r w:rsidR="00186832" w:rsidRPr="00EA0543">
              <w:rPr>
                <w:rFonts w:ascii="Century" w:hAnsi="Century" w:cs="Arial"/>
                <w:color w:val="333333"/>
                <w:sz w:val="22"/>
                <w:szCs w:val="22"/>
              </w:rPr>
              <w:t>%</w:t>
            </w:r>
            <w:r w:rsidR="005A2237" w:rsidRPr="00EA0543">
              <w:rPr>
                <w:rFonts w:ascii="Century" w:hAnsi="Century" w:cs="Arial"/>
                <w:color w:val="333333"/>
                <w:sz w:val="22"/>
                <w:szCs w:val="22"/>
              </w:rPr>
              <w:t xml:space="preserve"> and reached 3</w:t>
            </w:r>
            <w:r w:rsidR="00EA0543" w:rsidRPr="00EA0543">
              <w:rPr>
                <w:rFonts w:ascii="Century" w:hAnsi="Century" w:cs="Arial"/>
                <w:color w:val="333333"/>
                <w:sz w:val="22"/>
                <w:szCs w:val="22"/>
              </w:rPr>
              <w:t>6</w:t>
            </w:r>
            <w:r w:rsidR="00186832" w:rsidRPr="00EA0543">
              <w:rPr>
                <w:rFonts w:ascii="Century" w:hAnsi="Century" w:cs="Arial"/>
                <w:color w:val="333333"/>
                <w:sz w:val="22"/>
                <w:szCs w:val="22"/>
              </w:rPr>
              <w:t>%</w:t>
            </w:r>
            <w:r w:rsidR="00AB2DC2" w:rsidRPr="00EA0543">
              <w:rPr>
                <w:rFonts w:ascii="Century" w:hAnsi="Century" w:cs="Arial"/>
                <w:color w:val="333333"/>
                <w:sz w:val="22"/>
                <w:szCs w:val="22"/>
              </w:rPr>
              <w:t xml:space="preserve"> of provisions. Although profit loaded actuaria</w:t>
            </w:r>
            <w:r w:rsidRPr="00EA0543">
              <w:rPr>
                <w:rFonts w:ascii="Century" w:hAnsi="Century" w:cs="Arial"/>
                <w:color w:val="333333"/>
                <w:sz w:val="22"/>
                <w:szCs w:val="22"/>
              </w:rPr>
              <w:t>l reserves (PLAR) constitute 1</w:t>
            </w:r>
            <w:r w:rsidR="00EA0543" w:rsidRPr="00EA0543">
              <w:rPr>
                <w:rFonts w:ascii="Century" w:hAnsi="Century" w:cs="Arial"/>
                <w:color w:val="333333"/>
                <w:sz w:val="22"/>
                <w:szCs w:val="22"/>
              </w:rPr>
              <w:t>1</w:t>
            </w:r>
            <w:r w:rsidR="00186832" w:rsidRPr="00EA0543">
              <w:rPr>
                <w:rFonts w:ascii="Century" w:hAnsi="Century" w:cs="Arial"/>
                <w:color w:val="333333"/>
                <w:sz w:val="22"/>
                <w:szCs w:val="22"/>
              </w:rPr>
              <w:t>%</w:t>
            </w:r>
            <w:r w:rsidR="00AB2DC2" w:rsidRPr="00EA0543">
              <w:rPr>
                <w:rFonts w:ascii="Century" w:hAnsi="Century" w:cs="Arial"/>
                <w:color w:val="333333"/>
                <w:sz w:val="22"/>
                <w:szCs w:val="22"/>
              </w:rPr>
              <w:t xml:space="preserve"> of the amount in total</w:t>
            </w:r>
            <w:r w:rsidR="0029276E" w:rsidRPr="00EA0543">
              <w:rPr>
                <w:rFonts w:ascii="Century" w:hAnsi="Century" w:cs="Arial"/>
                <w:color w:val="333333"/>
                <w:sz w:val="22"/>
                <w:szCs w:val="22"/>
              </w:rPr>
              <w:t xml:space="preserve"> technical reserves</w:t>
            </w:r>
            <w:r w:rsidR="00AB2DC2" w:rsidRPr="00EA0543">
              <w:rPr>
                <w:rFonts w:ascii="Century" w:hAnsi="Century" w:cs="Arial"/>
                <w:color w:val="333333"/>
                <w:sz w:val="22"/>
                <w:szCs w:val="22"/>
              </w:rPr>
              <w:t xml:space="preserve">, its share has been decreasing for recent years. </w:t>
            </w:r>
          </w:p>
          <w:p w:rsidR="00B51DCF" w:rsidRPr="00B10D90" w:rsidRDefault="00B51DCF" w:rsidP="00B51DCF">
            <w:pPr>
              <w:jc w:val="both"/>
              <w:rPr>
                <w:rFonts w:ascii="Century" w:hAnsi="Century" w:cs="Arial"/>
                <w:color w:val="333333"/>
                <w:sz w:val="22"/>
                <w:szCs w:val="22"/>
                <w:highlight w:val="yellow"/>
              </w:rPr>
            </w:pPr>
          </w:p>
          <w:p w:rsidR="00B51DCF" w:rsidRPr="00B10D90" w:rsidRDefault="00B51DCF" w:rsidP="00B51DCF">
            <w:pPr>
              <w:jc w:val="both"/>
              <w:rPr>
                <w:rFonts w:ascii="Century" w:hAnsi="Century" w:cs="Arial"/>
                <w:color w:val="333333"/>
                <w:sz w:val="22"/>
                <w:szCs w:val="22"/>
                <w:highlight w:val="yellow"/>
              </w:rPr>
            </w:pPr>
          </w:p>
          <w:p w:rsidR="00EB7FAA" w:rsidRPr="00B10D90" w:rsidRDefault="00EB7FAA" w:rsidP="00B51DCF">
            <w:pPr>
              <w:jc w:val="both"/>
              <w:rPr>
                <w:rFonts w:ascii="Century" w:hAnsi="Century" w:cs="Arial"/>
                <w:color w:val="333333"/>
                <w:sz w:val="22"/>
                <w:szCs w:val="22"/>
                <w:highlight w:val="yellow"/>
              </w:rPr>
            </w:pPr>
          </w:p>
          <w:p w:rsidR="00EB7FAA" w:rsidRPr="00B10D90" w:rsidRDefault="00EB7FAA" w:rsidP="00B51DCF">
            <w:pPr>
              <w:jc w:val="both"/>
              <w:rPr>
                <w:rFonts w:ascii="Century" w:hAnsi="Century" w:cs="Arial"/>
                <w:color w:val="333333"/>
                <w:sz w:val="22"/>
                <w:szCs w:val="22"/>
                <w:highlight w:val="yellow"/>
              </w:rPr>
            </w:pPr>
          </w:p>
          <w:p w:rsidR="00EB7FAA" w:rsidRPr="00B10D90" w:rsidRDefault="00EB7FAA" w:rsidP="00B51DCF">
            <w:pPr>
              <w:jc w:val="both"/>
              <w:rPr>
                <w:rFonts w:ascii="Century" w:hAnsi="Century" w:cs="Arial"/>
                <w:color w:val="333333"/>
                <w:sz w:val="22"/>
                <w:szCs w:val="22"/>
                <w:highlight w:val="yellow"/>
              </w:rPr>
            </w:pPr>
          </w:p>
          <w:p w:rsidR="000D3607" w:rsidRDefault="000D3607" w:rsidP="00B51DCF">
            <w:pPr>
              <w:jc w:val="both"/>
              <w:rPr>
                <w:rFonts w:ascii="Century" w:hAnsi="Century" w:cs="Arial"/>
                <w:color w:val="333333"/>
                <w:sz w:val="22"/>
                <w:szCs w:val="22"/>
                <w:highlight w:val="yellow"/>
              </w:rPr>
            </w:pPr>
          </w:p>
          <w:p w:rsidR="000D3607" w:rsidRDefault="000D3607" w:rsidP="00B51DCF">
            <w:pPr>
              <w:jc w:val="both"/>
              <w:rPr>
                <w:rFonts w:ascii="Century" w:hAnsi="Century" w:cs="Arial"/>
                <w:color w:val="333333"/>
                <w:sz w:val="22"/>
                <w:szCs w:val="22"/>
                <w:highlight w:val="yellow"/>
              </w:rPr>
            </w:pPr>
          </w:p>
          <w:p w:rsidR="00355E0F" w:rsidRPr="00EA0543" w:rsidRDefault="00B51DCF" w:rsidP="00B51DCF">
            <w:pPr>
              <w:jc w:val="both"/>
              <w:rPr>
                <w:rFonts w:ascii="Century" w:hAnsi="Century" w:cs="Arial"/>
                <w:color w:val="333333"/>
                <w:sz w:val="22"/>
                <w:szCs w:val="22"/>
              </w:rPr>
            </w:pPr>
            <w:r w:rsidRPr="00EA0543">
              <w:rPr>
                <w:rFonts w:ascii="Century" w:hAnsi="Century" w:cs="Arial"/>
                <w:color w:val="333333"/>
                <w:sz w:val="22"/>
                <w:szCs w:val="22"/>
              </w:rPr>
              <w:lastRenderedPageBreak/>
              <w:t>The following table provides the composition of the outstanding claims reserves per line of business as claimed and incurred but not reported (IBNR).</w:t>
            </w:r>
          </w:p>
          <w:p w:rsidR="00AB2DC2" w:rsidRPr="00B10D90" w:rsidRDefault="00AB2DC2" w:rsidP="00B51DCF">
            <w:pPr>
              <w:jc w:val="both"/>
              <w:rPr>
                <w:rFonts w:ascii="Century" w:hAnsi="Century" w:cs="Arial"/>
                <w:color w:val="333333"/>
                <w:sz w:val="22"/>
                <w:szCs w:val="22"/>
                <w:highlight w:val="yellow"/>
              </w:rPr>
            </w:pPr>
          </w:p>
        </w:tc>
      </w:tr>
      <w:tr w:rsidR="00355E0F" w:rsidRPr="00B10D90" w:rsidTr="00441D50">
        <w:trPr>
          <w:gridAfter w:val="2"/>
          <w:wAfter w:w="38" w:type="dxa"/>
          <w:trHeight w:val="567"/>
        </w:trPr>
        <w:tc>
          <w:tcPr>
            <w:tcW w:w="4817" w:type="dxa"/>
            <w:gridSpan w:val="2"/>
            <w:vMerge/>
          </w:tcPr>
          <w:p w:rsidR="00355E0F" w:rsidRPr="00B10D90" w:rsidRDefault="00355E0F" w:rsidP="00873C54">
            <w:pPr>
              <w:jc w:val="both"/>
              <w:rPr>
                <w:rFonts w:ascii="Century" w:hAnsi="Century"/>
                <w:sz w:val="22"/>
                <w:szCs w:val="22"/>
                <w:highlight w:val="yellow"/>
              </w:rPr>
            </w:pPr>
          </w:p>
        </w:tc>
        <w:tc>
          <w:tcPr>
            <w:tcW w:w="318" w:type="dxa"/>
            <w:gridSpan w:val="7"/>
          </w:tcPr>
          <w:p w:rsidR="00355E0F" w:rsidRPr="00B10D90" w:rsidRDefault="00355E0F" w:rsidP="008D17FE">
            <w:pPr>
              <w:rPr>
                <w:rFonts w:ascii="Century" w:hAnsi="Century"/>
                <w:sz w:val="22"/>
                <w:szCs w:val="22"/>
                <w:highlight w:val="yellow"/>
              </w:rPr>
            </w:pPr>
          </w:p>
        </w:tc>
        <w:tc>
          <w:tcPr>
            <w:tcW w:w="4685" w:type="dxa"/>
            <w:gridSpan w:val="5"/>
            <w:vMerge/>
          </w:tcPr>
          <w:p w:rsidR="00355E0F" w:rsidRPr="00B10D90" w:rsidRDefault="00355E0F" w:rsidP="00166B6D">
            <w:pPr>
              <w:jc w:val="both"/>
              <w:rPr>
                <w:rFonts w:ascii="Century" w:hAnsi="Century" w:cs="Arial"/>
                <w:color w:val="333333"/>
                <w:sz w:val="22"/>
                <w:szCs w:val="22"/>
                <w:highlight w:val="yellow"/>
              </w:rPr>
            </w:pPr>
          </w:p>
        </w:tc>
      </w:tr>
      <w:tr w:rsidR="00F544B8" w:rsidRPr="00B10D90" w:rsidTr="00441D50">
        <w:trPr>
          <w:gridAfter w:val="2"/>
          <w:wAfter w:w="38" w:type="dxa"/>
          <w:trHeight w:val="227"/>
        </w:trPr>
        <w:tc>
          <w:tcPr>
            <w:tcW w:w="9820" w:type="dxa"/>
            <w:gridSpan w:val="14"/>
          </w:tcPr>
          <w:p w:rsidR="00F544B8" w:rsidRPr="0054321D" w:rsidRDefault="00F544B8" w:rsidP="001F4E32">
            <w:pPr>
              <w:jc w:val="center"/>
              <w:rPr>
                <w:rFonts w:ascii="Century" w:hAnsi="Century"/>
                <w:b/>
                <w:color w:val="000080"/>
                <w:sz w:val="20"/>
                <w:szCs w:val="20"/>
              </w:rPr>
            </w:pPr>
            <w:r w:rsidRPr="0054321D">
              <w:rPr>
                <w:rFonts w:ascii="Century" w:hAnsi="Century"/>
                <w:b/>
                <w:color w:val="000080"/>
                <w:sz w:val="20"/>
                <w:szCs w:val="20"/>
              </w:rPr>
              <w:lastRenderedPageBreak/>
              <w:t xml:space="preserve">Tablo </w:t>
            </w:r>
            <w:r w:rsidR="005D0DBF" w:rsidRPr="0054321D">
              <w:rPr>
                <w:rFonts w:ascii="Century" w:hAnsi="Century"/>
                <w:b/>
                <w:color w:val="000080"/>
                <w:sz w:val="20"/>
                <w:szCs w:val="20"/>
              </w:rPr>
              <w:t>3</w:t>
            </w:r>
            <w:r w:rsidRPr="0054321D">
              <w:rPr>
                <w:rFonts w:ascii="Century" w:hAnsi="Century"/>
                <w:b/>
                <w:color w:val="000080"/>
                <w:sz w:val="20"/>
                <w:szCs w:val="20"/>
              </w:rPr>
              <w:t>.</w:t>
            </w:r>
            <w:r w:rsidR="005D0DBF" w:rsidRPr="0054321D">
              <w:rPr>
                <w:rFonts w:ascii="Century" w:hAnsi="Century"/>
                <w:b/>
                <w:color w:val="000080"/>
                <w:sz w:val="20"/>
                <w:szCs w:val="20"/>
              </w:rPr>
              <w:t>1</w:t>
            </w:r>
            <w:r w:rsidRPr="0054321D">
              <w:rPr>
                <w:rFonts w:ascii="Century" w:hAnsi="Century"/>
                <w:b/>
                <w:color w:val="000080"/>
                <w:sz w:val="20"/>
                <w:szCs w:val="20"/>
              </w:rPr>
              <w:t>.</w:t>
            </w:r>
            <w:r w:rsidR="005D0DBF" w:rsidRPr="0054321D">
              <w:rPr>
                <w:rFonts w:ascii="Century" w:hAnsi="Century"/>
                <w:b/>
                <w:color w:val="000080"/>
                <w:sz w:val="20"/>
                <w:szCs w:val="20"/>
              </w:rPr>
              <w:t>3</w:t>
            </w:r>
            <w:r w:rsidRPr="0054321D">
              <w:rPr>
                <w:rFonts w:ascii="Century" w:hAnsi="Century"/>
                <w:b/>
                <w:color w:val="000080"/>
                <w:sz w:val="20"/>
                <w:szCs w:val="20"/>
              </w:rPr>
              <w:t>: 201</w:t>
            </w:r>
            <w:r w:rsidR="0054321D" w:rsidRPr="0054321D">
              <w:rPr>
                <w:rFonts w:ascii="Century" w:hAnsi="Century"/>
                <w:b/>
                <w:color w:val="000080"/>
                <w:sz w:val="20"/>
                <w:szCs w:val="20"/>
              </w:rPr>
              <w:t>8</w:t>
            </w:r>
            <w:r w:rsidRPr="0054321D">
              <w:rPr>
                <w:rFonts w:ascii="Century" w:hAnsi="Century"/>
                <w:b/>
                <w:color w:val="000080"/>
                <w:sz w:val="20"/>
                <w:szCs w:val="20"/>
              </w:rPr>
              <w:t xml:space="preserve"> Yılı Branşlar Bazında Muallak Tazminat Karşılığı Bileşenleri</w:t>
            </w:r>
          </w:p>
          <w:p w:rsidR="00F544B8" w:rsidRDefault="00F544B8" w:rsidP="001F4E32">
            <w:pPr>
              <w:jc w:val="center"/>
              <w:rPr>
                <w:rFonts w:ascii="Century" w:hAnsi="Century" w:cs="Arial TUR"/>
                <w:bCs/>
                <w:i/>
                <w:color w:val="002060"/>
                <w:sz w:val="18"/>
                <w:szCs w:val="18"/>
                <w:lang w:eastAsia="tr-TR"/>
              </w:rPr>
            </w:pPr>
            <w:r w:rsidRPr="0054321D">
              <w:rPr>
                <w:rFonts w:ascii="Century" w:hAnsi="Century"/>
                <w:i/>
                <w:color w:val="002060"/>
                <w:sz w:val="20"/>
                <w:szCs w:val="20"/>
              </w:rPr>
              <w:t xml:space="preserve">Outstanding </w:t>
            </w:r>
            <w:r w:rsidR="00EB1D98" w:rsidRPr="0054321D">
              <w:rPr>
                <w:rFonts w:ascii="Century" w:hAnsi="Century"/>
                <w:i/>
                <w:color w:val="002060"/>
                <w:sz w:val="20"/>
                <w:szCs w:val="20"/>
              </w:rPr>
              <w:t>Claims Provision</w:t>
            </w:r>
            <w:r w:rsidR="007D2514" w:rsidRPr="0054321D">
              <w:rPr>
                <w:rFonts w:ascii="Century" w:hAnsi="Century"/>
                <w:i/>
                <w:color w:val="002060"/>
                <w:sz w:val="20"/>
                <w:szCs w:val="20"/>
              </w:rPr>
              <w:t xml:space="preserve"> as </w:t>
            </w:r>
            <w:r w:rsidR="00CB672A" w:rsidRPr="0054321D">
              <w:rPr>
                <w:rFonts w:ascii="Century" w:hAnsi="Century"/>
                <w:i/>
                <w:color w:val="002060"/>
                <w:sz w:val="20"/>
                <w:szCs w:val="20"/>
              </w:rPr>
              <w:t>Lines of Bussiness</w:t>
            </w:r>
            <w:r w:rsidR="007D2514" w:rsidRPr="0054321D">
              <w:rPr>
                <w:rFonts w:ascii="Century" w:hAnsi="Century"/>
                <w:i/>
                <w:color w:val="002060"/>
                <w:sz w:val="20"/>
                <w:szCs w:val="20"/>
              </w:rPr>
              <w:t xml:space="preserve"> as of 12.31.201</w:t>
            </w:r>
            <w:r w:rsidR="0054321D" w:rsidRPr="0054321D">
              <w:rPr>
                <w:rFonts w:ascii="Century" w:hAnsi="Century"/>
                <w:i/>
                <w:color w:val="002060"/>
                <w:sz w:val="20"/>
                <w:szCs w:val="20"/>
              </w:rPr>
              <w:t>8</w:t>
            </w:r>
            <w:r w:rsidR="00A06C80" w:rsidRPr="0054321D">
              <w:rPr>
                <w:rFonts w:ascii="Century" w:hAnsi="Century"/>
                <w:i/>
                <w:color w:val="002060"/>
                <w:sz w:val="20"/>
                <w:szCs w:val="20"/>
              </w:rPr>
              <w:t xml:space="preserve"> </w:t>
            </w:r>
            <w:r w:rsidRPr="0054321D">
              <w:rPr>
                <w:rFonts w:ascii="Century" w:hAnsi="Century" w:cs="Arial TUR"/>
                <w:bCs/>
                <w:i/>
                <w:color w:val="002060"/>
                <w:sz w:val="18"/>
                <w:szCs w:val="18"/>
                <w:lang w:eastAsia="tr-TR"/>
              </w:rPr>
              <w:t xml:space="preserve">(000 </w:t>
            </w:r>
            <w:r w:rsidR="00BC4B57" w:rsidRPr="0054321D">
              <w:rPr>
                <w:rFonts w:ascii="AbakuTLSymSans" w:hAnsi="AbakuTLSymSans" w:cs="Arial"/>
                <w:bCs/>
                <w:i/>
                <w:color w:val="002060"/>
                <w:sz w:val="20"/>
                <w:szCs w:val="20"/>
              </w:rPr>
              <w:t>¨</w:t>
            </w:r>
            <w:r w:rsidRPr="0054321D">
              <w:rPr>
                <w:rFonts w:ascii="Century" w:hAnsi="Century" w:cs="Arial TUR"/>
                <w:bCs/>
                <w:i/>
                <w:color w:val="002060"/>
                <w:sz w:val="18"/>
                <w:szCs w:val="18"/>
                <w:lang w:eastAsia="tr-TR"/>
              </w:rPr>
              <w:t>)</w:t>
            </w:r>
          </w:p>
          <w:p w:rsidR="00C46BC7" w:rsidRDefault="004004AD" w:rsidP="001F4E32">
            <w:pPr>
              <w:jc w:val="center"/>
              <w:rPr>
                <w:rFonts w:ascii="Century" w:hAnsi="Century" w:cs="Arial TUR"/>
                <w:bCs/>
                <w:i/>
                <w:color w:val="002060"/>
                <w:sz w:val="18"/>
                <w:szCs w:val="18"/>
                <w:lang w:eastAsia="tr-TR"/>
              </w:rPr>
            </w:pPr>
            <w:r>
              <w:rPr>
                <w:rFonts w:ascii="Century" w:hAnsi="Century" w:cs="Arial TUR"/>
                <w:bCs/>
                <w:i/>
                <w:noProof/>
                <w:color w:val="002060"/>
                <w:sz w:val="18"/>
                <w:szCs w:val="18"/>
              </w:rPr>
              <w:drawing>
                <wp:inline distT="0" distB="0" distL="0" distR="0" wp14:anchorId="441D08F0" wp14:editId="28ECB129">
                  <wp:extent cx="6096000" cy="3752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rsidR="00860C64" w:rsidRPr="0054321D" w:rsidRDefault="00860C64" w:rsidP="007D2514">
            <w:pPr>
              <w:jc w:val="center"/>
              <w:rPr>
                <w:rFonts w:ascii="Century" w:hAnsi="Century" w:cs="Arial"/>
                <w:color w:val="595959"/>
                <w:sz w:val="16"/>
                <w:szCs w:val="16"/>
              </w:rPr>
            </w:pPr>
          </w:p>
        </w:tc>
      </w:tr>
      <w:tr w:rsidR="00F544B8" w:rsidRPr="00B10D90" w:rsidTr="00441D50">
        <w:trPr>
          <w:gridAfter w:val="2"/>
          <w:wAfter w:w="38" w:type="dxa"/>
          <w:trHeight w:val="4395"/>
        </w:trPr>
        <w:tc>
          <w:tcPr>
            <w:tcW w:w="4817" w:type="dxa"/>
            <w:gridSpan w:val="2"/>
          </w:tcPr>
          <w:p w:rsidR="00B51DCF" w:rsidRPr="00EA0543" w:rsidRDefault="00B51DCF" w:rsidP="00B51DCF">
            <w:pPr>
              <w:jc w:val="both"/>
              <w:rPr>
                <w:rFonts w:ascii="Century" w:hAnsi="Century"/>
                <w:color w:val="000000"/>
                <w:sz w:val="22"/>
                <w:szCs w:val="22"/>
              </w:rPr>
            </w:pPr>
            <w:r w:rsidRPr="00EA0543">
              <w:rPr>
                <w:rFonts w:ascii="Century" w:hAnsi="Century"/>
                <w:color w:val="000000"/>
                <w:sz w:val="22"/>
                <w:szCs w:val="22"/>
              </w:rPr>
              <w:t>Sigorta şirketlerinin 201</w:t>
            </w:r>
            <w:r w:rsidR="00EA0543" w:rsidRPr="00EA0543">
              <w:rPr>
                <w:rFonts w:ascii="Century" w:hAnsi="Century"/>
                <w:color w:val="000000"/>
                <w:sz w:val="22"/>
                <w:szCs w:val="22"/>
              </w:rPr>
              <w:t>8</w:t>
            </w:r>
            <w:r w:rsidRPr="00EA0543">
              <w:rPr>
                <w:rFonts w:ascii="Century" w:hAnsi="Century"/>
                <w:color w:val="000000"/>
                <w:sz w:val="22"/>
                <w:szCs w:val="22"/>
              </w:rPr>
              <w:t xml:space="preserve"> yılı sonu itibarıyla ayırmış </w:t>
            </w:r>
            <w:r w:rsidRPr="00065223">
              <w:rPr>
                <w:rFonts w:ascii="Century" w:hAnsi="Century"/>
                <w:color w:val="000000"/>
                <w:sz w:val="22"/>
                <w:szCs w:val="22"/>
              </w:rPr>
              <w:t>oldukları Mual</w:t>
            </w:r>
            <w:r w:rsidR="00241618" w:rsidRPr="00065223">
              <w:rPr>
                <w:rFonts w:ascii="Century" w:hAnsi="Century"/>
                <w:color w:val="000000"/>
                <w:sz w:val="22"/>
                <w:szCs w:val="22"/>
              </w:rPr>
              <w:t>lak Tazminat Karşılıklarının %6</w:t>
            </w:r>
            <w:r w:rsidR="00EA0543" w:rsidRPr="00065223">
              <w:rPr>
                <w:rFonts w:ascii="Century" w:hAnsi="Century"/>
                <w:color w:val="000000"/>
                <w:sz w:val="22"/>
                <w:szCs w:val="22"/>
              </w:rPr>
              <w:t>2</w:t>
            </w:r>
            <w:r w:rsidRPr="00065223">
              <w:rPr>
                <w:rFonts w:ascii="Century" w:hAnsi="Century"/>
                <w:color w:val="000000"/>
                <w:sz w:val="22"/>
                <w:szCs w:val="22"/>
              </w:rPr>
              <w:t>’</w:t>
            </w:r>
            <w:r w:rsidR="00EA0543" w:rsidRPr="00065223">
              <w:rPr>
                <w:rFonts w:ascii="Century" w:hAnsi="Century"/>
                <w:color w:val="000000"/>
                <w:sz w:val="22"/>
                <w:szCs w:val="22"/>
              </w:rPr>
              <w:t>si</w:t>
            </w:r>
            <w:r w:rsidRPr="00065223">
              <w:rPr>
                <w:rFonts w:ascii="Century" w:hAnsi="Century"/>
                <w:color w:val="000000"/>
                <w:sz w:val="22"/>
                <w:szCs w:val="22"/>
              </w:rPr>
              <w:t xml:space="preserve"> dosya bazında tahakkuk etmi</w:t>
            </w:r>
            <w:r w:rsidR="00241618" w:rsidRPr="00065223">
              <w:rPr>
                <w:rFonts w:ascii="Century" w:hAnsi="Century"/>
                <w:color w:val="000000"/>
                <w:sz w:val="22"/>
                <w:szCs w:val="22"/>
              </w:rPr>
              <w:t>ş tazminat karşılıklarından, %3</w:t>
            </w:r>
            <w:r w:rsidR="00EA0543" w:rsidRPr="00065223">
              <w:rPr>
                <w:rFonts w:ascii="Century" w:hAnsi="Century"/>
                <w:color w:val="000000"/>
                <w:sz w:val="22"/>
                <w:szCs w:val="22"/>
              </w:rPr>
              <w:t>8</w:t>
            </w:r>
            <w:r w:rsidRPr="00065223">
              <w:rPr>
                <w:rFonts w:ascii="Century" w:hAnsi="Century"/>
                <w:color w:val="000000"/>
                <w:sz w:val="22"/>
                <w:szCs w:val="22"/>
              </w:rPr>
              <w:t>’</w:t>
            </w:r>
            <w:r w:rsidR="00241618" w:rsidRPr="00065223">
              <w:rPr>
                <w:rFonts w:ascii="Century" w:hAnsi="Century"/>
                <w:color w:val="000000"/>
                <w:sz w:val="22"/>
                <w:szCs w:val="22"/>
              </w:rPr>
              <w:t>i</w:t>
            </w:r>
            <w:r w:rsidRPr="00065223">
              <w:rPr>
                <w:rFonts w:ascii="Century" w:hAnsi="Century"/>
                <w:color w:val="000000"/>
                <w:sz w:val="22"/>
                <w:szCs w:val="22"/>
              </w:rPr>
              <w:t xml:space="preserve"> ise istatistiki yöntemlere</w:t>
            </w:r>
            <w:r w:rsidRPr="00EA0543">
              <w:rPr>
                <w:rFonts w:ascii="Century" w:hAnsi="Century"/>
                <w:color w:val="000000"/>
                <w:sz w:val="22"/>
                <w:szCs w:val="22"/>
              </w:rPr>
              <w:t xml:space="preserve"> göre ilave edilen karşılık tutarlarından (IBNR ve Yeterlilik Farkı) oluşmaktadır. </w:t>
            </w:r>
          </w:p>
          <w:p w:rsidR="00B51DCF" w:rsidRPr="00B10D90" w:rsidRDefault="00B51DCF" w:rsidP="00B51DCF">
            <w:pPr>
              <w:jc w:val="both"/>
              <w:rPr>
                <w:rFonts w:ascii="Century" w:hAnsi="Century"/>
                <w:color w:val="000000"/>
                <w:sz w:val="20"/>
                <w:szCs w:val="20"/>
                <w:highlight w:val="yellow"/>
              </w:rPr>
            </w:pPr>
          </w:p>
          <w:p w:rsidR="00B51DCF" w:rsidRPr="00EA0543" w:rsidRDefault="00B51DCF" w:rsidP="00B51DCF">
            <w:pPr>
              <w:jc w:val="both"/>
              <w:rPr>
                <w:rFonts w:ascii="Century" w:hAnsi="Century"/>
                <w:color w:val="000000"/>
                <w:sz w:val="22"/>
                <w:szCs w:val="22"/>
              </w:rPr>
            </w:pPr>
            <w:r w:rsidRPr="00EA0543">
              <w:rPr>
                <w:rFonts w:ascii="Century" w:hAnsi="Century"/>
                <w:color w:val="000000"/>
                <w:sz w:val="22"/>
                <w:szCs w:val="22"/>
              </w:rPr>
              <w:t xml:space="preserve">Toplam karşılıklar içinde Kara Araçları Sorumluluk ile Genel Sorumluluk branşlarının paylarının prim üretimindeki paylarına göre oldukça yüksek olduğu görülmektedir. Bu durum, her iki branşta da hasarların tasfiye süreçlerinin uzun olmasından kaynaklanmaktadır. </w:t>
            </w:r>
          </w:p>
          <w:p w:rsidR="00B51DCF" w:rsidRPr="00EA0543" w:rsidRDefault="00B51DCF" w:rsidP="00B51DCF">
            <w:pPr>
              <w:jc w:val="both"/>
              <w:rPr>
                <w:rFonts w:ascii="Century" w:hAnsi="Century"/>
                <w:color w:val="000000"/>
                <w:sz w:val="22"/>
                <w:szCs w:val="22"/>
                <w:highlight w:val="yellow"/>
              </w:rPr>
            </w:pPr>
          </w:p>
          <w:p w:rsidR="00EA0543" w:rsidRPr="00EA0543" w:rsidRDefault="00EA0543" w:rsidP="00B51DCF">
            <w:pPr>
              <w:jc w:val="both"/>
              <w:rPr>
                <w:rFonts w:ascii="Century" w:hAnsi="Century"/>
                <w:color w:val="000000"/>
                <w:sz w:val="22"/>
                <w:szCs w:val="22"/>
                <w:highlight w:val="yellow"/>
              </w:rPr>
            </w:pPr>
          </w:p>
          <w:p w:rsidR="00B51DCF" w:rsidRPr="00065223" w:rsidRDefault="00B51DCF" w:rsidP="00B51DCF">
            <w:pPr>
              <w:jc w:val="both"/>
              <w:rPr>
                <w:rFonts w:ascii="Century" w:hAnsi="Century"/>
                <w:color w:val="000000"/>
                <w:sz w:val="22"/>
                <w:szCs w:val="22"/>
              </w:rPr>
            </w:pPr>
            <w:r w:rsidRPr="00EA0543">
              <w:rPr>
                <w:rFonts w:ascii="Century" w:hAnsi="Century"/>
                <w:color w:val="000000"/>
                <w:sz w:val="22"/>
                <w:szCs w:val="22"/>
              </w:rPr>
              <w:t xml:space="preserve">İstatistiki yöntemlere göre hesaplanan Muallak Tazminat Karşılığı tutarı  incelendiğinde, Kara Araçları Branşında rücu ve sovtaj geliri tahakkukları nedeniyle </w:t>
            </w:r>
            <w:r w:rsidRPr="00EA0543">
              <w:rPr>
                <w:rFonts w:ascii="Century" w:hAnsi="Century"/>
                <w:color w:val="000000"/>
                <w:sz w:val="22"/>
                <w:szCs w:val="22"/>
              </w:rPr>
              <w:lastRenderedPageBreak/>
              <w:t>negatif değer oluştuğu, Kara Araçları Sorumluluk Branşında ise ayrılan IBNR tu</w:t>
            </w:r>
            <w:r w:rsidR="00480CF9" w:rsidRPr="00EA0543">
              <w:rPr>
                <w:rFonts w:ascii="Century" w:hAnsi="Century"/>
                <w:color w:val="000000"/>
                <w:sz w:val="22"/>
                <w:szCs w:val="22"/>
              </w:rPr>
              <w:t xml:space="preserve">tarının </w:t>
            </w:r>
            <w:r w:rsidR="00257D1D">
              <w:rPr>
                <w:rFonts w:ascii="Century" w:hAnsi="Century"/>
                <w:color w:val="000000"/>
                <w:sz w:val="22"/>
                <w:szCs w:val="22"/>
              </w:rPr>
              <w:t xml:space="preserve">tüm branşlar bazındaki </w:t>
            </w:r>
            <w:r w:rsidR="00480CF9" w:rsidRPr="00EA0543">
              <w:rPr>
                <w:rFonts w:ascii="Century" w:hAnsi="Century"/>
                <w:color w:val="000000"/>
                <w:sz w:val="22"/>
                <w:szCs w:val="22"/>
              </w:rPr>
              <w:t xml:space="preserve">toplam IBNR </w:t>
            </w:r>
            <w:r w:rsidR="00480CF9" w:rsidRPr="00065223">
              <w:rPr>
                <w:rFonts w:ascii="Century" w:hAnsi="Century"/>
                <w:color w:val="000000"/>
                <w:sz w:val="22"/>
                <w:szCs w:val="22"/>
              </w:rPr>
              <w:t>tutarının %8</w:t>
            </w:r>
            <w:r w:rsidR="00EA0543" w:rsidRPr="00065223">
              <w:rPr>
                <w:rFonts w:ascii="Century" w:hAnsi="Century"/>
                <w:color w:val="000000"/>
                <w:sz w:val="22"/>
                <w:szCs w:val="22"/>
              </w:rPr>
              <w:t>3</w:t>
            </w:r>
            <w:r w:rsidRPr="00065223">
              <w:rPr>
                <w:rFonts w:ascii="Century" w:hAnsi="Century"/>
                <w:color w:val="000000"/>
                <w:sz w:val="22"/>
                <w:szCs w:val="22"/>
              </w:rPr>
              <w:t>’</w:t>
            </w:r>
            <w:r w:rsidR="00EA0543" w:rsidRPr="00065223">
              <w:rPr>
                <w:rFonts w:ascii="Century" w:hAnsi="Century"/>
                <w:color w:val="000000"/>
                <w:sz w:val="22"/>
                <w:szCs w:val="22"/>
              </w:rPr>
              <w:t>ünü</w:t>
            </w:r>
            <w:r w:rsidRPr="00065223">
              <w:rPr>
                <w:rFonts w:ascii="Century" w:hAnsi="Century"/>
                <w:color w:val="000000"/>
                <w:sz w:val="22"/>
                <w:szCs w:val="22"/>
              </w:rPr>
              <w:t xml:space="preserve"> oluşturduğu görülmektedir. </w:t>
            </w:r>
          </w:p>
          <w:p w:rsidR="005B31A7" w:rsidRDefault="005B31A7" w:rsidP="00E33517">
            <w:pPr>
              <w:jc w:val="both"/>
              <w:rPr>
                <w:rFonts w:ascii="Century" w:hAnsi="Century"/>
                <w:color w:val="000000"/>
                <w:sz w:val="22"/>
                <w:szCs w:val="22"/>
              </w:rPr>
            </w:pPr>
          </w:p>
          <w:p w:rsidR="00D4569F" w:rsidRPr="00D4569F" w:rsidRDefault="00B51DCF" w:rsidP="00E33517">
            <w:pPr>
              <w:jc w:val="both"/>
              <w:rPr>
                <w:rFonts w:ascii="Century" w:hAnsi="Century"/>
                <w:color w:val="000000"/>
                <w:sz w:val="22"/>
                <w:szCs w:val="22"/>
              </w:rPr>
            </w:pPr>
            <w:r w:rsidRPr="00D4569F">
              <w:rPr>
                <w:rFonts w:ascii="Century" w:hAnsi="Century"/>
                <w:color w:val="000000"/>
                <w:sz w:val="22"/>
                <w:szCs w:val="22"/>
              </w:rPr>
              <w:t>Kara Araçları Branşında negatif IBNR oluşmasının temel sebebi, zarar görenlerin öncelikle kasko sigortacısına başvurması, kasko sigortası kapsamında ödeme yapan şirketin de ödemeyi takiben zarara neden olan kişi için sorumluluk teminatı sağlayan şirkete rücu başvurusunda bulunmasıdır. Bu durum Kara Araçları Branşında rücu gelirlerini yükseltmekte, Kara Araçları Sorumluluk Branşında ise gerçekleşmiş ancak bildirilmem</w:t>
            </w:r>
            <w:r w:rsidR="00A83151" w:rsidRPr="00D4569F">
              <w:rPr>
                <w:rFonts w:ascii="Century" w:hAnsi="Century"/>
                <w:color w:val="000000"/>
                <w:sz w:val="22"/>
                <w:szCs w:val="22"/>
              </w:rPr>
              <w:t>iş hasar karşılık tutarını artır</w:t>
            </w:r>
            <w:r w:rsidRPr="00D4569F">
              <w:rPr>
                <w:rFonts w:ascii="Century" w:hAnsi="Century"/>
                <w:color w:val="000000"/>
                <w:sz w:val="22"/>
                <w:szCs w:val="22"/>
              </w:rPr>
              <w:t>maktadır.</w:t>
            </w:r>
          </w:p>
          <w:p w:rsidR="00A83151" w:rsidRPr="00B10D90" w:rsidRDefault="00B51DCF" w:rsidP="00E33517">
            <w:pPr>
              <w:jc w:val="both"/>
              <w:rPr>
                <w:rFonts w:ascii="Century" w:hAnsi="Century"/>
                <w:color w:val="000000"/>
                <w:sz w:val="22"/>
                <w:szCs w:val="22"/>
                <w:highlight w:val="yellow"/>
              </w:rPr>
            </w:pPr>
            <w:r w:rsidRPr="00B10D90">
              <w:rPr>
                <w:rFonts w:ascii="Century" w:hAnsi="Century"/>
                <w:color w:val="000000"/>
                <w:sz w:val="22"/>
                <w:szCs w:val="22"/>
                <w:highlight w:val="yellow"/>
              </w:rPr>
              <w:t xml:space="preserve"> </w:t>
            </w:r>
          </w:p>
        </w:tc>
        <w:tc>
          <w:tcPr>
            <w:tcW w:w="318" w:type="dxa"/>
            <w:gridSpan w:val="7"/>
          </w:tcPr>
          <w:p w:rsidR="00F544B8" w:rsidRPr="00B10D90" w:rsidRDefault="00F544B8" w:rsidP="008D17FE">
            <w:pPr>
              <w:rPr>
                <w:rFonts w:ascii="Century" w:hAnsi="Century"/>
                <w:sz w:val="22"/>
                <w:szCs w:val="22"/>
                <w:highlight w:val="yellow"/>
              </w:rPr>
            </w:pPr>
          </w:p>
        </w:tc>
        <w:tc>
          <w:tcPr>
            <w:tcW w:w="4685" w:type="dxa"/>
            <w:gridSpan w:val="5"/>
          </w:tcPr>
          <w:p w:rsidR="00B51DCF" w:rsidRPr="00EA0543" w:rsidRDefault="00B51DCF" w:rsidP="00B51DCF">
            <w:pPr>
              <w:jc w:val="both"/>
              <w:rPr>
                <w:rFonts w:ascii="Century" w:hAnsi="Century" w:cs="Arial"/>
                <w:color w:val="333333"/>
                <w:sz w:val="22"/>
                <w:szCs w:val="22"/>
              </w:rPr>
            </w:pPr>
            <w:r w:rsidRPr="00EA0543">
              <w:rPr>
                <w:rFonts w:ascii="Century" w:hAnsi="Century" w:cs="Arial"/>
                <w:color w:val="333333"/>
                <w:sz w:val="22"/>
                <w:szCs w:val="22"/>
              </w:rPr>
              <w:t>As of December 31, 201</w:t>
            </w:r>
            <w:r w:rsidR="00EA0543" w:rsidRPr="00EA0543">
              <w:rPr>
                <w:rFonts w:ascii="Century" w:hAnsi="Century" w:cs="Arial"/>
                <w:color w:val="333333"/>
                <w:sz w:val="22"/>
                <w:szCs w:val="22"/>
              </w:rPr>
              <w:t>8</w:t>
            </w:r>
            <w:r w:rsidR="00241618" w:rsidRPr="00EA0543">
              <w:rPr>
                <w:rFonts w:ascii="Century" w:hAnsi="Century" w:cs="Arial"/>
                <w:color w:val="333333"/>
                <w:sz w:val="22"/>
                <w:szCs w:val="22"/>
              </w:rPr>
              <w:t>, 6</w:t>
            </w:r>
            <w:r w:rsidR="00EA0543" w:rsidRPr="00EA0543">
              <w:rPr>
                <w:rFonts w:ascii="Century" w:hAnsi="Century" w:cs="Arial"/>
                <w:color w:val="333333"/>
                <w:sz w:val="22"/>
                <w:szCs w:val="22"/>
              </w:rPr>
              <w:t>2</w:t>
            </w:r>
            <w:r w:rsidR="00186832" w:rsidRPr="00EA0543">
              <w:rPr>
                <w:rFonts w:ascii="Century" w:hAnsi="Century" w:cs="Arial"/>
                <w:color w:val="333333"/>
                <w:sz w:val="22"/>
                <w:szCs w:val="22"/>
              </w:rPr>
              <w:t>%</w:t>
            </w:r>
            <w:r w:rsidRPr="00EA0543">
              <w:rPr>
                <w:rFonts w:ascii="Century" w:hAnsi="Century" w:cs="Arial"/>
                <w:color w:val="333333"/>
                <w:sz w:val="22"/>
                <w:szCs w:val="22"/>
              </w:rPr>
              <w:t xml:space="preserve"> of the total provisions for outstanding claims </w:t>
            </w:r>
            <w:r w:rsidR="007339C0" w:rsidRPr="00EA0543">
              <w:rPr>
                <w:rFonts w:ascii="Century" w:hAnsi="Century" w:cs="Arial"/>
                <w:color w:val="333333"/>
                <w:sz w:val="22"/>
                <w:szCs w:val="22"/>
              </w:rPr>
              <w:t>consist</w:t>
            </w:r>
            <w:r w:rsidRPr="00EA0543">
              <w:rPr>
                <w:rFonts w:ascii="Century" w:hAnsi="Century" w:cs="Arial"/>
                <w:color w:val="333333"/>
                <w:sz w:val="22"/>
                <w:szCs w:val="22"/>
              </w:rPr>
              <w:t xml:space="preserve"> of provisions for the estimated </w:t>
            </w:r>
            <w:r w:rsidR="00480CF9" w:rsidRPr="00EA0543">
              <w:rPr>
                <w:rFonts w:ascii="Century" w:hAnsi="Century" w:cs="Arial"/>
                <w:color w:val="333333"/>
                <w:sz w:val="22"/>
                <w:szCs w:val="22"/>
              </w:rPr>
              <w:t>case claims and the remaining 3</w:t>
            </w:r>
            <w:r w:rsidR="00EA0543" w:rsidRPr="00EA0543">
              <w:rPr>
                <w:rFonts w:ascii="Century" w:hAnsi="Century" w:cs="Arial"/>
                <w:color w:val="333333"/>
                <w:sz w:val="22"/>
                <w:szCs w:val="22"/>
              </w:rPr>
              <w:t>8</w:t>
            </w:r>
            <w:r w:rsidR="00186832" w:rsidRPr="00EA0543">
              <w:rPr>
                <w:rFonts w:ascii="Century" w:hAnsi="Century" w:cs="Arial"/>
                <w:color w:val="333333"/>
                <w:sz w:val="22"/>
                <w:szCs w:val="22"/>
              </w:rPr>
              <w:t>%</w:t>
            </w:r>
            <w:r w:rsidRPr="00EA0543">
              <w:rPr>
                <w:rFonts w:ascii="Century" w:hAnsi="Century" w:cs="Arial"/>
                <w:color w:val="333333"/>
                <w:sz w:val="22"/>
                <w:szCs w:val="22"/>
              </w:rPr>
              <w:t xml:space="preserve"> part </w:t>
            </w:r>
            <w:r w:rsidR="007339C0" w:rsidRPr="00EA0543">
              <w:rPr>
                <w:rFonts w:ascii="Century" w:hAnsi="Century" w:cs="Arial"/>
                <w:color w:val="333333"/>
                <w:sz w:val="22"/>
                <w:szCs w:val="22"/>
              </w:rPr>
              <w:t>represents</w:t>
            </w:r>
            <w:r w:rsidRPr="00EA0543">
              <w:rPr>
                <w:rFonts w:ascii="Century" w:hAnsi="Century" w:cs="Arial"/>
                <w:color w:val="333333"/>
                <w:sz w:val="22"/>
                <w:szCs w:val="22"/>
              </w:rPr>
              <w:t xml:space="preserve"> the </w:t>
            </w:r>
            <w:r w:rsidRPr="00EA0543">
              <w:rPr>
                <w:rFonts w:ascii="Century" w:hAnsi="Century"/>
                <w:color w:val="333333"/>
                <w:sz w:val="22"/>
                <w:lang w:val="en-GB"/>
              </w:rPr>
              <w:t>additional provisions (</w:t>
            </w:r>
            <w:r w:rsidRPr="00EA0543">
              <w:rPr>
                <w:rFonts w:ascii="Century" w:hAnsi="Century" w:cs="Arial"/>
                <w:color w:val="333333"/>
                <w:sz w:val="22"/>
                <w:szCs w:val="22"/>
              </w:rPr>
              <w:t>IBNR and Adequacy) which are calculated by using statistical methods.</w:t>
            </w:r>
          </w:p>
          <w:p w:rsidR="00B51DCF" w:rsidRPr="00EA0543" w:rsidRDefault="00B51DCF" w:rsidP="00B51DCF">
            <w:pPr>
              <w:jc w:val="both"/>
              <w:rPr>
                <w:rFonts w:ascii="Century" w:hAnsi="Century" w:cs="Arial"/>
                <w:color w:val="333333"/>
                <w:sz w:val="22"/>
                <w:szCs w:val="22"/>
              </w:rPr>
            </w:pPr>
          </w:p>
          <w:p w:rsidR="00B51DCF" w:rsidRPr="00EA0543" w:rsidRDefault="0029276E" w:rsidP="00B51DCF">
            <w:pPr>
              <w:autoSpaceDE w:val="0"/>
              <w:autoSpaceDN w:val="0"/>
              <w:adjustRightInd w:val="0"/>
              <w:jc w:val="both"/>
              <w:rPr>
                <w:rFonts w:ascii="Century" w:hAnsi="Century"/>
                <w:color w:val="333333"/>
                <w:sz w:val="22"/>
                <w:szCs w:val="22"/>
              </w:rPr>
            </w:pPr>
            <w:r w:rsidRPr="00EA0543">
              <w:rPr>
                <w:rFonts w:ascii="Century" w:hAnsi="Century" w:cs="Arial"/>
                <w:color w:val="333333"/>
                <w:sz w:val="22"/>
                <w:szCs w:val="22"/>
              </w:rPr>
              <w:t>I</w:t>
            </w:r>
            <w:r w:rsidR="00B51DCF" w:rsidRPr="00EA0543">
              <w:rPr>
                <w:rFonts w:ascii="Century" w:hAnsi="Century" w:cs="Arial"/>
                <w:color w:val="333333"/>
                <w:sz w:val="22"/>
                <w:szCs w:val="22"/>
              </w:rPr>
              <w:t>t is seen that Motor Liability and Public Liability insurance have fairly high rate compared to their shares within total written premium</w:t>
            </w:r>
            <w:r w:rsidRPr="00EA0543">
              <w:rPr>
                <w:rFonts w:ascii="Century" w:hAnsi="Century" w:cs="Arial"/>
                <w:color w:val="333333"/>
                <w:sz w:val="22"/>
                <w:szCs w:val="22"/>
              </w:rPr>
              <w:t xml:space="preserve"> when the share of each line of business within total outstanding losses is analyzed</w:t>
            </w:r>
            <w:r w:rsidR="00B51DCF" w:rsidRPr="00EA0543">
              <w:rPr>
                <w:rFonts w:ascii="Century" w:hAnsi="Century" w:cs="Arial"/>
                <w:color w:val="333333"/>
                <w:sz w:val="22"/>
                <w:szCs w:val="22"/>
              </w:rPr>
              <w:t xml:space="preserve">. </w:t>
            </w:r>
            <w:r w:rsidR="00B51DCF" w:rsidRPr="00EA0543">
              <w:rPr>
                <w:rFonts w:ascii="Century" w:hAnsi="Century"/>
                <w:color w:val="333333"/>
                <w:sz w:val="22"/>
                <w:szCs w:val="22"/>
              </w:rPr>
              <w:t>This situation</w:t>
            </w:r>
            <w:r w:rsidR="00B51DCF" w:rsidRPr="00EA0543">
              <w:rPr>
                <w:rFonts w:ascii="Century" w:hAnsi="Century" w:cs="Arial"/>
                <w:color w:val="333333"/>
                <w:sz w:val="22"/>
                <w:szCs w:val="22"/>
              </w:rPr>
              <w:t xml:space="preserve"> </w:t>
            </w:r>
            <w:r w:rsidR="00B51DCF" w:rsidRPr="00EA0543">
              <w:rPr>
                <w:rFonts w:ascii="Century" w:hAnsi="Century"/>
                <w:color w:val="333333"/>
                <w:sz w:val="22"/>
                <w:szCs w:val="22"/>
              </w:rPr>
              <w:t>is due to</w:t>
            </w:r>
            <w:r w:rsidR="00B51DCF" w:rsidRPr="00EA0543">
              <w:rPr>
                <w:rFonts w:ascii="Century" w:hAnsi="Century" w:cs="Arial"/>
                <w:color w:val="333333"/>
                <w:sz w:val="22"/>
                <w:szCs w:val="22"/>
              </w:rPr>
              <w:t xml:space="preserve"> </w:t>
            </w:r>
            <w:r w:rsidR="00B51DCF" w:rsidRPr="00EA0543">
              <w:rPr>
                <w:rFonts w:ascii="Century" w:hAnsi="Century"/>
                <w:color w:val="333333"/>
                <w:sz w:val="22"/>
                <w:szCs w:val="22"/>
              </w:rPr>
              <w:t>the fact that</w:t>
            </w:r>
            <w:r w:rsidR="00B51DCF" w:rsidRPr="00EA0543">
              <w:rPr>
                <w:rFonts w:ascii="Century" w:hAnsi="Century" w:cs="Arial"/>
                <w:color w:val="333333"/>
                <w:sz w:val="22"/>
                <w:szCs w:val="22"/>
              </w:rPr>
              <w:t xml:space="preserve"> </w:t>
            </w:r>
            <w:r w:rsidR="00B51DCF" w:rsidRPr="00EA0543">
              <w:rPr>
                <w:rFonts w:ascii="Century" w:hAnsi="Century"/>
                <w:color w:val="333333"/>
                <w:sz w:val="22"/>
                <w:szCs w:val="22"/>
              </w:rPr>
              <w:t>liability insurance is a long tailed business.</w:t>
            </w:r>
          </w:p>
          <w:p w:rsidR="00B51DCF" w:rsidRPr="00B10D90" w:rsidRDefault="00B51DCF" w:rsidP="00B51DCF">
            <w:pPr>
              <w:autoSpaceDE w:val="0"/>
              <w:autoSpaceDN w:val="0"/>
              <w:adjustRightInd w:val="0"/>
              <w:jc w:val="both"/>
              <w:rPr>
                <w:rFonts w:ascii="Century" w:hAnsi="Century" w:cs="Arial"/>
                <w:color w:val="333333"/>
                <w:sz w:val="22"/>
                <w:szCs w:val="22"/>
                <w:highlight w:val="yellow"/>
              </w:rPr>
            </w:pPr>
          </w:p>
          <w:p w:rsidR="00B51DCF" w:rsidRPr="00EA0543" w:rsidRDefault="00B51DCF" w:rsidP="00B51DCF">
            <w:pPr>
              <w:autoSpaceDE w:val="0"/>
              <w:autoSpaceDN w:val="0"/>
              <w:adjustRightInd w:val="0"/>
              <w:jc w:val="both"/>
              <w:rPr>
                <w:rFonts w:ascii="Century" w:hAnsi="Century" w:cs="NewsGothicTTRURegular"/>
                <w:color w:val="333333"/>
                <w:sz w:val="22"/>
                <w:szCs w:val="22"/>
                <w:lang w:eastAsia="tr-TR"/>
              </w:rPr>
            </w:pPr>
            <w:r w:rsidRPr="00EA0543">
              <w:rPr>
                <w:rFonts w:ascii="Century" w:hAnsi="Century" w:cs="NewsGothicTTRURegular"/>
                <w:color w:val="333333"/>
                <w:sz w:val="22"/>
                <w:szCs w:val="22"/>
                <w:lang w:eastAsia="tr-TR"/>
              </w:rPr>
              <w:t xml:space="preserve">In respect to </w:t>
            </w:r>
            <w:r w:rsidRPr="00EA0543">
              <w:rPr>
                <w:rFonts w:ascii="Century" w:hAnsi="Century"/>
                <w:color w:val="333333"/>
                <w:sz w:val="22"/>
                <w:lang w:val="en-GB"/>
              </w:rPr>
              <w:t>provisions</w:t>
            </w:r>
            <w:r w:rsidRPr="00EA0543">
              <w:rPr>
                <w:rFonts w:ascii="Century" w:hAnsi="Century" w:cs="NewsGothicTTRURegular"/>
                <w:color w:val="333333"/>
                <w:sz w:val="22"/>
                <w:szCs w:val="22"/>
                <w:lang w:eastAsia="tr-TR"/>
              </w:rPr>
              <w:t xml:space="preserve"> calculated by statistical methods</w:t>
            </w:r>
            <w:r w:rsidRPr="00EA0543">
              <w:rPr>
                <w:rFonts w:ascii="Century" w:hAnsi="Century"/>
                <w:color w:val="333333"/>
                <w:sz w:val="22"/>
                <w:lang w:val="en-GB"/>
              </w:rPr>
              <w:t xml:space="preserve">, </w:t>
            </w:r>
            <w:r w:rsidRPr="00EA0543">
              <w:rPr>
                <w:rFonts w:ascii="Century" w:hAnsi="Century" w:cs="NewsGothicTTRURegular"/>
                <w:color w:val="333333"/>
                <w:sz w:val="22"/>
                <w:szCs w:val="22"/>
                <w:lang w:eastAsia="tr-TR"/>
              </w:rPr>
              <w:t>a negative reserve amount ha</w:t>
            </w:r>
            <w:r w:rsidR="000D689F" w:rsidRPr="00EA0543">
              <w:rPr>
                <w:rFonts w:ascii="Century" w:hAnsi="Century" w:cs="NewsGothicTTRURegular"/>
                <w:color w:val="333333"/>
                <w:sz w:val="22"/>
                <w:szCs w:val="22"/>
                <w:lang w:eastAsia="tr-TR"/>
              </w:rPr>
              <w:t>s</w:t>
            </w:r>
            <w:r w:rsidRPr="00EA0543">
              <w:rPr>
                <w:rFonts w:ascii="Century" w:hAnsi="Century" w:cs="NewsGothicTTRURegular"/>
                <w:color w:val="333333"/>
                <w:sz w:val="22"/>
                <w:szCs w:val="22"/>
                <w:lang w:eastAsia="tr-TR"/>
              </w:rPr>
              <w:t xml:space="preserve"> </w:t>
            </w:r>
            <w:r w:rsidR="007339C0" w:rsidRPr="00EA0543">
              <w:rPr>
                <w:rFonts w:ascii="Century" w:hAnsi="Century" w:cs="NewsGothicTTRURegular"/>
                <w:color w:val="333333"/>
                <w:sz w:val="22"/>
                <w:szCs w:val="22"/>
                <w:lang w:eastAsia="tr-TR"/>
              </w:rPr>
              <w:t xml:space="preserve">been </w:t>
            </w:r>
            <w:r w:rsidRPr="00EA0543">
              <w:rPr>
                <w:rFonts w:ascii="Century" w:hAnsi="Century" w:cs="NewsGothicTTRURegular"/>
                <w:color w:val="333333"/>
                <w:sz w:val="22"/>
                <w:szCs w:val="22"/>
                <w:lang w:eastAsia="tr-TR"/>
              </w:rPr>
              <w:t xml:space="preserve">realized in motor vehicle insurance because of the recoveries </w:t>
            </w:r>
            <w:r w:rsidRPr="00EA0543">
              <w:rPr>
                <w:rFonts w:ascii="Century" w:hAnsi="Century" w:cs="NewsGothicTTRURegular"/>
                <w:color w:val="333333"/>
                <w:sz w:val="22"/>
                <w:szCs w:val="22"/>
                <w:lang w:eastAsia="tr-TR"/>
              </w:rPr>
              <w:lastRenderedPageBreak/>
              <w:t>stem</w:t>
            </w:r>
            <w:r w:rsidR="000D689F" w:rsidRPr="00EA0543">
              <w:rPr>
                <w:rFonts w:ascii="Century" w:hAnsi="Century" w:cs="NewsGothicTTRURegular"/>
                <w:color w:val="333333"/>
                <w:sz w:val="22"/>
                <w:szCs w:val="22"/>
                <w:lang w:eastAsia="tr-TR"/>
              </w:rPr>
              <w:t>ming</w:t>
            </w:r>
            <w:r w:rsidRPr="00EA0543">
              <w:rPr>
                <w:rFonts w:ascii="Century" w:hAnsi="Century" w:cs="NewsGothicTTRURegular"/>
                <w:color w:val="333333"/>
                <w:sz w:val="22"/>
                <w:szCs w:val="22"/>
                <w:lang w:eastAsia="tr-TR"/>
              </w:rPr>
              <w:t xml:space="preserve"> from subrogation and salvage returns. On the other hand, the </w:t>
            </w:r>
            <w:r w:rsidRPr="00EA0543">
              <w:rPr>
                <w:rFonts w:ascii="Century" w:hAnsi="Century"/>
                <w:color w:val="333333"/>
                <w:sz w:val="22"/>
                <w:lang w:val="en-GB"/>
              </w:rPr>
              <w:t>provisions</w:t>
            </w:r>
            <w:r w:rsidR="00084B04">
              <w:rPr>
                <w:rFonts w:ascii="Century" w:hAnsi="Century" w:cs="NewsGothicTTRURegular"/>
                <w:color w:val="333333"/>
                <w:sz w:val="22"/>
                <w:szCs w:val="22"/>
                <w:lang w:eastAsia="tr-TR"/>
              </w:rPr>
              <w:t xml:space="preserve"> in motor </w:t>
            </w:r>
            <w:r w:rsidR="00480CF9" w:rsidRPr="00EA0543">
              <w:rPr>
                <w:rFonts w:ascii="Century" w:hAnsi="Century" w:cs="NewsGothicTTRURegular"/>
                <w:color w:val="333333"/>
                <w:sz w:val="22"/>
                <w:szCs w:val="22"/>
                <w:lang w:eastAsia="tr-TR"/>
              </w:rPr>
              <w:t>liability insurance have 8</w:t>
            </w:r>
            <w:r w:rsidR="00EA0543">
              <w:rPr>
                <w:rFonts w:ascii="Century" w:hAnsi="Century" w:cs="NewsGothicTTRURegular"/>
                <w:color w:val="333333"/>
                <w:sz w:val="22"/>
                <w:szCs w:val="22"/>
                <w:lang w:eastAsia="tr-TR"/>
              </w:rPr>
              <w:t>3</w:t>
            </w:r>
            <w:r w:rsidR="00186832" w:rsidRPr="00EA0543">
              <w:rPr>
                <w:rFonts w:ascii="Century" w:hAnsi="Century" w:cs="NewsGothicTTRURegular"/>
                <w:color w:val="333333"/>
                <w:sz w:val="22"/>
                <w:szCs w:val="22"/>
                <w:lang w:eastAsia="tr-TR"/>
              </w:rPr>
              <w:t>%</w:t>
            </w:r>
            <w:r w:rsidRPr="00EA0543">
              <w:rPr>
                <w:rFonts w:ascii="Century" w:hAnsi="Century" w:cs="NewsGothicTTRURegular"/>
                <w:color w:val="333333"/>
                <w:sz w:val="22"/>
                <w:szCs w:val="22"/>
                <w:lang w:eastAsia="tr-TR"/>
              </w:rPr>
              <w:t xml:space="preserve"> of all additional </w:t>
            </w:r>
            <w:r w:rsidRPr="00EA0543">
              <w:rPr>
                <w:rFonts w:ascii="Century" w:hAnsi="Century"/>
                <w:color w:val="333333"/>
                <w:sz w:val="22"/>
                <w:lang w:val="en-GB"/>
              </w:rPr>
              <w:t>provisions</w:t>
            </w:r>
            <w:r w:rsidRPr="00EA0543">
              <w:rPr>
                <w:rFonts w:ascii="Century" w:hAnsi="Century" w:cs="NewsGothicTTRURegular"/>
                <w:color w:val="333333"/>
                <w:sz w:val="22"/>
                <w:szCs w:val="22"/>
                <w:lang w:eastAsia="tr-TR"/>
              </w:rPr>
              <w:t xml:space="preserve"> in the Sector.</w:t>
            </w:r>
          </w:p>
          <w:p w:rsidR="00B93AE5" w:rsidRDefault="00B93AE5" w:rsidP="00B51DCF">
            <w:pPr>
              <w:autoSpaceDE w:val="0"/>
              <w:autoSpaceDN w:val="0"/>
              <w:adjustRightInd w:val="0"/>
              <w:jc w:val="both"/>
              <w:rPr>
                <w:rFonts w:ascii="Century" w:hAnsi="Century" w:cs="NewsGothicTTRURegular"/>
                <w:color w:val="333333"/>
                <w:sz w:val="22"/>
                <w:szCs w:val="22"/>
                <w:lang w:eastAsia="tr-TR"/>
              </w:rPr>
            </w:pPr>
          </w:p>
          <w:p w:rsidR="004004AD" w:rsidRPr="00B93AE5" w:rsidRDefault="004004AD" w:rsidP="00B51DCF">
            <w:pPr>
              <w:autoSpaceDE w:val="0"/>
              <w:autoSpaceDN w:val="0"/>
              <w:adjustRightInd w:val="0"/>
              <w:jc w:val="both"/>
              <w:rPr>
                <w:rFonts w:ascii="Century" w:hAnsi="Century" w:cs="NewsGothicTTRURegular"/>
                <w:color w:val="333333"/>
                <w:sz w:val="22"/>
                <w:szCs w:val="22"/>
                <w:lang w:eastAsia="tr-TR"/>
              </w:rPr>
            </w:pPr>
          </w:p>
          <w:p w:rsidR="00F544B8" w:rsidRPr="00B10D90" w:rsidRDefault="00B51DCF" w:rsidP="00DC0D47">
            <w:pPr>
              <w:autoSpaceDE w:val="0"/>
              <w:autoSpaceDN w:val="0"/>
              <w:adjustRightInd w:val="0"/>
              <w:jc w:val="both"/>
              <w:rPr>
                <w:rFonts w:ascii="Century" w:hAnsi="Century"/>
                <w:color w:val="333333"/>
                <w:sz w:val="22"/>
                <w:szCs w:val="22"/>
                <w:highlight w:val="yellow"/>
              </w:rPr>
            </w:pPr>
            <w:r w:rsidRPr="00D4569F">
              <w:rPr>
                <w:rFonts w:ascii="Century" w:hAnsi="Century"/>
                <w:color w:val="333333"/>
                <w:sz w:val="22"/>
                <w:szCs w:val="22"/>
              </w:rPr>
              <w:t xml:space="preserve">The policyholders have tendencies to demand their losses from their own motor insurance instead of motor third party liability insurance of the counter party in the event of damage. This increases </w:t>
            </w:r>
            <w:r w:rsidRPr="00D4569F">
              <w:rPr>
                <w:rFonts w:ascii="Century" w:hAnsi="Century" w:cs="NewsGothicTTRURegular"/>
                <w:color w:val="333333"/>
                <w:sz w:val="22"/>
                <w:szCs w:val="22"/>
                <w:lang w:eastAsia="tr-TR"/>
              </w:rPr>
              <w:t xml:space="preserve">recoveries and would cause negative IBNR </w:t>
            </w:r>
            <w:r w:rsidRPr="00D4569F">
              <w:rPr>
                <w:rFonts w:ascii="Century" w:hAnsi="Century"/>
                <w:color w:val="333333"/>
                <w:sz w:val="22"/>
                <w:szCs w:val="22"/>
              </w:rPr>
              <w:t xml:space="preserve">in motor vehicle insurance business and, because of the time lag between loss payment and collections from other insurers, high IBNR has </w:t>
            </w:r>
            <w:r w:rsidR="002B120D" w:rsidRPr="00D4569F">
              <w:rPr>
                <w:rFonts w:ascii="Century" w:hAnsi="Century"/>
                <w:color w:val="333333"/>
                <w:sz w:val="22"/>
                <w:szCs w:val="22"/>
              </w:rPr>
              <w:t xml:space="preserve">been </w:t>
            </w:r>
            <w:r w:rsidRPr="00D4569F">
              <w:rPr>
                <w:rFonts w:ascii="Century" w:hAnsi="Century"/>
                <w:color w:val="333333"/>
                <w:sz w:val="22"/>
                <w:szCs w:val="22"/>
              </w:rPr>
              <w:t>realised for motor vehicle liability business, especially in motor t</w:t>
            </w:r>
            <w:r w:rsidR="00A83151" w:rsidRPr="00D4569F">
              <w:rPr>
                <w:rFonts w:ascii="Century" w:hAnsi="Century"/>
                <w:color w:val="333333"/>
                <w:sz w:val="22"/>
                <w:szCs w:val="22"/>
              </w:rPr>
              <w:t>hird party liability insurance.</w:t>
            </w:r>
          </w:p>
        </w:tc>
      </w:tr>
      <w:tr w:rsidR="00B70B10" w:rsidRPr="00B10D90" w:rsidTr="00441D50">
        <w:trPr>
          <w:gridAfter w:val="2"/>
          <w:wAfter w:w="38" w:type="dxa"/>
        </w:trPr>
        <w:tc>
          <w:tcPr>
            <w:tcW w:w="4817" w:type="dxa"/>
            <w:gridSpan w:val="2"/>
          </w:tcPr>
          <w:p w:rsidR="001E6700" w:rsidRPr="0054321D" w:rsidRDefault="00393579" w:rsidP="00B51DCF">
            <w:pPr>
              <w:jc w:val="both"/>
              <w:rPr>
                <w:rFonts w:ascii="Century" w:hAnsi="Century"/>
                <w:color w:val="000000"/>
                <w:sz w:val="22"/>
                <w:szCs w:val="22"/>
              </w:rPr>
            </w:pPr>
            <w:r w:rsidRPr="0054321D">
              <w:rPr>
                <w:rFonts w:ascii="Century" w:hAnsi="Century"/>
                <w:color w:val="000000"/>
                <w:sz w:val="22"/>
                <w:szCs w:val="22"/>
              </w:rPr>
              <w:lastRenderedPageBreak/>
              <w:t>Ş</w:t>
            </w:r>
            <w:r w:rsidR="00B51DCF" w:rsidRPr="0054321D">
              <w:rPr>
                <w:rFonts w:ascii="Century" w:hAnsi="Century"/>
                <w:color w:val="000000"/>
                <w:sz w:val="22"/>
                <w:szCs w:val="22"/>
              </w:rPr>
              <w:t xml:space="preserve">irketler ayırmak zorunda oldukları teknik karşılıklar için yeterli miktarda varlığa sahip olmak zorundadırlar. Tablo 3.1.4’te hayat dışı ve hayat / emeklilik şirketleri ayrımında ayrılan teknik karşılık tutarları ve Teknik Karşılıklara Karşılık Olarak Kabul Edilen Varlık toplamı verilmiştir. </w:t>
            </w:r>
          </w:p>
          <w:p w:rsidR="001E6700" w:rsidRPr="0054321D" w:rsidRDefault="001E6700" w:rsidP="00B51DCF">
            <w:pPr>
              <w:jc w:val="both"/>
              <w:rPr>
                <w:rFonts w:ascii="Century" w:hAnsi="Century"/>
                <w:color w:val="000000"/>
                <w:sz w:val="22"/>
                <w:szCs w:val="22"/>
              </w:rPr>
            </w:pPr>
          </w:p>
          <w:p w:rsidR="00B51DCF" w:rsidRPr="0054321D" w:rsidRDefault="00B51DCF" w:rsidP="00B51DCF">
            <w:pPr>
              <w:jc w:val="both"/>
              <w:rPr>
                <w:rFonts w:ascii="Century" w:hAnsi="Century"/>
                <w:color w:val="000000"/>
                <w:sz w:val="22"/>
                <w:szCs w:val="22"/>
              </w:rPr>
            </w:pPr>
            <w:r w:rsidRPr="0054321D">
              <w:rPr>
                <w:rFonts w:ascii="Century" w:hAnsi="Century"/>
                <w:color w:val="000000"/>
                <w:sz w:val="22"/>
                <w:szCs w:val="22"/>
              </w:rPr>
              <w:t xml:space="preserve">Her iki grup için de teknik karşılıkları karşılayan yeteri kadar varlığın mevcut olduğu </w:t>
            </w:r>
            <w:r w:rsidR="001E6700" w:rsidRPr="0054321D">
              <w:rPr>
                <w:rFonts w:ascii="Century" w:hAnsi="Century"/>
                <w:color w:val="000000"/>
                <w:sz w:val="22"/>
                <w:szCs w:val="22"/>
              </w:rPr>
              <w:t>görülmektedir. Ancak 2018 yılında hayat dışı şirket grubunda söz konusu oranın yaklaşık 5 puan, hayat / emeklilik şirket grubunda ise 2 puan azalmıştır.</w:t>
            </w:r>
          </w:p>
          <w:p w:rsidR="00B70B10" w:rsidRDefault="00B70B10" w:rsidP="00546622">
            <w:pPr>
              <w:jc w:val="both"/>
              <w:rPr>
                <w:rFonts w:ascii="Century" w:hAnsi="Century"/>
                <w:color w:val="000000"/>
                <w:sz w:val="22"/>
                <w:szCs w:val="22"/>
              </w:rPr>
            </w:pPr>
          </w:p>
          <w:p w:rsidR="005B31A7" w:rsidRPr="0054321D" w:rsidRDefault="005B31A7" w:rsidP="00546622">
            <w:pPr>
              <w:jc w:val="both"/>
              <w:rPr>
                <w:rFonts w:ascii="Century" w:hAnsi="Century"/>
                <w:color w:val="000000"/>
                <w:sz w:val="22"/>
                <w:szCs w:val="22"/>
              </w:rPr>
            </w:pPr>
          </w:p>
        </w:tc>
        <w:tc>
          <w:tcPr>
            <w:tcW w:w="318" w:type="dxa"/>
            <w:gridSpan w:val="7"/>
          </w:tcPr>
          <w:p w:rsidR="00B70B10" w:rsidRPr="0054321D" w:rsidRDefault="00B70B10" w:rsidP="008D17FE">
            <w:pPr>
              <w:rPr>
                <w:rFonts w:ascii="Century" w:hAnsi="Century"/>
                <w:sz w:val="22"/>
                <w:szCs w:val="22"/>
              </w:rPr>
            </w:pPr>
          </w:p>
        </w:tc>
        <w:tc>
          <w:tcPr>
            <w:tcW w:w="4685" w:type="dxa"/>
            <w:gridSpan w:val="5"/>
          </w:tcPr>
          <w:p w:rsidR="001E6700" w:rsidRPr="0054321D" w:rsidRDefault="00B51DCF" w:rsidP="00D4569F">
            <w:pPr>
              <w:jc w:val="both"/>
              <w:rPr>
                <w:rFonts w:ascii="Century" w:hAnsi="Century" w:cs="Arial"/>
                <w:color w:val="333333"/>
                <w:sz w:val="22"/>
                <w:szCs w:val="22"/>
              </w:rPr>
            </w:pPr>
            <w:r w:rsidRPr="0054321D">
              <w:rPr>
                <w:rFonts w:ascii="Century" w:hAnsi="Century" w:cs="Arial"/>
                <w:color w:val="333333"/>
                <w:sz w:val="22"/>
                <w:szCs w:val="22"/>
              </w:rPr>
              <w:t>In accordance with the legislation, companies should ha</w:t>
            </w:r>
            <w:r w:rsidR="002B120D" w:rsidRPr="0054321D">
              <w:rPr>
                <w:rFonts w:ascii="Century" w:hAnsi="Century" w:cs="Arial"/>
                <w:color w:val="333333"/>
                <w:sz w:val="22"/>
                <w:szCs w:val="22"/>
              </w:rPr>
              <w:t>ve sufficient assets covering</w:t>
            </w:r>
            <w:r w:rsidRPr="0054321D">
              <w:rPr>
                <w:rFonts w:ascii="Century" w:hAnsi="Century" w:cs="Arial"/>
                <w:color w:val="333333"/>
                <w:sz w:val="22"/>
                <w:szCs w:val="22"/>
              </w:rPr>
              <w:t xml:space="preserve"> their liabilities.</w:t>
            </w:r>
            <w:r w:rsidR="00F7252C" w:rsidRPr="0054321D">
              <w:rPr>
                <w:rFonts w:ascii="Century" w:hAnsi="Century" w:cs="Arial"/>
                <w:color w:val="333333"/>
                <w:sz w:val="22"/>
                <w:szCs w:val="22"/>
              </w:rPr>
              <w:t xml:space="preserve"> </w:t>
            </w:r>
            <w:r w:rsidR="003A6135" w:rsidRPr="0054321D">
              <w:rPr>
                <w:rFonts w:ascii="Century" w:hAnsi="Century" w:cs="Arial"/>
                <w:color w:val="333333"/>
                <w:sz w:val="22"/>
                <w:szCs w:val="22"/>
              </w:rPr>
              <w:t xml:space="preserve">Within this context, </w:t>
            </w:r>
            <w:r w:rsidR="00F7252C" w:rsidRPr="0054321D">
              <w:rPr>
                <w:rFonts w:ascii="Century" w:hAnsi="Century" w:cs="Arial"/>
                <w:color w:val="333333"/>
                <w:sz w:val="22"/>
                <w:szCs w:val="22"/>
              </w:rPr>
              <w:t xml:space="preserve">the </w:t>
            </w:r>
            <w:r w:rsidR="003A6135" w:rsidRPr="0054321D">
              <w:rPr>
                <w:rFonts w:ascii="Century" w:hAnsi="Century" w:cs="Arial"/>
                <w:color w:val="333333"/>
                <w:sz w:val="22"/>
                <w:szCs w:val="22"/>
              </w:rPr>
              <w:t xml:space="preserve">total </w:t>
            </w:r>
            <w:r w:rsidR="00F7252C" w:rsidRPr="0054321D">
              <w:rPr>
                <w:rFonts w:ascii="Century" w:hAnsi="Century" w:cs="Arial"/>
                <w:color w:val="333333"/>
                <w:sz w:val="22"/>
                <w:szCs w:val="22"/>
              </w:rPr>
              <w:t xml:space="preserve">assets </w:t>
            </w:r>
            <w:r w:rsidR="00CB4EC1" w:rsidRPr="0054321D">
              <w:rPr>
                <w:rFonts w:ascii="Century" w:hAnsi="Century" w:cs="Arial"/>
                <w:color w:val="333333"/>
                <w:sz w:val="22"/>
                <w:szCs w:val="22"/>
              </w:rPr>
              <w:t>corresponding to</w:t>
            </w:r>
            <w:r w:rsidR="003A6135" w:rsidRPr="0054321D">
              <w:rPr>
                <w:rFonts w:ascii="Century" w:hAnsi="Century" w:cs="Arial"/>
                <w:color w:val="333333"/>
                <w:sz w:val="22"/>
                <w:szCs w:val="22"/>
              </w:rPr>
              <w:t xml:space="preserve"> the related technical provisions are </w:t>
            </w:r>
            <w:r w:rsidR="002B120D" w:rsidRPr="0054321D">
              <w:rPr>
                <w:rFonts w:ascii="Century" w:hAnsi="Century" w:cs="Arial"/>
                <w:color w:val="333333"/>
                <w:sz w:val="22"/>
                <w:szCs w:val="22"/>
              </w:rPr>
              <w:t>re</w:t>
            </w:r>
            <w:r w:rsidR="003A6135" w:rsidRPr="0054321D">
              <w:rPr>
                <w:rFonts w:ascii="Century" w:hAnsi="Century" w:cs="Arial"/>
                <w:color w:val="333333"/>
                <w:sz w:val="22"/>
                <w:szCs w:val="22"/>
              </w:rPr>
              <w:t xml:space="preserve">presented in the table below for non life and life / pension companies. </w:t>
            </w:r>
          </w:p>
          <w:p w:rsidR="001E6700" w:rsidRPr="0054321D" w:rsidRDefault="001E6700" w:rsidP="00D4569F">
            <w:pPr>
              <w:jc w:val="both"/>
              <w:rPr>
                <w:rFonts w:ascii="Century" w:hAnsi="Century" w:cs="Arial"/>
                <w:color w:val="333333"/>
                <w:sz w:val="22"/>
                <w:szCs w:val="22"/>
              </w:rPr>
            </w:pPr>
          </w:p>
          <w:p w:rsidR="00D4569F" w:rsidRPr="0054321D" w:rsidRDefault="0054321D" w:rsidP="001E6700">
            <w:pPr>
              <w:jc w:val="both"/>
              <w:rPr>
                <w:rFonts w:ascii="Century" w:hAnsi="Century"/>
                <w:color w:val="333333"/>
                <w:sz w:val="22"/>
                <w:szCs w:val="22"/>
              </w:rPr>
            </w:pPr>
            <w:r w:rsidRPr="0054321D">
              <w:rPr>
                <w:rFonts w:ascii="Century" w:hAnsi="Century" w:cs="Arial"/>
                <w:color w:val="333333"/>
                <w:sz w:val="22"/>
                <w:szCs w:val="22"/>
              </w:rPr>
              <w:t xml:space="preserve">For both of the groups, it can be understood that sufficient amount of assets are allocated and the </w:t>
            </w:r>
            <w:r w:rsidRPr="0054321D">
              <w:rPr>
                <w:rFonts w:ascii="Century" w:hAnsi="Century"/>
                <w:color w:val="333333"/>
                <w:sz w:val="22"/>
              </w:rPr>
              <w:t xml:space="preserve">technical reserve ratio </w:t>
            </w:r>
            <w:r w:rsidRPr="0054321D">
              <w:rPr>
                <w:rFonts w:ascii="Century" w:hAnsi="Century" w:cs="Arial"/>
                <w:color w:val="333333"/>
                <w:sz w:val="22"/>
                <w:szCs w:val="22"/>
              </w:rPr>
              <w:t>is satisfied. However, technical reserve ratio declined by 5% and 2% for non-life and life insurance companies respectively in 2018.</w:t>
            </w:r>
          </w:p>
        </w:tc>
      </w:tr>
      <w:tr w:rsidR="00FB4563" w:rsidRPr="00B10D90" w:rsidTr="00441D50">
        <w:trPr>
          <w:gridAfter w:val="2"/>
          <w:wAfter w:w="38" w:type="dxa"/>
          <w:trHeight w:val="181"/>
        </w:trPr>
        <w:tc>
          <w:tcPr>
            <w:tcW w:w="9820" w:type="dxa"/>
            <w:gridSpan w:val="14"/>
          </w:tcPr>
          <w:p w:rsidR="00FB4563" w:rsidRPr="00CA5B44" w:rsidRDefault="00FB4563" w:rsidP="00FB4563">
            <w:pPr>
              <w:jc w:val="center"/>
              <w:rPr>
                <w:rFonts w:ascii="Century" w:hAnsi="Century"/>
                <w:b/>
                <w:bCs/>
                <w:color w:val="000080"/>
                <w:sz w:val="20"/>
                <w:szCs w:val="20"/>
              </w:rPr>
            </w:pPr>
            <w:r w:rsidRPr="00CA5B44">
              <w:rPr>
                <w:rFonts w:ascii="Century" w:hAnsi="Century"/>
                <w:b/>
                <w:color w:val="000080"/>
                <w:sz w:val="20"/>
                <w:szCs w:val="20"/>
              </w:rPr>
              <w:t>Tablo 3.</w:t>
            </w:r>
            <w:r w:rsidR="005D0DBF" w:rsidRPr="00CA5B44">
              <w:rPr>
                <w:rFonts w:ascii="Century" w:hAnsi="Century"/>
                <w:b/>
                <w:color w:val="000080"/>
                <w:sz w:val="20"/>
                <w:szCs w:val="20"/>
              </w:rPr>
              <w:t>1</w:t>
            </w:r>
            <w:r w:rsidRPr="00CA5B44">
              <w:rPr>
                <w:rFonts w:ascii="Century" w:hAnsi="Century"/>
                <w:b/>
                <w:color w:val="000080"/>
                <w:sz w:val="20"/>
                <w:szCs w:val="20"/>
              </w:rPr>
              <w:t>.</w:t>
            </w:r>
            <w:r w:rsidR="005D0DBF" w:rsidRPr="00CA5B44">
              <w:rPr>
                <w:rFonts w:ascii="Century" w:hAnsi="Century"/>
                <w:b/>
                <w:color w:val="000080"/>
                <w:sz w:val="20"/>
                <w:szCs w:val="20"/>
              </w:rPr>
              <w:t>4</w:t>
            </w:r>
            <w:r w:rsidRPr="00CA5B44">
              <w:rPr>
                <w:rFonts w:ascii="Century" w:hAnsi="Century"/>
                <w:b/>
                <w:color w:val="000080"/>
                <w:sz w:val="20"/>
                <w:szCs w:val="20"/>
              </w:rPr>
              <w:t>:</w:t>
            </w:r>
            <w:r w:rsidRPr="00CA5B44">
              <w:rPr>
                <w:rFonts w:ascii="Century" w:hAnsi="Century"/>
                <w:b/>
                <w:bCs/>
                <w:color w:val="000080"/>
                <w:sz w:val="20"/>
                <w:szCs w:val="20"/>
              </w:rPr>
              <w:t xml:space="preserve"> </w:t>
            </w:r>
            <w:r w:rsidR="001573E8" w:rsidRPr="00CA5B44">
              <w:rPr>
                <w:rFonts w:ascii="Century" w:hAnsi="Century"/>
                <w:b/>
                <w:bCs/>
                <w:color w:val="000080"/>
                <w:sz w:val="20"/>
                <w:szCs w:val="20"/>
              </w:rPr>
              <w:t>Teknik Karşılık</w:t>
            </w:r>
            <w:r w:rsidRPr="00CA5B44">
              <w:rPr>
                <w:rFonts w:ascii="Century" w:hAnsi="Century"/>
                <w:b/>
                <w:bCs/>
                <w:color w:val="000080"/>
                <w:sz w:val="20"/>
                <w:szCs w:val="20"/>
              </w:rPr>
              <w:t>lar ve Karşılıkları Karşılayan Varlıklar</w:t>
            </w:r>
          </w:p>
          <w:p w:rsidR="00FB4563" w:rsidRPr="00CA5B44" w:rsidRDefault="00FB4563" w:rsidP="00FB4563">
            <w:pPr>
              <w:jc w:val="center"/>
              <w:rPr>
                <w:rFonts w:ascii="Century" w:hAnsi="Century"/>
                <w:bCs/>
                <w:i/>
                <w:color w:val="000080"/>
                <w:sz w:val="20"/>
                <w:szCs w:val="20"/>
              </w:rPr>
            </w:pPr>
            <w:r w:rsidRPr="00CA5B44">
              <w:rPr>
                <w:rFonts w:ascii="Century" w:hAnsi="Century"/>
                <w:bCs/>
                <w:i/>
                <w:color w:val="000080"/>
                <w:sz w:val="20"/>
                <w:szCs w:val="20"/>
              </w:rPr>
              <w:t xml:space="preserve">Technical Reserves and Assets </w:t>
            </w:r>
            <w:r w:rsidR="00AF73A9" w:rsidRPr="00CA5B44">
              <w:rPr>
                <w:rFonts w:ascii="Century" w:hAnsi="Century"/>
                <w:bCs/>
                <w:i/>
                <w:color w:val="000080"/>
                <w:sz w:val="20"/>
                <w:szCs w:val="20"/>
              </w:rPr>
              <w:t xml:space="preserve">Covering </w:t>
            </w:r>
            <w:r w:rsidRPr="00CA5B44">
              <w:rPr>
                <w:rFonts w:ascii="Century" w:hAnsi="Century"/>
                <w:bCs/>
                <w:i/>
                <w:color w:val="000080"/>
                <w:sz w:val="20"/>
                <w:szCs w:val="20"/>
              </w:rPr>
              <w:t>Reserves</w:t>
            </w:r>
          </w:p>
          <w:p w:rsidR="00B561B2" w:rsidRPr="00CA5B44" w:rsidRDefault="00CA5B44" w:rsidP="00FB4563">
            <w:pPr>
              <w:jc w:val="center"/>
              <w:rPr>
                <w:rFonts w:ascii="Century" w:hAnsi="Century"/>
                <w:bCs/>
                <w:i/>
                <w:color w:val="000080"/>
                <w:sz w:val="20"/>
                <w:szCs w:val="20"/>
              </w:rPr>
            </w:pPr>
            <w:r w:rsidRPr="00CA5B44">
              <w:rPr>
                <w:rFonts w:ascii="Century" w:hAnsi="Century"/>
                <w:bCs/>
                <w:i/>
                <w:noProof/>
                <w:color w:val="000080"/>
                <w:sz w:val="20"/>
                <w:szCs w:val="20"/>
              </w:rPr>
              <w:drawing>
                <wp:inline distT="0" distB="0" distL="0" distR="0" wp14:anchorId="1B5540CC" wp14:editId="30A38FDA">
                  <wp:extent cx="6086473" cy="20288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0920" cy="2030307"/>
                          </a:xfrm>
                          <a:prstGeom prst="rect">
                            <a:avLst/>
                          </a:prstGeom>
                          <a:noFill/>
                          <a:ln>
                            <a:noFill/>
                          </a:ln>
                        </pic:spPr>
                      </pic:pic>
                    </a:graphicData>
                  </a:graphic>
                </wp:inline>
              </w:drawing>
            </w:r>
          </w:p>
          <w:p w:rsidR="004E2E85" w:rsidRPr="00CA5B44" w:rsidRDefault="00FB4563" w:rsidP="00FB4563">
            <w:pPr>
              <w:jc w:val="both"/>
              <w:rPr>
                <w:rFonts w:ascii="Century" w:hAnsi="Century" w:cs="Arial TUR"/>
                <w:sz w:val="16"/>
                <w:szCs w:val="16"/>
                <w:lang w:eastAsia="tr-TR"/>
              </w:rPr>
            </w:pPr>
            <w:r w:rsidRPr="00CA5B44">
              <w:rPr>
                <w:rFonts w:ascii="Century" w:hAnsi="Century" w:cs="Arial TUR"/>
                <w:sz w:val="16"/>
                <w:szCs w:val="16"/>
                <w:lang w:eastAsia="tr-TR"/>
              </w:rPr>
              <w:t xml:space="preserve">(*) </w:t>
            </w:r>
            <w:r w:rsidR="004E2E85" w:rsidRPr="00CA5B44">
              <w:rPr>
                <w:rFonts w:ascii="Century" w:hAnsi="Century" w:cs="Arial TUR"/>
                <w:sz w:val="16"/>
                <w:szCs w:val="16"/>
                <w:lang w:eastAsia="tr-TR"/>
              </w:rPr>
              <w:t>(Karşılık Kabul Edilen Varlıklar</w:t>
            </w:r>
            <w:r w:rsidRPr="00CA5B44">
              <w:rPr>
                <w:rFonts w:ascii="Century" w:hAnsi="Century" w:cs="Arial TUR"/>
                <w:sz w:val="16"/>
                <w:szCs w:val="16"/>
                <w:lang w:eastAsia="tr-TR"/>
              </w:rPr>
              <w:t xml:space="preserve"> </w:t>
            </w:r>
            <w:r w:rsidR="004E2E85" w:rsidRPr="00CA5B44">
              <w:rPr>
                <w:rFonts w:ascii="Century" w:hAnsi="Century" w:cs="Arial TUR"/>
                <w:sz w:val="16"/>
                <w:szCs w:val="16"/>
                <w:lang w:eastAsia="tr-TR"/>
              </w:rPr>
              <w:t xml:space="preserve">+ </w:t>
            </w:r>
            <w:r w:rsidR="001573E8" w:rsidRPr="00CA5B44">
              <w:rPr>
                <w:rFonts w:ascii="Century" w:hAnsi="Century" w:cs="Arial TUR"/>
                <w:sz w:val="16"/>
                <w:szCs w:val="16"/>
                <w:lang w:eastAsia="tr-TR"/>
              </w:rPr>
              <w:t>Teknik Karşılık</w:t>
            </w:r>
            <w:r w:rsidR="004E2E85" w:rsidRPr="00CA5B44">
              <w:rPr>
                <w:rFonts w:ascii="Century" w:hAnsi="Century" w:cs="Arial TUR"/>
                <w:sz w:val="16"/>
                <w:szCs w:val="16"/>
                <w:lang w:eastAsia="tr-TR"/>
              </w:rPr>
              <w:t xml:space="preserve">larda Reasürör Payı) </w:t>
            </w:r>
            <w:r w:rsidRPr="00CA5B44">
              <w:rPr>
                <w:rFonts w:ascii="Century" w:hAnsi="Century" w:cs="Arial TUR"/>
                <w:sz w:val="16"/>
                <w:szCs w:val="16"/>
                <w:lang w:eastAsia="tr-TR"/>
              </w:rPr>
              <w:t xml:space="preserve">/ </w:t>
            </w:r>
            <w:r w:rsidR="004E2E85" w:rsidRPr="00CA5B44">
              <w:rPr>
                <w:rFonts w:ascii="Century" w:hAnsi="Century" w:cs="Arial TUR"/>
                <w:sz w:val="16"/>
                <w:szCs w:val="16"/>
                <w:lang w:eastAsia="tr-TR"/>
              </w:rPr>
              <w:t xml:space="preserve">Brüt </w:t>
            </w:r>
            <w:r w:rsidR="001573E8" w:rsidRPr="00CA5B44">
              <w:rPr>
                <w:rFonts w:ascii="Century" w:hAnsi="Century" w:cs="Arial TUR"/>
                <w:sz w:val="16"/>
                <w:szCs w:val="16"/>
                <w:lang w:eastAsia="tr-TR"/>
              </w:rPr>
              <w:t>Teknik Karşılık</w:t>
            </w:r>
            <w:r w:rsidRPr="00CA5B44">
              <w:rPr>
                <w:rFonts w:ascii="Century" w:hAnsi="Century" w:cs="Arial TUR"/>
                <w:sz w:val="16"/>
                <w:szCs w:val="16"/>
                <w:lang w:eastAsia="tr-TR"/>
              </w:rPr>
              <w:t>lar*100</w:t>
            </w:r>
          </w:p>
          <w:p w:rsidR="00B04078" w:rsidRDefault="004E2E85" w:rsidP="00B45C38">
            <w:pPr>
              <w:jc w:val="both"/>
              <w:rPr>
                <w:rFonts w:ascii="Century" w:hAnsi="Century" w:cs="Arial TUR"/>
                <w:i/>
                <w:sz w:val="16"/>
                <w:szCs w:val="16"/>
                <w:lang w:eastAsia="tr-TR"/>
              </w:rPr>
            </w:pPr>
            <w:r w:rsidRPr="00CA5B44">
              <w:rPr>
                <w:rFonts w:ascii="Century" w:hAnsi="Century" w:cs="Arial TUR"/>
                <w:i/>
                <w:sz w:val="16"/>
                <w:szCs w:val="16"/>
                <w:lang w:eastAsia="tr-TR"/>
              </w:rPr>
              <w:t xml:space="preserve">    (</w:t>
            </w:r>
            <w:r w:rsidR="00FB4563" w:rsidRPr="00CA5B44">
              <w:rPr>
                <w:rFonts w:ascii="Century" w:hAnsi="Century" w:cs="Arial TUR"/>
                <w:i/>
                <w:sz w:val="16"/>
                <w:szCs w:val="16"/>
                <w:lang w:eastAsia="tr-TR"/>
              </w:rPr>
              <w:t>Assets corresponding to technical provisions</w:t>
            </w:r>
            <w:r w:rsidRPr="00CA5B44">
              <w:rPr>
                <w:rFonts w:ascii="Century" w:hAnsi="Century" w:cs="Arial TUR"/>
                <w:i/>
                <w:sz w:val="16"/>
                <w:szCs w:val="16"/>
                <w:lang w:eastAsia="tr-TR"/>
              </w:rPr>
              <w:t xml:space="preserve"> + Reinsurance share in reserves)</w:t>
            </w:r>
            <w:r w:rsidR="00FB4563" w:rsidRPr="00CA5B44">
              <w:rPr>
                <w:rFonts w:ascii="Century" w:hAnsi="Century" w:cs="Arial TUR"/>
                <w:i/>
                <w:sz w:val="16"/>
                <w:szCs w:val="16"/>
                <w:lang w:eastAsia="tr-TR"/>
              </w:rPr>
              <w:t xml:space="preserve"> / </w:t>
            </w:r>
            <w:r w:rsidRPr="00CA5B44">
              <w:rPr>
                <w:rFonts w:ascii="Century" w:hAnsi="Century" w:cs="Arial TUR"/>
                <w:i/>
                <w:sz w:val="16"/>
                <w:szCs w:val="16"/>
                <w:lang w:eastAsia="tr-TR"/>
              </w:rPr>
              <w:t>Gross Technical P</w:t>
            </w:r>
            <w:r w:rsidR="00FB4563" w:rsidRPr="00CA5B44">
              <w:rPr>
                <w:rFonts w:ascii="Century" w:hAnsi="Century" w:cs="Arial TUR"/>
                <w:i/>
                <w:sz w:val="16"/>
                <w:szCs w:val="16"/>
                <w:lang w:eastAsia="tr-TR"/>
              </w:rPr>
              <w:t>rovisions*100.</w:t>
            </w:r>
          </w:p>
          <w:p w:rsidR="007D65D8" w:rsidRDefault="007D65D8" w:rsidP="00B45C38">
            <w:pPr>
              <w:jc w:val="both"/>
              <w:rPr>
                <w:rFonts w:ascii="Century" w:hAnsi="Century" w:cs="Arial TUR"/>
                <w:i/>
                <w:sz w:val="16"/>
                <w:szCs w:val="16"/>
                <w:lang w:eastAsia="tr-TR"/>
              </w:rPr>
            </w:pPr>
          </w:p>
          <w:p w:rsidR="007D65D8" w:rsidRPr="00CA5B44" w:rsidRDefault="007D65D8" w:rsidP="00B45C38">
            <w:pPr>
              <w:jc w:val="both"/>
              <w:rPr>
                <w:rFonts w:ascii="Century" w:hAnsi="Century" w:cs="Arial"/>
                <w:color w:val="333333"/>
                <w:sz w:val="22"/>
                <w:szCs w:val="22"/>
              </w:rPr>
            </w:pPr>
          </w:p>
        </w:tc>
      </w:tr>
      <w:tr w:rsidR="00B70B10" w:rsidRPr="00B10D90" w:rsidTr="00441D50">
        <w:trPr>
          <w:gridAfter w:val="2"/>
          <w:wAfter w:w="38" w:type="dxa"/>
          <w:trHeight w:val="181"/>
        </w:trPr>
        <w:tc>
          <w:tcPr>
            <w:tcW w:w="4817" w:type="dxa"/>
            <w:gridSpan w:val="2"/>
          </w:tcPr>
          <w:p w:rsidR="00F00A55" w:rsidRPr="000871A3" w:rsidRDefault="00745B39" w:rsidP="007D65D8">
            <w:pPr>
              <w:pStyle w:val="Heading3"/>
              <w:keepNext w:val="0"/>
              <w:spacing w:before="0" w:after="0"/>
              <w:ind w:left="0"/>
              <w:rPr>
                <w:rFonts w:ascii="Century" w:hAnsi="Century"/>
                <w:color w:val="000080"/>
                <w:sz w:val="22"/>
                <w:szCs w:val="22"/>
              </w:rPr>
            </w:pPr>
            <w:bookmarkStart w:id="195" w:name="_Toc358380199"/>
            <w:bookmarkStart w:id="196" w:name="_Toc12957669"/>
            <w:r w:rsidRPr="000871A3">
              <w:rPr>
                <w:rFonts w:ascii="Century" w:hAnsi="Century"/>
                <w:color w:val="000080"/>
                <w:sz w:val="22"/>
                <w:szCs w:val="22"/>
              </w:rPr>
              <w:lastRenderedPageBreak/>
              <w:t xml:space="preserve">Prim </w:t>
            </w:r>
            <w:r w:rsidR="005A43C7" w:rsidRPr="000871A3">
              <w:rPr>
                <w:rFonts w:ascii="Century" w:hAnsi="Century"/>
                <w:color w:val="000080"/>
                <w:sz w:val="22"/>
                <w:szCs w:val="22"/>
              </w:rPr>
              <w:t>Üretim Kaynakları</w:t>
            </w:r>
            <w:bookmarkEnd w:id="195"/>
            <w:bookmarkEnd w:id="196"/>
          </w:p>
          <w:p w:rsidR="00F00A55" w:rsidRPr="000871A3" w:rsidRDefault="00F00A55" w:rsidP="007D2D00">
            <w:pPr>
              <w:jc w:val="both"/>
              <w:rPr>
                <w:rFonts w:ascii="Century" w:hAnsi="Century"/>
                <w:sz w:val="22"/>
                <w:szCs w:val="22"/>
              </w:rPr>
            </w:pPr>
          </w:p>
          <w:p w:rsidR="00B70B10" w:rsidRPr="00B10D90" w:rsidRDefault="00B76EF5" w:rsidP="000871A3">
            <w:pPr>
              <w:jc w:val="both"/>
              <w:rPr>
                <w:rFonts w:ascii="Century" w:hAnsi="Century"/>
                <w:sz w:val="22"/>
                <w:szCs w:val="22"/>
                <w:highlight w:val="yellow"/>
              </w:rPr>
            </w:pPr>
            <w:r w:rsidRPr="000871A3">
              <w:rPr>
                <w:rFonts w:ascii="Century" w:hAnsi="Century"/>
                <w:sz w:val="22"/>
                <w:szCs w:val="22"/>
              </w:rPr>
              <w:t>Sigortacılık sektöründe 201</w:t>
            </w:r>
            <w:r w:rsidR="000871A3" w:rsidRPr="000871A3">
              <w:rPr>
                <w:rFonts w:ascii="Century" w:hAnsi="Century"/>
                <w:sz w:val="22"/>
                <w:szCs w:val="22"/>
              </w:rPr>
              <w:t>8</w:t>
            </w:r>
            <w:r w:rsidRPr="000871A3">
              <w:rPr>
                <w:rFonts w:ascii="Century" w:hAnsi="Century"/>
                <w:sz w:val="22"/>
                <w:szCs w:val="22"/>
              </w:rPr>
              <w:t xml:space="preserve"> </w:t>
            </w:r>
            <w:r w:rsidR="000871A3" w:rsidRPr="000871A3">
              <w:rPr>
                <w:rFonts w:ascii="Century" w:hAnsi="Century"/>
                <w:sz w:val="22"/>
                <w:szCs w:val="22"/>
              </w:rPr>
              <w:t>yılında toplam 54</w:t>
            </w:r>
            <w:r w:rsidR="00B51DCF" w:rsidRPr="000871A3">
              <w:rPr>
                <w:rFonts w:ascii="Century" w:hAnsi="Century"/>
                <w:sz w:val="22"/>
                <w:szCs w:val="22"/>
              </w:rPr>
              <w:t>,</w:t>
            </w:r>
            <w:r w:rsidRPr="000871A3">
              <w:rPr>
                <w:rFonts w:ascii="Century" w:hAnsi="Century"/>
                <w:sz w:val="22"/>
                <w:szCs w:val="22"/>
              </w:rPr>
              <w:t>6</w:t>
            </w:r>
            <w:r w:rsidR="00B51DCF" w:rsidRPr="000871A3">
              <w:rPr>
                <w:rFonts w:ascii="Century" w:hAnsi="Century"/>
                <w:sz w:val="22"/>
                <w:szCs w:val="22"/>
              </w:rPr>
              <w:t xml:space="preserve"> milyar TL prim üretimi gerçekleştirilmiş olup, bir önc</w:t>
            </w:r>
            <w:r w:rsidRPr="000871A3">
              <w:rPr>
                <w:rFonts w:ascii="Century" w:hAnsi="Century"/>
                <w:sz w:val="22"/>
                <w:szCs w:val="22"/>
              </w:rPr>
              <w:t>eki yıla göre prim üretiminde %1</w:t>
            </w:r>
            <w:r w:rsidR="000871A3" w:rsidRPr="000871A3">
              <w:rPr>
                <w:rFonts w:ascii="Century" w:hAnsi="Century"/>
                <w:sz w:val="22"/>
                <w:szCs w:val="22"/>
              </w:rPr>
              <w:t>7</w:t>
            </w:r>
            <w:r w:rsidR="00B51DCF" w:rsidRPr="000871A3">
              <w:rPr>
                <w:rFonts w:ascii="Century" w:hAnsi="Century"/>
                <w:sz w:val="22"/>
                <w:szCs w:val="22"/>
              </w:rPr>
              <w:t xml:space="preserve"> oranında artış sağlanmıştır. Yıl içinde hayat d</w:t>
            </w:r>
            <w:r w:rsidR="000871A3" w:rsidRPr="000871A3">
              <w:rPr>
                <w:rFonts w:ascii="Century" w:hAnsi="Century"/>
                <w:sz w:val="22"/>
                <w:szCs w:val="22"/>
              </w:rPr>
              <w:t>ışı şirketlerin prim üretimi %20</w:t>
            </w:r>
            <w:r w:rsidR="00B51DCF" w:rsidRPr="000871A3">
              <w:rPr>
                <w:rFonts w:ascii="Century" w:hAnsi="Century"/>
                <w:sz w:val="22"/>
                <w:szCs w:val="22"/>
              </w:rPr>
              <w:t xml:space="preserve"> oranında artarken, hayat / emeklil</w:t>
            </w:r>
            <w:r w:rsidR="000871A3" w:rsidRPr="000871A3">
              <w:rPr>
                <w:rFonts w:ascii="Century" w:hAnsi="Century"/>
                <w:sz w:val="22"/>
                <w:szCs w:val="22"/>
              </w:rPr>
              <w:t>ik şirketlerinin prim üretimi %5</w:t>
            </w:r>
            <w:r w:rsidR="00B51DCF" w:rsidRPr="000871A3">
              <w:rPr>
                <w:rFonts w:ascii="Century" w:hAnsi="Century"/>
                <w:sz w:val="22"/>
                <w:szCs w:val="22"/>
              </w:rPr>
              <w:t xml:space="preserve"> oranında artmıştır.</w:t>
            </w:r>
          </w:p>
        </w:tc>
        <w:tc>
          <w:tcPr>
            <w:tcW w:w="318" w:type="dxa"/>
            <w:gridSpan w:val="7"/>
          </w:tcPr>
          <w:p w:rsidR="00B70B10" w:rsidRPr="000871A3" w:rsidRDefault="00B70B10" w:rsidP="008D17FE">
            <w:pPr>
              <w:rPr>
                <w:rFonts w:ascii="Century" w:hAnsi="Century"/>
                <w:sz w:val="22"/>
                <w:szCs w:val="22"/>
              </w:rPr>
            </w:pPr>
          </w:p>
        </w:tc>
        <w:tc>
          <w:tcPr>
            <w:tcW w:w="4685" w:type="dxa"/>
            <w:gridSpan w:val="5"/>
          </w:tcPr>
          <w:p w:rsidR="00F00A55" w:rsidRPr="000871A3" w:rsidRDefault="00F00A55" w:rsidP="00EE6D18">
            <w:pPr>
              <w:jc w:val="both"/>
              <w:rPr>
                <w:rFonts w:ascii="Century" w:hAnsi="Century"/>
                <w:color w:val="333333"/>
                <w:sz w:val="22"/>
                <w:szCs w:val="22"/>
              </w:rPr>
            </w:pPr>
            <w:r w:rsidRPr="000871A3">
              <w:rPr>
                <w:rFonts w:ascii="Century" w:hAnsi="Century"/>
                <w:b/>
                <w:color w:val="003366"/>
                <w:sz w:val="22"/>
                <w:szCs w:val="22"/>
              </w:rPr>
              <w:t>3.1.</w:t>
            </w:r>
            <w:r w:rsidR="00E832EE" w:rsidRPr="000871A3">
              <w:rPr>
                <w:rFonts w:ascii="Century" w:hAnsi="Century"/>
                <w:b/>
                <w:color w:val="003366"/>
                <w:sz w:val="22"/>
                <w:szCs w:val="22"/>
              </w:rPr>
              <w:t>4</w:t>
            </w:r>
            <w:r w:rsidR="00745B39" w:rsidRPr="000871A3">
              <w:rPr>
                <w:rFonts w:ascii="Century" w:hAnsi="Century"/>
                <w:b/>
                <w:color w:val="003366"/>
                <w:sz w:val="22"/>
                <w:szCs w:val="22"/>
              </w:rPr>
              <w:t xml:space="preserve">. </w:t>
            </w:r>
            <w:r w:rsidR="005A43C7" w:rsidRPr="000871A3">
              <w:rPr>
                <w:rFonts w:ascii="Century" w:hAnsi="Century"/>
                <w:b/>
                <w:color w:val="003366"/>
                <w:sz w:val="22"/>
                <w:szCs w:val="22"/>
              </w:rPr>
              <w:t>The Source of Premium Production</w:t>
            </w:r>
          </w:p>
          <w:p w:rsidR="00F744EC" w:rsidRPr="000871A3" w:rsidRDefault="00F744EC" w:rsidP="00C366C9">
            <w:pPr>
              <w:jc w:val="both"/>
              <w:rPr>
                <w:rFonts w:ascii="Century" w:hAnsi="Century"/>
                <w:color w:val="333333"/>
                <w:sz w:val="22"/>
                <w:szCs w:val="22"/>
              </w:rPr>
            </w:pPr>
          </w:p>
          <w:p w:rsidR="00B70B10" w:rsidRPr="000871A3" w:rsidRDefault="00B76EF5" w:rsidP="000871A3">
            <w:pPr>
              <w:jc w:val="both"/>
              <w:rPr>
                <w:rFonts w:ascii="Century" w:hAnsi="Century" w:cs="Arial"/>
                <w:color w:val="333333"/>
                <w:sz w:val="22"/>
                <w:szCs w:val="22"/>
              </w:rPr>
            </w:pPr>
            <w:r w:rsidRPr="000871A3">
              <w:rPr>
                <w:rFonts w:ascii="Century" w:hAnsi="Century"/>
                <w:color w:val="333333"/>
                <w:sz w:val="22"/>
                <w:szCs w:val="22"/>
              </w:rPr>
              <w:t>In 201</w:t>
            </w:r>
            <w:r w:rsidR="000871A3" w:rsidRPr="000871A3">
              <w:rPr>
                <w:rFonts w:ascii="Century" w:hAnsi="Century"/>
                <w:color w:val="333333"/>
                <w:sz w:val="22"/>
                <w:szCs w:val="22"/>
              </w:rPr>
              <w:t>8</w:t>
            </w:r>
            <w:r w:rsidR="00B51DCF" w:rsidRPr="000871A3">
              <w:rPr>
                <w:rFonts w:ascii="Century" w:hAnsi="Century"/>
                <w:color w:val="333333"/>
                <w:sz w:val="22"/>
                <w:szCs w:val="22"/>
              </w:rPr>
              <w:t xml:space="preserve">, gross written premium in </w:t>
            </w:r>
            <w:r w:rsidR="00E553EE" w:rsidRPr="000871A3">
              <w:rPr>
                <w:rFonts w:ascii="Century" w:hAnsi="Century"/>
                <w:color w:val="333333"/>
                <w:sz w:val="22"/>
                <w:szCs w:val="22"/>
              </w:rPr>
              <w:t xml:space="preserve">the </w:t>
            </w:r>
            <w:r w:rsidR="00B51DCF" w:rsidRPr="000871A3">
              <w:rPr>
                <w:rFonts w:ascii="Century" w:hAnsi="Century"/>
                <w:color w:val="333333"/>
                <w:sz w:val="22"/>
                <w:szCs w:val="22"/>
              </w:rPr>
              <w:t xml:space="preserve">insurance market has </w:t>
            </w:r>
            <w:r w:rsidRPr="000871A3">
              <w:rPr>
                <w:rFonts w:ascii="Century" w:hAnsi="Century"/>
                <w:color w:val="333333"/>
                <w:sz w:val="22"/>
                <w:szCs w:val="22"/>
              </w:rPr>
              <w:t>risen by 1</w:t>
            </w:r>
            <w:r w:rsidR="000871A3" w:rsidRPr="000871A3">
              <w:rPr>
                <w:rFonts w:ascii="Century" w:hAnsi="Century"/>
                <w:color w:val="333333"/>
                <w:sz w:val="22"/>
                <w:szCs w:val="22"/>
              </w:rPr>
              <w:t>7</w:t>
            </w:r>
            <w:r w:rsidR="00186832" w:rsidRPr="000871A3">
              <w:rPr>
                <w:rFonts w:ascii="Century" w:hAnsi="Century"/>
                <w:color w:val="333333"/>
                <w:sz w:val="22"/>
                <w:szCs w:val="22"/>
              </w:rPr>
              <w:t>%</w:t>
            </w:r>
            <w:r w:rsidR="00B51DCF" w:rsidRPr="000871A3">
              <w:rPr>
                <w:rFonts w:ascii="Century" w:hAnsi="Century"/>
                <w:color w:val="333333"/>
                <w:sz w:val="22"/>
                <w:szCs w:val="22"/>
              </w:rPr>
              <w:t xml:space="preserve"> and reached </w:t>
            </w:r>
            <w:r w:rsidR="00B51DCF" w:rsidRPr="000871A3">
              <w:rPr>
                <w:rFonts w:ascii="AbakuTLSymSans" w:hAnsi="AbakuTLSymSans" w:cs="Arial"/>
                <w:bCs/>
                <w:color w:val="333333"/>
                <w:sz w:val="20"/>
                <w:szCs w:val="20"/>
              </w:rPr>
              <w:t>¨</w:t>
            </w:r>
            <w:r w:rsidR="000871A3" w:rsidRPr="000871A3">
              <w:rPr>
                <w:rFonts w:ascii="Century" w:hAnsi="Century"/>
                <w:color w:val="333333"/>
                <w:sz w:val="22"/>
                <w:szCs w:val="22"/>
              </w:rPr>
              <w:t>54</w:t>
            </w:r>
            <w:r w:rsidR="00B51DCF" w:rsidRPr="000871A3">
              <w:rPr>
                <w:rFonts w:ascii="Century" w:hAnsi="Century"/>
                <w:color w:val="333333"/>
                <w:sz w:val="22"/>
                <w:szCs w:val="22"/>
              </w:rPr>
              <w:t>.</w:t>
            </w:r>
            <w:r w:rsidRPr="000871A3">
              <w:rPr>
                <w:rFonts w:ascii="Century" w:hAnsi="Century"/>
                <w:color w:val="333333"/>
                <w:sz w:val="22"/>
                <w:szCs w:val="22"/>
              </w:rPr>
              <w:t>6</w:t>
            </w:r>
            <w:r w:rsidR="00B51DCF" w:rsidRPr="000871A3">
              <w:rPr>
                <w:rFonts w:ascii="Century" w:hAnsi="Century"/>
                <w:color w:val="333333"/>
                <w:sz w:val="22"/>
                <w:szCs w:val="22"/>
              </w:rPr>
              <w:t xml:space="preserve"> billion </w:t>
            </w:r>
            <w:r w:rsidR="00B51DCF" w:rsidRPr="000871A3">
              <w:rPr>
                <w:rFonts w:ascii="Century" w:hAnsi="Century" w:cs="Arial"/>
                <w:color w:val="333333"/>
                <w:sz w:val="22"/>
                <w:szCs w:val="22"/>
              </w:rPr>
              <w:t>com</w:t>
            </w:r>
            <w:r w:rsidR="00186832" w:rsidRPr="000871A3">
              <w:rPr>
                <w:rFonts w:ascii="Century" w:hAnsi="Century" w:cs="Arial"/>
                <w:color w:val="333333"/>
                <w:sz w:val="22"/>
                <w:szCs w:val="22"/>
              </w:rPr>
              <w:t>pared to the previous year. T</w:t>
            </w:r>
            <w:r w:rsidR="00B51DCF" w:rsidRPr="000871A3">
              <w:rPr>
                <w:rFonts w:ascii="Century" w:hAnsi="Century" w:cs="Arial"/>
                <w:color w:val="333333"/>
                <w:sz w:val="22"/>
                <w:szCs w:val="22"/>
              </w:rPr>
              <w:t>he premium production of non-li</w:t>
            </w:r>
            <w:r w:rsidRPr="000871A3">
              <w:rPr>
                <w:rFonts w:ascii="Century" w:hAnsi="Century" w:cs="Arial"/>
                <w:color w:val="333333"/>
                <w:sz w:val="22"/>
                <w:szCs w:val="22"/>
              </w:rPr>
              <w:t>fe companies has increased by</w:t>
            </w:r>
            <w:r w:rsidR="000871A3" w:rsidRPr="000871A3">
              <w:rPr>
                <w:rFonts w:ascii="Century" w:hAnsi="Century" w:cs="Arial"/>
                <w:color w:val="333333"/>
                <w:sz w:val="22"/>
                <w:szCs w:val="22"/>
              </w:rPr>
              <w:t xml:space="preserve"> 20</w:t>
            </w:r>
            <w:r w:rsidR="00186832" w:rsidRPr="000871A3">
              <w:rPr>
                <w:rFonts w:ascii="Century" w:hAnsi="Century" w:cs="Arial"/>
                <w:color w:val="333333"/>
                <w:sz w:val="22"/>
                <w:szCs w:val="22"/>
              </w:rPr>
              <w:t>% for non life companies and</w:t>
            </w:r>
            <w:r w:rsidR="000871A3" w:rsidRPr="000871A3">
              <w:rPr>
                <w:rFonts w:ascii="Century" w:hAnsi="Century" w:cs="Arial"/>
                <w:color w:val="333333"/>
                <w:sz w:val="22"/>
                <w:szCs w:val="22"/>
              </w:rPr>
              <w:t xml:space="preserve"> 5</w:t>
            </w:r>
            <w:r w:rsidR="00186832" w:rsidRPr="000871A3">
              <w:rPr>
                <w:rFonts w:ascii="Century" w:hAnsi="Century" w:cs="Arial"/>
                <w:color w:val="333333"/>
                <w:sz w:val="22"/>
                <w:szCs w:val="22"/>
              </w:rPr>
              <w:t>%</w:t>
            </w:r>
            <w:r w:rsidR="00B51DCF" w:rsidRPr="000871A3">
              <w:rPr>
                <w:rFonts w:ascii="Century" w:hAnsi="Century" w:cs="Arial"/>
                <w:color w:val="333333"/>
                <w:sz w:val="22"/>
                <w:szCs w:val="22"/>
              </w:rPr>
              <w:t xml:space="preserve"> for the life / pension companies.</w:t>
            </w:r>
          </w:p>
        </w:tc>
      </w:tr>
      <w:tr w:rsidR="00F63DD2" w:rsidRPr="00B10D90" w:rsidTr="00441D50">
        <w:trPr>
          <w:gridAfter w:val="2"/>
          <w:wAfter w:w="38" w:type="dxa"/>
          <w:trHeight w:val="181"/>
        </w:trPr>
        <w:tc>
          <w:tcPr>
            <w:tcW w:w="4817" w:type="dxa"/>
            <w:gridSpan w:val="2"/>
          </w:tcPr>
          <w:p w:rsidR="00B04078" w:rsidRPr="00B10D90" w:rsidRDefault="00B04078" w:rsidP="007D2D00">
            <w:pPr>
              <w:jc w:val="both"/>
              <w:rPr>
                <w:rFonts w:ascii="Century" w:hAnsi="Century"/>
                <w:sz w:val="22"/>
                <w:szCs w:val="22"/>
                <w:highlight w:val="yellow"/>
              </w:rPr>
            </w:pPr>
          </w:p>
        </w:tc>
        <w:tc>
          <w:tcPr>
            <w:tcW w:w="318" w:type="dxa"/>
            <w:gridSpan w:val="7"/>
          </w:tcPr>
          <w:p w:rsidR="00F63DD2" w:rsidRPr="00B10D90" w:rsidRDefault="00F63DD2" w:rsidP="008D17FE">
            <w:pPr>
              <w:rPr>
                <w:rFonts w:ascii="Century" w:hAnsi="Century"/>
                <w:sz w:val="22"/>
                <w:szCs w:val="22"/>
                <w:highlight w:val="yellow"/>
              </w:rPr>
            </w:pPr>
          </w:p>
        </w:tc>
        <w:tc>
          <w:tcPr>
            <w:tcW w:w="4685" w:type="dxa"/>
            <w:gridSpan w:val="5"/>
          </w:tcPr>
          <w:p w:rsidR="00F63DD2" w:rsidRPr="00B10D90" w:rsidRDefault="00F63DD2" w:rsidP="00EE6D18">
            <w:pPr>
              <w:jc w:val="both"/>
              <w:rPr>
                <w:rFonts w:ascii="Century" w:hAnsi="Century" w:cs="Arial"/>
                <w:color w:val="333333"/>
                <w:sz w:val="22"/>
                <w:szCs w:val="22"/>
                <w:highlight w:val="yellow"/>
              </w:rPr>
            </w:pPr>
          </w:p>
        </w:tc>
      </w:tr>
      <w:tr w:rsidR="00F00A55" w:rsidRPr="00B10D90" w:rsidTr="00441D50">
        <w:trPr>
          <w:gridAfter w:val="2"/>
          <w:wAfter w:w="38" w:type="dxa"/>
          <w:trHeight w:val="181"/>
        </w:trPr>
        <w:tc>
          <w:tcPr>
            <w:tcW w:w="9820" w:type="dxa"/>
            <w:gridSpan w:val="14"/>
          </w:tcPr>
          <w:p w:rsidR="00006EC5" w:rsidRDefault="002F781D" w:rsidP="002F781D">
            <w:pPr>
              <w:jc w:val="center"/>
              <w:rPr>
                <w:rFonts w:ascii="Century" w:hAnsi="Century"/>
                <w:i/>
                <w:iCs/>
                <w:color w:val="000080"/>
                <w:sz w:val="20"/>
                <w:szCs w:val="20"/>
              </w:rPr>
            </w:pPr>
            <w:r w:rsidRPr="000871A3">
              <w:rPr>
                <w:rFonts w:ascii="Century" w:hAnsi="Century"/>
                <w:b/>
                <w:color w:val="000080"/>
                <w:sz w:val="20"/>
                <w:szCs w:val="20"/>
              </w:rPr>
              <w:t xml:space="preserve">Tablo </w:t>
            </w:r>
            <w:r w:rsidR="005D0DBF" w:rsidRPr="000871A3">
              <w:rPr>
                <w:rFonts w:ascii="Century" w:hAnsi="Century"/>
                <w:b/>
                <w:color w:val="000080"/>
                <w:sz w:val="20"/>
                <w:szCs w:val="20"/>
              </w:rPr>
              <w:t>3</w:t>
            </w:r>
            <w:r w:rsidRPr="000871A3">
              <w:rPr>
                <w:rFonts w:ascii="Century" w:hAnsi="Century"/>
                <w:b/>
                <w:color w:val="000080"/>
                <w:sz w:val="20"/>
                <w:szCs w:val="20"/>
              </w:rPr>
              <w:t>.</w:t>
            </w:r>
            <w:r w:rsidR="005D0DBF" w:rsidRPr="000871A3">
              <w:rPr>
                <w:rFonts w:ascii="Century" w:hAnsi="Century"/>
                <w:b/>
                <w:color w:val="000080"/>
                <w:sz w:val="20"/>
                <w:szCs w:val="20"/>
              </w:rPr>
              <w:t>1</w:t>
            </w:r>
            <w:r w:rsidRPr="000871A3">
              <w:rPr>
                <w:rFonts w:ascii="Century" w:hAnsi="Century"/>
                <w:b/>
                <w:color w:val="000080"/>
                <w:sz w:val="20"/>
                <w:szCs w:val="20"/>
              </w:rPr>
              <w:t>.</w:t>
            </w:r>
            <w:r w:rsidR="005D0DBF" w:rsidRPr="000871A3">
              <w:rPr>
                <w:rFonts w:ascii="Century" w:hAnsi="Century"/>
                <w:b/>
                <w:color w:val="000080"/>
                <w:sz w:val="20"/>
                <w:szCs w:val="20"/>
              </w:rPr>
              <w:t>5</w:t>
            </w:r>
            <w:r w:rsidRPr="000871A3">
              <w:rPr>
                <w:rFonts w:ascii="Century" w:hAnsi="Century"/>
                <w:b/>
                <w:color w:val="000080"/>
                <w:sz w:val="20"/>
                <w:szCs w:val="20"/>
              </w:rPr>
              <w:t xml:space="preserve">: </w:t>
            </w:r>
            <w:r w:rsidRPr="000871A3">
              <w:rPr>
                <w:rFonts w:ascii="Century" w:hAnsi="Century"/>
                <w:b/>
                <w:bCs/>
                <w:color w:val="000080"/>
                <w:sz w:val="20"/>
                <w:szCs w:val="20"/>
              </w:rPr>
              <w:t xml:space="preserve">Prim Üretiminin Dağılımı – </w:t>
            </w:r>
            <w:r w:rsidRPr="000871A3">
              <w:rPr>
                <w:rFonts w:ascii="Century" w:hAnsi="Century"/>
                <w:bCs/>
                <w:i/>
                <w:color w:val="000080"/>
                <w:sz w:val="20"/>
                <w:szCs w:val="20"/>
              </w:rPr>
              <w:t xml:space="preserve">Distribution of </w:t>
            </w:r>
            <w:r w:rsidRPr="000871A3">
              <w:rPr>
                <w:rFonts w:ascii="Century" w:hAnsi="Century"/>
                <w:i/>
                <w:iCs/>
                <w:color w:val="000080"/>
                <w:sz w:val="20"/>
                <w:szCs w:val="20"/>
              </w:rPr>
              <w:t>Premium Volume</w:t>
            </w:r>
          </w:p>
          <w:p w:rsidR="00006EC5" w:rsidRDefault="00006EC5" w:rsidP="002F781D">
            <w:pPr>
              <w:jc w:val="center"/>
              <w:rPr>
                <w:rFonts w:ascii="Century" w:hAnsi="Century"/>
                <w:i/>
                <w:iCs/>
                <w:color w:val="000080"/>
                <w:sz w:val="20"/>
                <w:szCs w:val="20"/>
              </w:rPr>
            </w:pPr>
          </w:p>
          <w:p w:rsidR="002F781D" w:rsidRDefault="00006EC5" w:rsidP="00006EC5">
            <w:pPr>
              <w:jc w:val="center"/>
              <w:rPr>
                <w:rFonts w:ascii="Century" w:hAnsi="Century"/>
                <w:i/>
                <w:iCs/>
                <w:color w:val="000080"/>
                <w:sz w:val="20"/>
                <w:szCs w:val="20"/>
              </w:rPr>
            </w:pPr>
            <w:r>
              <w:rPr>
                <w:rFonts w:ascii="Century" w:hAnsi="Century"/>
                <w:i/>
                <w:iCs/>
                <w:noProof/>
                <w:color w:val="000080"/>
                <w:sz w:val="20"/>
                <w:szCs w:val="20"/>
              </w:rPr>
              <w:drawing>
                <wp:inline distT="0" distB="0" distL="0" distR="0" wp14:anchorId="0DD26B73" wp14:editId="5C70D8AB">
                  <wp:extent cx="6098649" cy="1876508"/>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8540" cy="1876475"/>
                          </a:xfrm>
                          <a:prstGeom prst="rect">
                            <a:avLst/>
                          </a:prstGeom>
                          <a:noFill/>
                          <a:ln>
                            <a:noFill/>
                          </a:ln>
                        </pic:spPr>
                      </pic:pic>
                    </a:graphicData>
                  </a:graphic>
                </wp:inline>
              </w:drawing>
            </w:r>
          </w:p>
          <w:p w:rsidR="00006EC5" w:rsidRPr="00006EC5" w:rsidRDefault="00006EC5" w:rsidP="00006EC5">
            <w:pPr>
              <w:jc w:val="center"/>
              <w:rPr>
                <w:rFonts w:ascii="Century" w:hAnsi="Century"/>
                <w:i/>
                <w:iCs/>
                <w:color w:val="000080"/>
                <w:sz w:val="20"/>
                <w:szCs w:val="20"/>
              </w:rPr>
            </w:pPr>
          </w:p>
        </w:tc>
      </w:tr>
      <w:tr w:rsidR="00F63DD2" w:rsidRPr="00B10D90" w:rsidTr="00441D50">
        <w:trPr>
          <w:gridAfter w:val="2"/>
          <w:wAfter w:w="38" w:type="dxa"/>
          <w:trHeight w:val="181"/>
        </w:trPr>
        <w:tc>
          <w:tcPr>
            <w:tcW w:w="4817" w:type="dxa"/>
            <w:gridSpan w:val="2"/>
          </w:tcPr>
          <w:p w:rsidR="00832175" w:rsidRPr="005959E3" w:rsidRDefault="00832175" w:rsidP="00832175">
            <w:pPr>
              <w:pStyle w:val="BodyTextIndent2"/>
              <w:tabs>
                <w:tab w:val="left" w:pos="1440"/>
              </w:tabs>
              <w:spacing w:after="0" w:line="240" w:lineRule="auto"/>
              <w:ind w:left="0"/>
              <w:jc w:val="both"/>
              <w:rPr>
                <w:rFonts w:ascii="Century" w:hAnsi="Century"/>
                <w:color w:val="000000"/>
                <w:sz w:val="22"/>
                <w:szCs w:val="22"/>
              </w:rPr>
            </w:pPr>
            <w:r w:rsidRPr="005959E3">
              <w:rPr>
                <w:rFonts w:ascii="Century" w:hAnsi="Century"/>
                <w:color w:val="000000"/>
                <w:sz w:val="22"/>
                <w:szCs w:val="22"/>
              </w:rPr>
              <w:t>Ülkemizde prim üretim kaynakları içinde sigorta acenteleri büyük bir ağırlığa sahiptir. 201</w:t>
            </w:r>
            <w:r w:rsidR="005959E3" w:rsidRPr="005959E3">
              <w:rPr>
                <w:rFonts w:ascii="Century" w:hAnsi="Century"/>
                <w:color w:val="000000"/>
                <w:sz w:val="22"/>
                <w:szCs w:val="22"/>
              </w:rPr>
              <w:t>8</w:t>
            </w:r>
            <w:r w:rsidRPr="005959E3">
              <w:rPr>
                <w:rFonts w:ascii="Century" w:hAnsi="Century"/>
                <w:color w:val="000000"/>
                <w:sz w:val="22"/>
                <w:szCs w:val="22"/>
              </w:rPr>
              <w:t xml:space="preserve"> yılında </w:t>
            </w:r>
            <w:r w:rsidR="0050247A" w:rsidRPr="005959E3">
              <w:rPr>
                <w:rFonts w:ascii="Century" w:hAnsi="Century"/>
                <w:color w:val="000000"/>
                <w:sz w:val="22"/>
                <w:szCs w:val="22"/>
              </w:rPr>
              <w:t>dire</w:t>
            </w:r>
            <w:r w:rsidR="00393579" w:rsidRPr="005959E3">
              <w:rPr>
                <w:rFonts w:ascii="Century" w:hAnsi="Century"/>
                <w:color w:val="000000"/>
                <w:sz w:val="22"/>
                <w:szCs w:val="22"/>
              </w:rPr>
              <w:t>k</w:t>
            </w:r>
            <w:r w:rsidR="005959E3" w:rsidRPr="005959E3">
              <w:rPr>
                <w:rFonts w:ascii="Century" w:hAnsi="Century"/>
                <w:color w:val="000000"/>
                <w:sz w:val="22"/>
                <w:szCs w:val="22"/>
              </w:rPr>
              <w:t>t prim üretiminin %58’i özel acenteler, %24</w:t>
            </w:r>
            <w:proofErr w:type="gramStart"/>
            <w:r w:rsidR="005959E3" w:rsidRPr="005959E3">
              <w:rPr>
                <w:rFonts w:ascii="Century" w:hAnsi="Century"/>
                <w:color w:val="000000"/>
                <w:sz w:val="22"/>
                <w:szCs w:val="22"/>
              </w:rPr>
              <w:t>,5</w:t>
            </w:r>
            <w:r w:rsidRPr="005959E3">
              <w:rPr>
                <w:rFonts w:ascii="Century" w:hAnsi="Century"/>
                <w:color w:val="000000"/>
                <w:sz w:val="22"/>
                <w:szCs w:val="22"/>
              </w:rPr>
              <w:t>’</w:t>
            </w:r>
            <w:r w:rsidR="0050247A" w:rsidRPr="005959E3">
              <w:rPr>
                <w:rFonts w:ascii="Century" w:hAnsi="Century"/>
                <w:color w:val="000000"/>
                <w:sz w:val="22"/>
                <w:szCs w:val="22"/>
              </w:rPr>
              <w:t>i</w:t>
            </w:r>
            <w:proofErr w:type="gramEnd"/>
            <w:r w:rsidR="0050247A" w:rsidRPr="005959E3">
              <w:rPr>
                <w:rFonts w:ascii="Century" w:hAnsi="Century"/>
                <w:color w:val="000000"/>
                <w:sz w:val="22"/>
                <w:szCs w:val="22"/>
              </w:rPr>
              <w:t xml:space="preserve"> banka acenteleri ve %1</w:t>
            </w:r>
            <w:r w:rsidR="005959E3" w:rsidRPr="005959E3">
              <w:rPr>
                <w:rFonts w:ascii="Century" w:hAnsi="Century"/>
                <w:color w:val="000000"/>
                <w:sz w:val="22"/>
                <w:szCs w:val="22"/>
              </w:rPr>
              <w:t>2</w:t>
            </w:r>
            <w:r w:rsidR="0050247A" w:rsidRPr="005959E3">
              <w:rPr>
                <w:rFonts w:ascii="Century" w:hAnsi="Century"/>
                <w:color w:val="000000"/>
                <w:sz w:val="22"/>
                <w:szCs w:val="22"/>
              </w:rPr>
              <w:t>’</w:t>
            </w:r>
            <w:r w:rsidR="005959E3" w:rsidRPr="005959E3">
              <w:rPr>
                <w:rFonts w:ascii="Century" w:hAnsi="Century"/>
                <w:color w:val="000000"/>
                <w:sz w:val="22"/>
                <w:szCs w:val="22"/>
              </w:rPr>
              <w:t>s</w:t>
            </w:r>
            <w:r w:rsidR="0050247A" w:rsidRPr="005959E3">
              <w:rPr>
                <w:rFonts w:ascii="Century" w:hAnsi="Century"/>
                <w:color w:val="000000"/>
                <w:sz w:val="22"/>
                <w:szCs w:val="22"/>
              </w:rPr>
              <w:t>i brokerler aracılığıyla, %4</w:t>
            </w:r>
            <w:r w:rsidRPr="005959E3">
              <w:rPr>
                <w:rFonts w:ascii="Century" w:hAnsi="Century"/>
                <w:color w:val="000000"/>
                <w:sz w:val="22"/>
                <w:szCs w:val="22"/>
              </w:rPr>
              <w:t>’</w:t>
            </w:r>
            <w:r w:rsidR="005959E3" w:rsidRPr="005959E3">
              <w:rPr>
                <w:rFonts w:ascii="Century" w:hAnsi="Century"/>
                <w:color w:val="000000"/>
                <w:sz w:val="22"/>
                <w:szCs w:val="22"/>
              </w:rPr>
              <w:t>ü</w:t>
            </w:r>
            <w:r w:rsidRPr="005959E3">
              <w:rPr>
                <w:rFonts w:ascii="Century" w:hAnsi="Century"/>
                <w:color w:val="000000"/>
                <w:sz w:val="22"/>
                <w:szCs w:val="22"/>
              </w:rPr>
              <w:t xml:space="preserve"> ise doğrudan şirketler tarafından gerçekleştirilmiştir. </w:t>
            </w:r>
          </w:p>
          <w:p w:rsidR="00832175" w:rsidRPr="00B10D90" w:rsidRDefault="00832175" w:rsidP="00832175">
            <w:pPr>
              <w:pStyle w:val="BodyTextIndent2"/>
              <w:tabs>
                <w:tab w:val="left" w:pos="1440"/>
              </w:tabs>
              <w:spacing w:after="0" w:line="240" w:lineRule="auto"/>
              <w:ind w:left="0"/>
              <w:jc w:val="both"/>
              <w:rPr>
                <w:rFonts w:ascii="Century" w:hAnsi="Century"/>
                <w:color w:val="000000"/>
                <w:sz w:val="22"/>
                <w:szCs w:val="22"/>
                <w:highlight w:val="yellow"/>
              </w:rPr>
            </w:pPr>
          </w:p>
          <w:p w:rsidR="00832175" w:rsidRPr="005959E3" w:rsidRDefault="00832175" w:rsidP="00832175">
            <w:pPr>
              <w:pStyle w:val="BodyTextIndent2"/>
              <w:tabs>
                <w:tab w:val="left" w:pos="1440"/>
              </w:tabs>
              <w:spacing w:after="0" w:line="240" w:lineRule="auto"/>
              <w:ind w:left="0"/>
              <w:jc w:val="both"/>
              <w:rPr>
                <w:rFonts w:ascii="Century" w:hAnsi="Century"/>
                <w:color w:val="000000"/>
                <w:sz w:val="16"/>
                <w:szCs w:val="16"/>
              </w:rPr>
            </w:pPr>
            <w:r w:rsidRPr="005959E3">
              <w:rPr>
                <w:rFonts w:ascii="Century" w:hAnsi="Century"/>
                <w:color w:val="000000"/>
                <w:sz w:val="22"/>
                <w:szCs w:val="22"/>
              </w:rPr>
              <w:t>Aşağıdaki grafikte, sektör prim üretiminin son beş yıllık dönemde üretim kanalları bazında dağılımı verilmiştir.</w:t>
            </w:r>
          </w:p>
          <w:p w:rsidR="00F63DD2" w:rsidRDefault="00F63DD2"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Default="0054321D" w:rsidP="007D2D00">
            <w:pPr>
              <w:jc w:val="both"/>
              <w:rPr>
                <w:rFonts w:ascii="Century" w:hAnsi="Century"/>
                <w:sz w:val="22"/>
                <w:szCs w:val="22"/>
                <w:highlight w:val="yellow"/>
              </w:rPr>
            </w:pPr>
          </w:p>
          <w:p w:rsidR="0054321D" w:rsidRPr="00B10D90" w:rsidRDefault="0054321D" w:rsidP="007D2D00">
            <w:pPr>
              <w:jc w:val="both"/>
              <w:rPr>
                <w:rFonts w:ascii="Century" w:hAnsi="Century"/>
                <w:sz w:val="22"/>
                <w:szCs w:val="22"/>
                <w:highlight w:val="yellow"/>
              </w:rPr>
            </w:pPr>
          </w:p>
        </w:tc>
        <w:tc>
          <w:tcPr>
            <w:tcW w:w="318" w:type="dxa"/>
            <w:gridSpan w:val="7"/>
          </w:tcPr>
          <w:p w:rsidR="00F63DD2" w:rsidRPr="00B10D90" w:rsidRDefault="00F63DD2" w:rsidP="008D17FE">
            <w:pPr>
              <w:rPr>
                <w:rFonts w:ascii="Century" w:hAnsi="Century"/>
                <w:sz w:val="22"/>
                <w:szCs w:val="22"/>
                <w:highlight w:val="yellow"/>
              </w:rPr>
            </w:pPr>
          </w:p>
        </w:tc>
        <w:tc>
          <w:tcPr>
            <w:tcW w:w="4685" w:type="dxa"/>
            <w:gridSpan w:val="5"/>
          </w:tcPr>
          <w:p w:rsidR="00832175" w:rsidRPr="005959E3" w:rsidRDefault="00832175" w:rsidP="00832175">
            <w:pPr>
              <w:jc w:val="both"/>
              <w:rPr>
                <w:rFonts w:ascii="Century" w:hAnsi="Century" w:cs="Arial"/>
                <w:color w:val="333333"/>
                <w:sz w:val="22"/>
                <w:szCs w:val="22"/>
              </w:rPr>
            </w:pPr>
            <w:r w:rsidRPr="005959E3">
              <w:rPr>
                <w:rFonts w:ascii="Century" w:hAnsi="Century" w:cs="Arial"/>
                <w:color w:val="333333"/>
                <w:sz w:val="22"/>
                <w:szCs w:val="22"/>
              </w:rPr>
              <w:t>In Turkey, private insurance agents have a significant weight in distribution channel</w:t>
            </w:r>
            <w:r w:rsidR="009D1650" w:rsidRPr="005959E3">
              <w:rPr>
                <w:rFonts w:ascii="Century" w:hAnsi="Century" w:cs="Arial"/>
                <w:color w:val="333333"/>
                <w:sz w:val="22"/>
                <w:szCs w:val="22"/>
              </w:rPr>
              <w:t>s</w:t>
            </w:r>
            <w:r w:rsidRPr="005959E3">
              <w:rPr>
                <w:rFonts w:ascii="Century" w:hAnsi="Century" w:cs="Arial"/>
                <w:color w:val="333333"/>
                <w:sz w:val="22"/>
                <w:szCs w:val="22"/>
              </w:rPr>
              <w:t xml:space="preserve">. They produced </w:t>
            </w:r>
            <w:r w:rsidR="0050247A" w:rsidRPr="005959E3">
              <w:rPr>
                <w:rFonts w:ascii="Century" w:hAnsi="Century" w:cs="Arial"/>
                <w:color w:val="333333"/>
                <w:sz w:val="22"/>
                <w:szCs w:val="22"/>
              </w:rPr>
              <w:t>5</w:t>
            </w:r>
            <w:r w:rsidR="005959E3" w:rsidRPr="005959E3">
              <w:rPr>
                <w:rFonts w:ascii="Century" w:hAnsi="Century" w:cs="Arial"/>
                <w:color w:val="333333"/>
                <w:sz w:val="22"/>
                <w:szCs w:val="22"/>
              </w:rPr>
              <w:t>8</w:t>
            </w:r>
            <w:r w:rsidR="00186832" w:rsidRPr="005959E3">
              <w:rPr>
                <w:rFonts w:ascii="Century" w:hAnsi="Century" w:cs="Arial"/>
                <w:color w:val="333333"/>
                <w:sz w:val="22"/>
                <w:szCs w:val="22"/>
              </w:rPr>
              <w:t>%</w:t>
            </w:r>
            <w:r w:rsidRPr="005959E3">
              <w:rPr>
                <w:rFonts w:ascii="Century" w:hAnsi="Century" w:cs="Arial"/>
                <w:color w:val="333333"/>
                <w:sz w:val="22"/>
                <w:szCs w:val="22"/>
              </w:rPr>
              <w:t xml:space="preserve"> of </w:t>
            </w:r>
            <w:r w:rsidR="0050247A" w:rsidRPr="005959E3">
              <w:rPr>
                <w:rFonts w:ascii="Century" w:hAnsi="Century" w:cs="Arial"/>
                <w:color w:val="333333"/>
                <w:sz w:val="22"/>
                <w:szCs w:val="22"/>
              </w:rPr>
              <w:t>direct</w:t>
            </w:r>
            <w:r w:rsidRPr="005959E3">
              <w:rPr>
                <w:rFonts w:ascii="Century" w:hAnsi="Century" w:cs="Arial"/>
                <w:color w:val="333333"/>
                <w:sz w:val="22"/>
                <w:szCs w:val="22"/>
              </w:rPr>
              <w:t xml:space="preserve"> premium in 201</w:t>
            </w:r>
            <w:r w:rsidR="005959E3" w:rsidRPr="005959E3">
              <w:rPr>
                <w:rFonts w:ascii="Century" w:hAnsi="Century" w:cs="Arial"/>
                <w:color w:val="333333"/>
                <w:sz w:val="22"/>
                <w:szCs w:val="22"/>
              </w:rPr>
              <w:t>8</w:t>
            </w:r>
            <w:r w:rsidRPr="005959E3">
              <w:rPr>
                <w:rFonts w:ascii="Century" w:hAnsi="Century" w:cs="Arial"/>
                <w:color w:val="333333"/>
                <w:sz w:val="22"/>
                <w:szCs w:val="22"/>
              </w:rPr>
              <w:t xml:space="preserve"> while banking agenc</w:t>
            </w:r>
            <w:r w:rsidR="005959E3" w:rsidRPr="005959E3">
              <w:rPr>
                <w:rFonts w:ascii="Century" w:hAnsi="Century" w:cs="Arial"/>
                <w:color w:val="333333"/>
                <w:sz w:val="22"/>
                <w:szCs w:val="22"/>
              </w:rPr>
              <w:t>ies and brokers had a share of 24</w:t>
            </w:r>
            <w:r w:rsidR="00CB4EC1" w:rsidRPr="005959E3">
              <w:rPr>
                <w:rFonts w:ascii="Century" w:hAnsi="Century" w:cs="Arial"/>
                <w:color w:val="333333"/>
                <w:sz w:val="22"/>
                <w:szCs w:val="22"/>
              </w:rPr>
              <w:t>.</w:t>
            </w:r>
            <w:r w:rsidR="005959E3" w:rsidRPr="005959E3">
              <w:rPr>
                <w:rFonts w:ascii="Century" w:hAnsi="Century" w:cs="Arial"/>
                <w:color w:val="333333"/>
                <w:sz w:val="22"/>
                <w:szCs w:val="22"/>
              </w:rPr>
              <w:t>5</w:t>
            </w:r>
            <w:r w:rsidR="00186832" w:rsidRPr="005959E3">
              <w:rPr>
                <w:rFonts w:ascii="Century" w:hAnsi="Century" w:cs="Arial"/>
                <w:color w:val="333333"/>
                <w:sz w:val="22"/>
                <w:szCs w:val="22"/>
              </w:rPr>
              <w:t>%</w:t>
            </w:r>
            <w:r w:rsidRPr="005959E3">
              <w:rPr>
                <w:rFonts w:ascii="Century" w:hAnsi="Century" w:cs="Arial"/>
                <w:color w:val="333333"/>
                <w:sz w:val="22"/>
                <w:szCs w:val="22"/>
              </w:rPr>
              <w:t xml:space="preserve"> and 1</w:t>
            </w:r>
            <w:r w:rsidR="005959E3" w:rsidRPr="005959E3">
              <w:rPr>
                <w:rFonts w:ascii="Century" w:hAnsi="Century" w:cs="Arial"/>
                <w:color w:val="333333"/>
                <w:sz w:val="22"/>
                <w:szCs w:val="22"/>
              </w:rPr>
              <w:t>2</w:t>
            </w:r>
            <w:r w:rsidR="00186832" w:rsidRPr="005959E3">
              <w:rPr>
                <w:rFonts w:ascii="Century" w:hAnsi="Century" w:cs="Arial"/>
                <w:color w:val="333333"/>
                <w:sz w:val="22"/>
                <w:szCs w:val="22"/>
              </w:rPr>
              <w:t>%</w:t>
            </w:r>
            <w:r w:rsidR="0050247A" w:rsidRPr="005959E3">
              <w:rPr>
                <w:rFonts w:ascii="Century" w:hAnsi="Century" w:cs="Arial"/>
                <w:color w:val="333333"/>
                <w:sz w:val="22"/>
                <w:szCs w:val="22"/>
              </w:rPr>
              <w:t xml:space="preserve">, respectively. </w:t>
            </w:r>
            <w:r w:rsidR="0055571F" w:rsidRPr="005959E3">
              <w:rPr>
                <w:rFonts w:ascii="Century" w:hAnsi="Century" w:cs="Arial"/>
                <w:color w:val="333333"/>
                <w:sz w:val="22"/>
                <w:szCs w:val="22"/>
              </w:rPr>
              <w:t xml:space="preserve">The </w:t>
            </w:r>
            <w:r w:rsidR="005959E3" w:rsidRPr="005959E3">
              <w:rPr>
                <w:rFonts w:ascii="Century" w:hAnsi="Century" w:cs="Arial"/>
                <w:color w:val="333333"/>
                <w:sz w:val="22"/>
                <w:szCs w:val="22"/>
              </w:rPr>
              <w:t>4</w:t>
            </w:r>
            <w:r w:rsidR="00186832" w:rsidRPr="005959E3">
              <w:rPr>
                <w:rFonts w:ascii="Century" w:hAnsi="Century" w:cs="Arial"/>
                <w:color w:val="333333"/>
                <w:sz w:val="22"/>
                <w:szCs w:val="22"/>
              </w:rPr>
              <w:t>%</w:t>
            </w:r>
            <w:r w:rsidRPr="005959E3">
              <w:rPr>
                <w:rFonts w:ascii="Century" w:hAnsi="Century" w:cs="Arial"/>
                <w:color w:val="333333"/>
                <w:sz w:val="22"/>
                <w:szCs w:val="22"/>
              </w:rPr>
              <w:t xml:space="preserve"> of total premium was generated by the companies </w:t>
            </w:r>
            <w:r w:rsidR="005D1917" w:rsidRPr="005959E3">
              <w:rPr>
                <w:rFonts w:ascii="Century" w:hAnsi="Century" w:cs="Arial"/>
                <w:color w:val="333333"/>
                <w:sz w:val="22"/>
                <w:szCs w:val="22"/>
              </w:rPr>
              <w:t>as direct production.</w:t>
            </w:r>
          </w:p>
          <w:p w:rsidR="00832175" w:rsidRPr="00B10D90" w:rsidRDefault="00832175" w:rsidP="00832175">
            <w:pPr>
              <w:jc w:val="both"/>
              <w:rPr>
                <w:rFonts w:ascii="Century" w:hAnsi="Century" w:cs="Arial"/>
                <w:color w:val="333333"/>
                <w:sz w:val="22"/>
                <w:szCs w:val="22"/>
                <w:highlight w:val="yellow"/>
              </w:rPr>
            </w:pPr>
          </w:p>
          <w:p w:rsidR="00DA11AD" w:rsidRPr="00B10D90" w:rsidRDefault="00832175" w:rsidP="00832175">
            <w:pPr>
              <w:jc w:val="both"/>
              <w:rPr>
                <w:rFonts w:ascii="Century" w:hAnsi="Century" w:cs="Arial"/>
                <w:color w:val="333333"/>
                <w:sz w:val="22"/>
                <w:szCs w:val="22"/>
                <w:highlight w:val="yellow"/>
              </w:rPr>
            </w:pPr>
            <w:r w:rsidRPr="005959E3">
              <w:rPr>
                <w:rFonts w:ascii="Century" w:hAnsi="Century" w:cs="Arial"/>
                <w:color w:val="333333"/>
                <w:sz w:val="22"/>
                <w:szCs w:val="22"/>
              </w:rPr>
              <w:t xml:space="preserve">The following table </w:t>
            </w:r>
            <w:r w:rsidR="005D1917" w:rsidRPr="005959E3">
              <w:rPr>
                <w:rFonts w:ascii="Century" w:hAnsi="Century" w:cs="Arial"/>
                <w:color w:val="333333"/>
                <w:sz w:val="22"/>
                <w:szCs w:val="22"/>
              </w:rPr>
              <w:t>re</w:t>
            </w:r>
            <w:r w:rsidRPr="005959E3">
              <w:rPr>
                <w:rFonts w:ascii="Century" w:hAnsi="Century" w:cs="Arial"/>
                <w:color w:val="333333"/>
                <w:sz w:val="22"/>
                <w:szCs w:val="22"/>
              </w:rPr>
              <w:t>presents the premium production shares.</w:t>
            </w:r>
          </w:p>
        </w:tc>
      </w:tr>
      <w:tr w:rsidR="008C52ED" w:rsidRPr="00B10D90" w:rsidTr="00441D50">
        <w:trPr>
          <w:gridAfter w:val="2"/>
          <w:wAfter w:w="38" w:type="dxa"/>
          <w:trHeight w:val="181"/>
        </w:trPr>
        <w:tc>
          <w:tcPr>
            <w:tcW w:w="9820" w:type="dxa"/>
            <w:gridSpan w:val="14"/>
          </w:tcPr>
          <w:p w:rsidR="008C52ED" w:rsidRPr="005959E3" w:rsidRDefault="008C52ED" w:rsidP="008C52ED">
            <w:pPr>
              <w:pStyle w:val="Caption"/>
              <w:jc w:val="center"/>
              <w:rPr>
                <w:rFonts w:ascii="Century" w:hAnsi="Century"/>
                <w:bCs w:val="0"/>
                <w:color w:val="000080"/>
              </w:rPr>
            </w:pPr>
            <w:r w:rsidRPr="005959E3">
              <w:rPr>
                <w:rFonts w:ascii="Century" w:hAnsi="Century"/>
                <w:color w:val="000080"/>
              </w:rPr>
              <w:lastRenderedPageBreak/>
              <w:t xml:space="preserve">Grafik </w:t>
            </w:r>
            <w:r w:rsidR="005D0DBF" w:rsidRPr="005959E3">
              <w:rPr>
                <w:rFonts w:ascii="Century" w:hAnsi="Century"/>
                <w:color w:val="000080"/>
              </w:rPr>
              <w:t>3</w:t>
            </w:r>
            <w:r w:rsidRPr="005959E3">
              <w:rPr>
                <w:rFonts w:ascii="Century" w:hAnsi="Century"/>
                <w:color w:val="000080"/>
              </w:rPr>
              <w:t>.</w:t>
            </w:r>
            <w:r w:rsidR="005D0DBF" w:rsidRPr="005959E3">
              <w:rPr>
                <w:rFonts w:ascii="Century" w:hAnsi="Century"/>
                <w:color w:val="000080"/>
              </w:rPr>
              <w:t>1</w:t>
            </w:r>
            <w:r w:rsidRPr="005959E3">
              <w:rPr>
                <w:rFonts w:ascii="Century" w:hAnsi="Century"/>
                <w:color w:val="000080"/>
              </w:rPr>
              <w:t>.</w:t>
            </w:r>
            <w:r w:rsidR="005D0DBF" w:rsidRPr="005959E3">
              <w:rPr>
                <w:rFonts w:ascii="Century" w:hAnsi="Century"/>
                <w:color w:val="000080"/>
              </w:rPr>
              <w:t>6</w:t>
            </w:r>
            <w:r w:rsidRPr="005959E3">
              <w:rPr>
                <w:rFonts w:ascii="Century" w:hAnsi="Century"/>
                <w:color w:val="000080"/>
              </w:rPr>
              <w:t xml:space="preserve">: </w:t>
            </w:r>
            <w:r w:rsidRPr="005959E3">
              <w:rPr>
                <w:rFonts w:ascii="Century" w:hAnsi="Century"/>
                <w:bCs w:val="0"/>
                <w:color w:val="000080"/>
              </w:rPr>
              <w:t xml:space="preserve">Üretim Kaynaklarının </w:t>
            </w:r>
            <w:r w:rsidR="002B6ED9" w:rsidRPr="005959E3">
              <w:rPr>
                <w:rFonts w:ascii="Century" w:hAnsi="Century"/>
                <w:bCs w:val="0"/>
                <w:color w:val="000080"/>
              </w:rPr>
              <w:t xml:space="preserve">Direkt </w:t>
            </w:r>
            <w:r w:rsidRPr="005959E3">
              <w:rPr>
                <w:rFonts w:ascii="Century" w:hAnsi="Century"/>
                <w:bCs w:val="0"/>
                <w:color w:val="000080"/>
              </w:rPr>
              <w:t>Prim Üretimi İçindeki Payları</w:t>
            </w:r>
          </w:p>
          <w:p w:rsidR="008C52ED" w:rsidRPr="005959E3" w:rsidRDefault="008C52ED" w:rsidP="008C52ED">
            <w:pPr>
              <w:pStyle w:val="Caption"/>
              <w:jc w:val="center"/>
              <w:rPr>
                <w:rFonts w:ascii="Century" w:hAnsi="Century"/>
                <w:b w:val="0"/>
                <w:i/>
                <w:iCs/>
                <w:color w:val="000080"/>
              </w:rPr>
            </w:pPr>
            <w:r w:rsidRPr="005959E3">
              <w:rPr>
                <w:rFonts w:ascii="Century" w:hAnsi="Century"/>
                <w:b w:val="0"/>
                <w:i/>
                <w:iCs/>
                <w:color w:val="000080"/>
              </w:rPr>
              <w:t xml:space="preserve">Share of Distribution Channels in </w:t>
            </w:r>
            <w:r w:rsidR="002B6ED9" w:rsidRPr="005959E3">
              <w:rPr>
                <w:rFonts w:ascii="Century" w:hAnsi="Century"/>
                <w:b w:val="0"/>
                <w:i/>
                <w:iCs/>
                <w:color w:val="000080"/>
              </w:rPr>
              <w:t xml:space="preserve">Direct </w:t>
            </w:r>
            <w:r w:rsidRPr="005959E3">
              <w:rPr>
                <w:rFonts w:ascii="Century" w:hAnsi="Century"/>
                <w:b w:val="0"/>
                <w:i/>
                <w:iCs/>
                <w:color w:val="000080"/>
              </w:rPr>
              <w:t>Premium (%)</w:t>
            </w:r>
          </w:p>
          <w:p w:rsidR="009D0178" w:rsidRPr="005959E3" w:rsidRDefault="005959E3" w:rsidP="009D0178">
            <w:pPr>
              <w:jc w:val="center"/>
            </w:pPr>
            <w:r w:rsidRPr="005959E3">
              <w:rPr>
                <w:noProof/>
              </w:rPr>
              <w:drawing>
                <wp:inline distT="0" distB="0" distL="0" distR="0" wp14:anchorId="7034F34E" wp14:editId="3A66F9B6">
                  <wp:extent cx="6090920" cy="2369185"/>
                  <wp:effectExtent l="0" t="0" r="508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0920" cy="2369185"/>
                          </a:xfrm>
                          <a:prstGeom prst="rect">
                            <a:avLst/>
                          </a:prstGeom>
                          <a:noFill/>
                          <a:ln>
                            <a:noFill/>
                          </a:ln>
                        </pic:spPr>
                      </pic:pic>
                    </a:graphicData>
                  </a:graphic>
                </wp:inline>
              </w:drawing>
            </w:r>
          </w:p>
          <w:p w:rsidR="007D242A" w:rsidRPr="005959E3" w:rsidRDefault="007D242A" w:rsidP="00DA11AD">
            <w:pPr>
              <w:jc w:val="center"/>
            </w:pPr>
          </w:p>
        </w:tc>
      </w:tr>
      <w:tr w:rsidR="008C52ED" w:rsidRPr="005959E3" w:rsidTr="00441D50">
        <w:trPr>
          <w:gridAfter w:val="2"/>
          <w:wAfter w:w="38" w:type="dxa"/>
          <w:trHeight w:val="181"/>
        </w:trPr>
        <w:tc>
          <w:tcPr>
            <w:tcW w:w="4817" w:type="dxa"/>
            <w:gridSpan w:val="2"/>
          </w:tcPr>
          <w:p w:rsidR="00DA11AD" w:rsidRPr="005959E3" w:rsidRDefault="008C52ED" w:rsidP="00832175">
            <w:pPr>
              <w:jc w:val="both"/>
              <w:rPr>
                <w:rFonts w:ascii="Century" w:hAnsi="Century"/>
                <w:sz w:val="22"/>
                <w:szCs w:val="22"/>
              </w:rPr>
            </w:pPr>
            <w:r w:rsidRPr="005959E3">
              <w:rPr>
                <w:rFonts w:ascii="Century" w:hAnsi="Century"/>
                <w:sz w:val="22"/>
                <w:szCs w:val="22"/>
              </w:rPr>
              <w:t>201</w:t>
            </w:r>
            <w:r w:rsidR="005959E3" w:rsidRPr="005959E3">
              <w:rPr>
                <w:rFonts w:ascii="Century" w:hAnsi="Century"/>
                <w:sz w:val="22"/>
                <w:szCs w:val="22"/>
              </w:rPr>
              <w:t>8</w:t>
            </w:r>
            <w:r w:rsidRPr="005959E3">
              <w:rPr>
                <w:rFonts w:ascii="Century" w:hAnsi="Century"/>
                <w:sz w:val="22"/>
                <w:szCs w:val="22"/>
              </w:rPr>
              <w:t xml:space="preserve"> yılı</w:t>
            </w:r>
            <w:r w:rsidR="009B319C" w:rsidRPr="005959E3">
              <w:rPr>
                <w:rFonts w:ascii="Century" w:hAnsi="Century"/>
                <w:sz w:val="22"/>
                <w:szCs w:val="22"/>
              </w:rPr>
              <w:t>nda</w:t>
            </w:r>
            <w:r w:rsidRPr="005959E3">
              <w:rPr>
                <w:rFonts w:ascii="Century" w:hAnsi="Century"/>
                <w:sz w:val="22"/>
                <w:szCs w:val="22"/>
              </w:rPr>
              <w:t xml:space="preserve"> </w:t>
            </w:r>
            <w:r w:rsidR="009B319C" w:rsidRPr="005959E3">
              <w:rPr>
                <w:rFonts w:ascii="Century" w:hAnsi="Century"/>
                <w:sz w:val="22"/>
                <w:szCs w:val="22"/>
              </w:rPr>
              <w:t xml:space="preserve">hayat ve hayat dışı branşlar </w:t>
            </w:r>
            <w:r w:rsidR="002B6ED9" w:rsidRPr="005959E3">
              <w:rPr>
                <w:rFonts w:ascii="Century" w:hAnsi="Century"/>
                <w:sz w:val="22"/>
                <w:szCs w:val="22"/>
              </w:rPr>
              <w:t xml:space="preserve">direkt </w:t>
            </w:r>
            <w:r w:rsidRPr="005959E3">
              <w:rPr>
                <w:rFonts w:ascii="Century" w:hAnsi="Century"/>
                <w:sz w:val="22"/>
                <w:szCs w:val="22"/>
              </w:rPr>
              <w:t>prim üretiminin üretim kanalları</w:t>
            </w:r>
            <w:r w:rsidR="009B319C" w:rsidRPr="005959E3">
              <w:rPr>
                <w:rFonts w:ascii="Century" w:hAnsi="Century"/>
                <w:sz w:val="22"/>
                <w:szCs w:val="22"/>
              </w:rPr>
              <w:t xml:space="preserve"> bazında </w:t>
            </w:r>
            <w:r w:rsidRPr="005959E3">
              <w:rPr>
                <w:rFonts w:ascii="Century" w:hAnsi="Century"/>
                <w:sz w:val="22"/>
                <w:szCs w:val="22"/>
              </w:rPr>
              <w:t>dağılımı aşağıda</w:t>
            </w:r>
            <w:r w:rsidR="00DA11AD" w:rsidRPr="005959E3">
              <w:rPr>
                <w:rFonts w:ascii="Century" w:hAnsi="Century"/>
                <w:sz w:val="22"/>
                <w:szCs w:val="22"/>
              </w:rPr>
              <w:t>ki</w:t>
            </w:r>
            <w:r w:rsidRPr="005959E3">
              <w:rPr>
                <w:rFonts w:ascii="Century" w:hAnsi="Century"/>
                <w:sz w:val="22"/>
                <w:szCs w:val="22"/>
              </w:rPr>
              <w:t xml:space="preserve"> grafiklerde gösterilmiştir.</w:t>
            </w:r>
          </w:p>
          <w:p w:rsidR="00385CC3" w:rsidRPr="005959E3" w:rsidRDefault="00385CC3" w:rsidP="00832175">
            <w:pPr>
              <w:jc w:val="both"/>
              <w:rPr>
                <w:rFonts w:ascii="Century" w:hAnsi="Century"/>
                <w:sz w:val="22"/>
                <w:szCs w:val="22"/>
              </w:rPr>
            </w:pPr>
          </w:p>
        </w:tc>
        <w:tc>
          <w:tcPr>
            <w:tcW w:w="318" w:type="dxa"/>
            <w:gridSpan w:val="7"/>
          </w:tcPr>
          <w:p w:rsidR="008C52ED" w:rsidRPr="005959E3" w:rsidRDefault="008C52ED" w:rsidP="008D17FE">
            <w:pPr>
              <w:rPr>
                <w:rFonts w:ascii="Century" w:hAnsi="Century"/>
                <w:sz w:val="22"/>
                <w:szCs w:val="22"/>
              </w:rPr>
            </w:pPr>
          </w:p>
        </w:tc>
        <w:tc>
          <w:tcPr>
            <w:tcW w:w="4685" w:type="dxa"/>
            <w:gridSpan w:val="5"/>
          </w:tcPr>
          <w:p w:rsidR="008C52ED" w:rsidRPr="005959E3" w:rsidRDefault="00087390" w:rsidP="00385CC3">
            <w:pPr>
              <w:jc w:val="both"/>
              <w:rPr>
                <w:rFonts w:ascii="Century" w:hAnsi="Century" w:cs="Arial"/>
                <w:color w:val="333333"/>
                <w:sz w:val="22"/>
                <w:szCs w:val="22"/>
              </w:rPr>
            </w:pPr>
            <w:r w:rsidRPr="005959E3">
              <w:rPr>
                <w:rFonts w:ascii="Century" w:hAnsi="Century" w:cs="Arial"/>
                <w:color w:val="333333"/>
                <w:sz w:val="22"/>
                <w:szCs w:val="22"/>
              </w:rPr>
              <w:t xml:space="preserve">Direct </w:t>
            </w:r>
            <w:r w:rsidR="0063500B" w:rsidRPr="005959E3">
              <w:rPr>
                <w:rFonts w:ascii="Century" w:hAnsi="Century" w:cs="Arial"/>
                <w:color w:val="333333"/>
                <w:sz w:val="22"/>
                <w:szCs w:val="22"/>
              </w:rPr>
              <w:t>premiums</w:t>
            </w:r>
            <w:r w:rsidR="009A2DFF" w:rsidRPr="005959E3">
              <w:rPr>
                <w:rFonts w:ascii="Century" w:hAnsi="Century" w:cs="Arial"/>
                <w:color w:val="333333"/>
                <w:sz w:val="22"/>
                <w:szCs w:val="22"/>
              </w:rPr>
              <w:t xml:space="preserve"> of </w:t>
            </w:r>
            <w:r w:rsidRPr="005959E3">
              <w:rPr>
                <w:rFonts w:ascii="Century" w:hAnsi="Century" w:cs="Arial"/>
                <w:color w:val="333333"/>
                <w:sz w:val="22"/>
                <w:szCs w:val="22"/>
              </w:rPr>
              <w:t>li</w:t>
            </w:r>
            <w:r w:rsidR="00533250" w:rsidRPr="005959E3">
              <w:rPr>
                <w:rFonts w:ascii="Century" w:hAnsi="Century" w:cs="Arial"/>
                <w:color w:val="333333"/>
                <w:sz w:val="22"/>
                <w:szCs w:val="22"/>
              </w:rPr>
              <w:t xml:space="preserve">fe and non-life </w:t>
            </w:r>
            <w:r w:rsidR="00984FB6" w:rsidRPr="005959E3">
              <w:rPr>
                <w:rFonts w:ascii="Century" w:hAnsi="Century" w:cs="Arial"/>
                <w:color w:val="333333"/>
                <w:sz w:val="22"/>
                <w:szCs w:val="22"/>
              </w:rPr>
              <w:t xml:space="preserve">insurance </w:t>
            </w:r>
            <w:r w:rsidR="00910B0A" w:rsidRPr="005959E3">
              <w:rPr>
                <w:rFonts w:ascii="Century" w:hAnsi="Century" w:cs="Arial"/>
                <w:color w:val="333333"/>
                <w:sz w:val="22"/>
                <w:szCs w:val="22"/>
              </w:rPr>
              <w:t xml:space="preserve">business </w:t>
            </w:r>
            <w:r w:rsidRPr="005959E3">
              <w:rPr>
                <w:rFonts w:ascii="Century" w:hAnsi="Century" w:cs="Arial"/>
                <w:color w:val="333333"/>
                <w:sz w:val="22"/>
                <w:szCs w:val="22"/>
              </w:rPr>
              <w:t xml:space="preserve">according </w:t>
            </w:r>
            <w:r w:rsidR="005D1917" w:rsidRPr="005959E3">
              <w:rPr>
                <w:rFonts w:ascii="Century" w:hAnsi="Century" w:cs="Arial"/>
                <w:color w:val="333333"/>
                <w:sz w:val="22"/>
                <w:szCs w:val="22"/>
              </w:rPr>
              <w:t xml:space="preserve">to </w:t>
            </w:r>
            <w:r w:rsidRPr="005959E3">
              <w:rPr>
                <w:rFonts w:ascii="Century" w:hAnsi="Century" w:cs="Arial"/>
                <w:color w:val="333333"/>
                <w:sz w:val="22"/>
                <w:szCs w:val="22"/>
              </w:rPr>
              <w:t xml:space="preserve">production </w:t>
            </w:r>
            <w:r w:rsidR="005D1917" w:rsidRPr="005959E3">
              <w:rPr>
                <w:rFonts w:ascii="Century" w:hAnsi="Century" w:cs="Arial"/>
                <w:color w:val="333333"/>
                <w:sz w:val="22"/>
                <w:szCs w:val="22"/>
              </w:rPr>
              <w:t>channels are shown in the graph</w:t>
            </w:r>
            <w:r w:rsidRPr="005959E3">
              <w:rPr>
                <w:rFonts w:ascii="Century" w:hAnsi="Century" w:cs="Arial"/>
                <w:color w:val="333333"/>
                <w:sz w:val="22"/>
                <w:szCs w:val="22"/>
              </w:rPr>
              <w:t xml:space="preserve"> below</w:t>
            </w:r>
            <w:r w:rsidR="009B319C" w:rsidRPr="005959E3">
              <w:rPr>
                <w:rFonts w:ascii="Century" w:hAnsi="Century" w:cs="Arial"/>
                <w:color w:val="333333"/>
                <w:sz w:val="22"/>
                <w:szCs w:val="22"/>
              </w:rPr>
              <w:t xml:space="preserve"> for the year of 201</w:t>
            </w:r>
            <w:r w:rsidR="005959E3" w:rsidRPr="005959E3">
              <w:rPr>
                <w:rFonts w:ascii="Century" w:hAnsi="Century" w:cs="Arial"/>
                <w:color w:val="333333"/>
                <w:sz w:val="22"/>
                <w:szCs w:val="22"/>
              </w:rPr>
              <w:t>8</w:t>
            </w:r>
            <w:r w:rsidRPr="005959E3">
              <w:rPr>
                <w:rFonts w:ascii="Century" w:hAnsi="Century" w:cs="Arial"/>
                <w:color w:val="333333"/>
                <w:sz w:val="22"/>
                <w:szCs w:val="22"/>
              </w:rPr>
              <w:t>.</w:t>
            </w:r>
          </w:p>
        </w:tc>
      </w:tr>
      <w:tr w:rsidR="008C52ED" w:rsidRPr="00B10D90" w:rsidTr="00441D50">
        <w:trPr>
          <w:gridAfter w:val="2"/>
          <w:wAfter w:w="38" w:type="dxa"/>
          <w:trHeight w:val="181"/>
        </w:trPr>
        <w:tc>
          <w:tcPr>
            <w:tcW w:w="4817" w:type="dxa"/>
            <w:gridSpan w:val="2"/>
          </w:tcPr>
          <w:p w:rsidR="008C52ED" w:rsidRPr="005959E3" w:rsidRDefault="008C52ED" w:rsidP="008C52ED">
            <w:pPr>
              <w:pStyle w:val="Caption"/>
              <w:jc w:val="center"/>
              <w:rPr>
                <w:rFonts w:ascii="Century" w:hAnsi="Century"/>
                <w:color w:val="000080"/>
              </w:rPr>
            </w:pPr>
            <w:r w:rsidRPr="005959E3">
              <w:rPr>
                <w:rFonts w:ascii="Century" w:hAnsi="Century"/>
                <w:color w:val="000080"/>
              </w:rPr>
              <w:t xml:space="preserve">Grafik </w:t>
            </w:r>
            <w:r w:rsidR="005D0DBF" w:rsidRPr="005959E3">
              <w:rPr>
                <w:rFonts w:ascii="Century" w:hAnsi="Century"/>
                <w:color w:val="000080"/>
              </w:rPr>
              <w:t>3</w:t>
            </w:r>
            <w:r w:rsidRPr="005959E3">
              <w:rPr>
                <w:rFonts w:ascii="Century" w:hAnsi="Century"/>
                <w:color w:val="000080"/>
              </w:rPr>
              <w:t>.</w:t>
            </w:r>
            <w:r w:rsidR="005D0DBF" w:rsidRPr="005959E3">
              <w:rPr>
                <w:rFonts w:ascii="Century" w:hAnsi="Century"/>
                <w:color w:val="000080"/>
              </w:rPr>
              <w:t>1</w:t>
            </w:r>
            <w:r w:rsidRPr="005959E3">
              <w:rPr>
                <w:rFonts w:ascii="Century" w:hAnsi="Century"/>
                <w:color w:val="000080"/>
              </w:rPr>
              <w:t>.</w:t>
            </w:r>
            <w:r w:rsidR="005D0DBF" w:rsidRPr="005959E3">
              <w:rPr>
                <w:rFonts w:ascii="Century" w:hAnsi="Century"/>
                <w:color w:val="000080"/>
              </w:rPr>
              <w:t>7</w:t>
            </w:r>
            <w:r w:rsidRPr="005959E3">
              <w:rPr>
                <w:rFonts w:ascii="Century" w:hAnsi="Century"/>
                <w:color w:val="000080"/>
              </w:rPr>
              <w:t>: Hayat Dışı Branşlar (201</w:t>
            </w:r>
            <w:r w:rsidR="005959E3" w:rsidRPr="005959E3">
              <w:rPr>
                <w:rFonts w:ascii="Century" w:hAnsi="Century"/>
                <w:color w:val="000080"/>
              </w:rPr>
              <w:t>8</w:t>
            </w:r>
            <w:r w:rsidRPr="005959E3">
              <w:rPr>
                <w:rFonts w:ascii="Century" w:hAnsi="Century"/>
                <w:color w:val="000080"/>
              </w:rPr>
              <w:t xml:space="preserve">) </w:t>
            </w:r>
          </w:p>
          <w:p w:rsidR="008C52ED" w:rsidRPr="005959E3" w:rsidRDefault="008C52ED" w:rsidP="008C52ED">
            <w:pPr>
              <w:pStyle w:val="Caption"/>
              <w:jc w:val="center"/>
              <w:rPr>
                <w:rFonts w:ascii="Century" w:hAnsi="Century"/>
                <w:b w:val="0"/>
                <w:i/>
                <w:color w:val="000080"/>
              </w:rPr>
            </w:pPr>
            <w:r w:rsidRPr="005959E3">
              <w:rPr>
                <w:rFonts w:ascii="Century" w:hAnsi="Century"/>
                <w:b w:val="0"/>
                <w:i/>
                <w:color w:val="000080"/>
              </w:rPr>
              <w:t xml:space="preserve">Non-Life </w:t>
            </w:r>
            <w:r w:rsidR="00984FB6" w:rsidRPr="005959E3">
              <w:rPr>
                <w:rFonts w:ascii="Century" w:hAnsi="Century"/>
                <w:b w:val="0"/>
                <w:i/>
                <w:color w:val="000080"/>
              </w:rPr>
              <w:t xml:space="preserve">Insurance </w:t>
            </w:r>
            <w:r w:rsidRPr="005959E3">
              <w:rPr>
                <w:rFonts w:ascii="Century" w:hAnsi="Century"/>
                <w:b w:val="0"/>
                <w:i/>
                <w:color w:val="000080"/>
              </w:rPr>
              <w:t>(201</w:t>
            </w:r>
            <w:r w:rsidR="005959E3" w:rsidRPr="005959E3">
              <w:rPr>
                <w:rFonts w:ascii="Century" w:hAnsi="Century"/>
                <w:b w:val="0"/>
                <w:i/>
                <w:color w:val="000080"/>
              </w:rPr>
              <w:t>8</w:t>
            </w:r>
            <w:r w:rsidRPr="005959E3">
              <w:rPr>
                <w:rFonts w:ascii="Century" w:hAnsi="Century"/>
                <w:b w:val="0"/>
                <w:i/>
                <w:color w:val="000080"/>
              </w:rPr>
              <w:t>) (%)</w:t>
            </w:r>
          </w:p>
          <w:p w:rsidR="008C52ED" w:rsidRPr="005959E3" w:rsidRDefault="005959E3" w:rsidP="008C52ED">
            <w:r w:rsidRPr="005959E3">
              <w:rPr>
                <w:noProof/>
              </w:rPr>
              <w:drawing>
                <wp:inline distT="0" distB="0" distL="0" distR="0" wp14:anchorId="1B86970F" wp14:editId="155DC90F">
                  <wp:extent cx="2917825" cy="1725295"/>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7825" cy="1725295"/>
                          </a:xfrm>
                          <a:prstGeom prst="rect">
                            <a:avLst/>
                          </a:prstGeom>
                          <a:noFill/>
                          <a:ln>
                            <a:noFill/>
                          </a:ln>
                        </pic:spPr>
                      </pic:pic>
                    </a:graphicData>
                  </a:graphic>
                </wp:inline>
              </w:drawing>
            </w:r>
          </w:p>
          <w:p w:rsidR="008C52ED" w:rsidRPr="005959E3" w:rsidRDefault="008C52ED" w:rsidP="007D2D00">
            <w:pPr>
              <w:jc w:val="both"/>
              <w:rPr>
                <w:rFonts w:ascii="Century" w:hAnsi="Century"/>
                <w:sz w:val="22"/>
                <w:szCs w:val="22"/>
              </w:rPr>
            </w:pPr>
          </w:p>
        </w:tc>
        <w:tc>
          <w:tcPr>
            <w:tcW w:w="318" w:type="dxa"/>
            <w:gridSpan w:val="7"/>
          </w:tcPr>
          <w:p w:rsidR="008C52ED" w:rsidRPr="005959E3" w:rsidRDefault="008C52ED" w:rsidP="008D17FE">
            <w:pPr>
              <w:rPr>
                <w:rFonts w:ascii="Century" w:hAnsi="Century"/>
                <w:sz w:val="22"/>
                <w:szCs w:val="22"/>
              </w:rPr>
            </w:pPr>
          </w:p>
        </w:tc>
        <w:tc>
          <w:tcPr>
            <w:tcW w:w="4685" w:type="dxa"/>
            <w:gridSpan w:val="5"/>
          </w:tcPr>
          <w:p w:rsidR="008C52ED" w:rsidRPr="005959E3" w:rsidRDefault="008C52ED" w:rsidP="008C52ED">
            <w:pPr>
              <w:pStyle w:val="Caption"/>
              <w:jc w:val="center"/>
              <w:rPr>
                <w:rFonts w:ascii="Century" w:hAnsi="Century"/>
                <w:color w:val="000080"/>
              </w:rPr>
            </w:pPr>
            <w:r w:rsidRPr="005959E3">
              <w:rPr>
                <w:rFonts w:ascii="Century" w:hAnsi="Century"/>
                <w:color w:val="000080"/>
              </w:rPr>
              <w:t xml:space="preserve">Grafik </w:t>
            </w:r>
            <w:r w:rsidR="005D0DBF" w:rsidRPr="005959E3">
              <w:rPr>
                <w:rFonts w:ascii="Century" w:hAnsi="Century"/>
                <w:color w:val="000080"/>
              </w:rPr>
              <w:t>3</w:t>
            </w:r>
            <w:r w:rsidRPr="005959E3">
              <w:rPr>
                <w:rFonts w:ascii="Century" w:hAnsi="Century"/>
                <w:color w:val="000080"/>
              </w:rPr>
              <w:t>.</w:t>
            </w:r>
            <w:r w:rsidR="005D0DBF" w:rsidRPr="005959E3">
              <w:rPr>
                <w:rFonts w:ascii="Century" w:hAnsi="Century"/>
                <w:color w:val="000080"/>
              </w:rPr>
              <w:t>1</w:t>
            </w:r>
            <w:r w:rsidRPr="005959E3">
              <w:rPr>
                <w:rFonts w:ascii="Century" w:hAnsi="Century"/>
                <w:color w:val="000080"/>
              </w:rPr>
              <w:t>.</w:t>
            </w:r>
            <w:r w:rsidR="005D0DBF" w:rsidRPr="005959E3">
              <w:rPr>
                <w:rFonts w:ascii="Century" w:hAnsi="Century"/>
                <w:color w:val="000080"/>
              </w:rPr>
              <w:t>8</w:t>
            </w:r>
            <w:r w:rsidRPr="005959E3">
              <w:rPr>
                <w:rFonts w:ascii="Century" w:hAnsi="Century"/>
                <w:color w:val="000080"/>
              </w:rPr>
              <w:t>: Hayat Branşı (201</w:t>
            </w:r>
            <w:r w:rsidR="005959E3" w:rsidRPr="005959E3">
              <w:rPr>
                <w:rFonts w:ascii="Century" w:hAnsi="Century"/>
                <w:color w:val="000080"/>
              </w:rPr>
              <w:t>8</w:t>
            </w:r>
            <w:r w:rsidRPr="005959E3">
              <w:rPr>
                <w:rFonts w:ascii="Century" w:hAnsi="Century"/>
                <w:color w:val="000080"/>
              </w:rPr>
              <w:t xml:space="preserve">) </w:t>
            </w:r>
          </w:p>
          <w:p w:rsidR="008C52ED" w:rsidRPr="005959E3" w:rsidRDefault="008C52ED" w:rsidP="008C52ED">
            <w:pPr>
              <w:pStyle w:val="Caption"/>
              <w:jc w:val="center"/>
              <w:rPr>
                <w:rFonts w:ascii="Century" w:hAnsi="Century"/>
                <w:b w:val="0"/>
                <w:i/>
                <w:color w:val="000080"/>
              </w:rPr>
            </w:pPr>
            <w:r w:rsidRPr="005959E3">
              <w:rPr>
                <w:rFonts w:ascii="Century" w:hAnsi="Century"/>
                <w:b w:val="0"/>
                <w:i/>
                <w:color w:val="000080"/>
              </w:rPr>
              <w:t xml:space="preserve">Life </w:t>
            </w:r>
            <w:r w:rsidR="00984FB6" w:rsidRPr="005959E3">
              <w:rPr>
                <w:rFonts w:ascii="Century" w:hAnsi="Century"/>
                <w:b w:val="0"/>
                <w:i/>
                <w:color w:val="000080"/>
              </w:rPr>
              <w:t xml:space="preserve">Insurance </w:t>
            </w:r>
            <w:r w:rsidRPr="005959E3">
              <w:rPr>
                <w:rFonts w:ascii="Century" w:hAnsi="Century"/>
                <w:b w:val="0"/>
                <w:i/>
                <w:color w:val="000080"/>
              </w:rPr>
              <w:t>(201</w:t>
            </w:r>
            <w:r w:rsidR="005959E3" w:rsidRPr="005959E3">
              <w:rPr>
                <w:rFonts w:ascii="Century" w:hAnsi="Century"/>
                <w:b w:val="0"/>
                <w:i/>
                <w:color w:val="000080"/>
              </w:rPr>
              <w:t>8</w:t>
            </w:r>
            <w:r w:rsidRPr="005959E3">
              <w:rPr>
                <w:rFonts w:ascii="Century" w:hAnsi="Century"/>
                <w:b w:val="0"/>
                <w:i/>
                <w:color w:val="000080"/>
              </w:rPr>
              <w:t>) (%)</w:t>
            </w:r>
          </w:p>
          <w:p w:rsidR="008C52ED" w:rsidRPr="005959E3" w:rsidRDefault="005959E3" w:rsidP="00EE6D18">
            <w:pPr>
              <w:jc w:val="both"/>
              <w:rPr>
                <w:rFonts w:ascii="Century" w:hAnsi="Century" w:cs="Arial"/>
                <w:color w:val="333333"/>
                <w:sz w:val="22"/>
                <w:szCs w:val="22"/>
              </w:rPr>
            </w:pPr>
            <w:r w:rsidRPr="005959E3">
              <w:rPr>
                <w:rFonts w:ascii="Century" w:hAnsi="Century" w:cs="Arial"/>
                <w:noProof/>
                <w:color w:val="333333"/>
                <w:sz w:val="22"/>
                <w:szCs w:val="22"/>
              </w:rPr>
              <w:drawing>
                <wp:inline distT="0" distB="0" distL="0" distR="0" wp14:anchorId="49F6F72D" wp14:editId="22755211">
                  <wp:extent cx="3114252" cy="1866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11262" cy="1865107"/>
                          </a:xfrm>
                          <a:prstGeom prst="rect">
                            <a:avLst/>
                          </a:prstGeom>
                          <a:noFill/>
                          <a:ln>
                            <a:noFill/>
                          </a:ln>
                        </pic:spPr>
                      </pic:pic>
                    </a:graphicData>
                  </a:graphic>
                </wp:inline>
              </w:drawing>
            </w:r>
          </w:p>
        </w:tc>
      </w:tr>
      <w:tr w:rsidR="005A43C7" w:rsidRPr="00B10D90" w:rsidTr="00441D50">
        <w:trPr>
          <w:gridAfter w:val="2"/>
          <w:wAfter w:w="38" w:type="dxa"/>
          <w:trHeight w:val="181"/>
        </w:trPr>
        <w:tc>
          <w:tcPr>
            <w:tcW w:w="4817" w:type="dxa"/>
            <w:gridSpan w:val="2"/>
          </w:tcPr>
          <w:p w:rsidR="008B1B8A" w:rsidRDefault="008B1B8A" w:rsidP="008B1B8A">
            <w:pPr>
              <w:jc w:val="both"/>
              <w:rPr>
                <w:rFonts w:ascii="Century" w:hAnsi="Century"/>
                <w:sz w:val="22"/>
                <w:szCs w:val="22"/>
              </w:rPr>
            </w:pPr>
            <w:r w:rsidRPr="005959E3">
              <w:rPr>
                <w:rFonts w:ascii="Century" w:hAnsi="Century"/>
                <w:sz w:val="22"/>
                <w:szCs w:val="22"/>
              </w:rPr>
              <w:t>Hayat dışı branşlarda prim üretiminin yalnızca %</w:t>
            </w:r>
            <w:r w:rsidR="005959E3" w:rsidRPr="005959E3">
              <w:rPr>
                <w:rFonts w:ascii="Century" w:hAnsi="Century"/>
                <w:sz w:val="22"/>
                <w:szCs w:val="22"/>
              </w:rPr>
              <w:t>15</w:t>
            </w:r>
            <w:proofErr w:type="gramStart"/>
            <w:r w:rsidR="00385CC3" w:rsidRPr="005959E3">
              <w:rPr>
                <w:rFonts w:ascii="Century" w:hAnsi="Century"/>
                <w:sz w:val="22"/>
                <w:szCs w:val="22"/>
              </w:rPr>
              <w:t>,</w:t>
            </w:r>
            <w:r w:rsidR="005959E3" w:rsidRPr="005959E3">
              <w:rPr>
                <w:rFonts w:ascii="Century" w:hAnsi="Century"/>
                <w:sz w:val="22"/>
                <w:szCs w:val="22"/>
              </w:rPr>
              <w:t>7</w:t>
            </w:r>
            <w:r w:rsidRPr="005959E3">
              <w:rPr>
                <w:rFonts w:ascii="Century" w:hAnsi="Century"/>
                <w:sz w:val="22"/>
                <w:szCs w:val="22"/>
              </w:rPr>
              <w:t>’</w:t>
            </w:r>
            <w:r w:rsidR="005959E3" w:rsidRPr="005959E3">
              <w:rPr>
                <w:rFonts w:ascii="Century" w:hAnsi="Century"/>
                <w:sz w:val="22"/>
                <w:szCs w:val="22"/>
              </w:rPr>
              <w:t>si</w:t>
            </w:r>
            <w:proofErr w:type="gramEnd"/>
            <w:r w:rsidRPr="005959E3">
              <w:rPr>
                <w:rFonts w:ascii="Century" w:hAnsi="Century"/>
                <w:sz w:val="22"/>
                <w:szCs w:val="22"/>
              </w:rPr>
              <w:t xml:space="preserve"> banka acenteleri aracılığı ile gerçekleştirilir</w:t>
            </w:r>
            <w:r w:rsidR="005959E3" w:rsidRPr="005959E3">
              <w:rPr>
                <w:rFonts w:ascii="Century" w:hAnsi="Century"/>
                <w:sz w:val="22"/>
                <w:szCs w:val="22"/>
              </w:rPr>
              <w:t>ken, hayat branşında bu oran %80</w:t>
            </w:r>
            <w:r w:rsidR="00385CC3" w:rsidRPr="005959E3">
              <w:rPr>
                <w:rFonts w:ascii="Century" w:hAnsi="Century"/>
                <w:sz w:val="22"/>
                <w:szCs w:val="22"/>
              </w:rPr>
              <w:t>,</w:t>
            </w:r>
            <w:r w:rsidR="005959E3" w:rsidRPr="005959E3">
              <w:rPr>
                <w:rFonts w:ascii="Century" w:hAnsi="Century"/>
                <w:sz w:val="22"/>
                <w:szCs w:val="22"/>
              </w:rPr>
              <w:t>7</w:t>
            </w:r>
            <w:r w:rsidRPr="005959E3">
              <w:rPr>
                <w:rFonts w:ascii="Century" w:hAnsi="Century"/>
                <w:sz w:val="22"/>
                <w:szCs w:val="22"/>
              </w:rPr>
              <w:t>’</w:t>
            </w:r>
            <w:r w:rsidR="005959E3" w:rsidRPr="005959E3">
              <w:rPr>
                <w:rFonts w:ascii="Century" w:hAnsi="Century"/>
                <w:sz w:val="22"/>
                <w:szCs w:val="22"/>
              </w:rPr>
              <w:t>y</w:t>
            </w:r>
            <w:r w:rsidRPr="005959E3">
              <w:rPr>
                <w:rFonts w:ascii="Century" w:hAnsi="Century"/>
                <w:sz w:val="22"/>
                <w:szCs w:val="22"/>
              </w:rPr>
              <w:t>e ulaşmaktadır.</w:t>
            </w: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Default="007D65D8" w:rsidP="008B1B8A">
            <w:pPr>
              <w:jc w:val="both"/>
              <w:rPr>
                <w:rFonts w:ascii="Century" w:hAnsi="Century"/>
                <w:sz w:val="22"/>
                <w:szCs w:val="22"/>
              </w:rPr>
            </w:pPr>
          </w:p>
          <w:p w:rsidR="007D65D8" w:rsidRPr="005959E3" w:rsidRDefault="007D65D8" w:rsidP="008B1B8A">
            <w:pPr>
              <w:jc w:val="both"/>
              <w:rPr>
                <w:rFonts w:ascii="Century" w:hAnsi="Century"/>
                <w:sz w:val="22"/>
                <w:szCs w:val="22"/>
              </w:rPr>
            </w:pPr>
          </w:p>
          <w:p w:rsidR="004F21FA" w:rsidRPr="00B10D90" w:rsidRDefault="004F21FA" w:rsidP="00DA11AD">
            <w:pPr>
              <w:jc w:val="both"/>
              <w:rPr>
                <w:rFonts w:ascii="Century" w:hAnsi="Century"/>
                <w:sz w:val="22"/>
                <w:szCs w:val="22"/>
                <w:highlight w:val="yellow"/>
              </w:rPr>
            </w:pPr>
          </w:p>
        </w:tc>
        <w:tc>
          <w:tcPr>
            <w:tcW w:w="318" w:type="dxa"/>
            <w:gridSpan w:val="7"/>
          </w:tcPr>
          <w:p w:rsidR="005A43C7" w:rsidRPr="00B10D90" w:rsidRDefault="005A43C7" w:rsidP="008D17FE">
            <w:pPr>
              <w:rPr>
                <w:rFonts w:ascii="Century" w:hAnsi="Century"/>
                <w:sz w:val="22"/>
                <w:szCs w:val="22"/>
                <w:highlight w:val="yellow"/>
              </w:rPr>
            </w:pPr>
          </w:p>
        </w:tc>
        <w:tc>
          <w:tcPr>
            <w:tcW w:w="4685" w:type="dxa"/>
            <w:gridSpan w:val="5"/>
          </w:tcPr>
          <w:p w:rsidR="005A43C7" w:rsidRPr="00B10D90" w:rsidRDefault="005959E3" w:rsidP="005959E3">
            <w:pPr>
              <w:jc w:val="both"/>
              <w:rPr>
                <w:rFonts w:ascii="Century" w:hAnsi="Century"/>
                <w:color w:val="333333"/>
                <w:sz w:val="22"/>
                <w:highlight w:val="yellow"/>
              </w:rPr>
            </w:pPr>
            <w:r w:rsidRPr="005959E3">
              <w:rPr>
                <w:rFonts w:ascii="Century" w:hAnsi="Century"/>
                <w:color w:val="333333"/>
                <w:sz w:val="22"/>
              </w:rPr>
              <w:t>While only 15</w:t>
            </w:r>
            <w:r w:rsidR="00385CC3" w:rsidRPr="005959E3">
              <w:rPr>
                <w:rFonts w:ascii="Century" w:hAnsi="Century"/>
                <w:color w:val="333333"/>
                <w:sz w:val="22"/>
              </w:rPr>
              <w:t>.</w:t>
            </w:r>
            <w:r w:rsidRPr="005959E3">
              <w:rPr>
                <w:rFonts w:ascii="Century" w:hAnsi="Century"/>
                <w:color w:val="333333"/>
                <w:sz w:val="22"/>
              </w:rPr>
              <w:t>7</w:t>
            </w:r>
            <w:r w:rsidR="00186832" w:rsidRPr="005959E3">
              <w:rPr>
                <w:rFonts w:ascii="Century" w:hAnsi="Century"/>
                <w:color w:val="333333"/>
                <w:sz w:val="22"/>
              </w:rPr>
              <w:t>%</w:t>
            </w:r>
            <w:r w:rsidR="008B1B8A" w:rsidRPr="005959E3">
              <w:rPr>
                <w:rFonts w:ascii="Century" w:hAnsi="Century"/>
                <w:color w:val="333333"/>
                <w:sz w:val="22"/>
              </w:rPr>
              <w:t xml:space="preserve"> of non-life premium volume is </w:t>
            </w:r>
            <w:r w:rsidRPr="005959E3">
              <w:rPr>
                <w:rFonts w:ascii="Century" w:hAnsi="Century"/>
                <w:color w:val="333333"/>
                <w:sz w:val="22"/>
              </w:rPr>
              <w:t>performed by the bank agents, 80</w:t>
            </w:r>
            <w:proofErr w:type="gramStart"/>
            <w:r w:rsidR="00385CC3" w:rsidRPr="005959E3">
              <w:rPr>
                <w:rFonts w:ascii="Century" w:hAnsi="Century"/>
                <w:color w:val="333333"/>
                <w:sz w:val="22"/>
              </w:rPr>
              <w:t>,</w:t>
            </w:r>
            <w:r w:rsidRPr="005959E3">
              <w:rPr>
                <w:rFonts w:ascii="Century" w:hAnsi="Century"/>
                <w:color w:val="333333"/>
                <w:sz w:val="22"/>
              </w:rPr>
              <w:t>7</w:t>
            </w:r>
            <w:proofErr w:type="gramEnd"/>
            <w:r w:rsidR="00186832" w:rsidRPr="005959E3">
              <w:rPr>
                <w:rFonts w:ascii="Century" w:hAnsi="Century"/>
                <w:color w:val="333333"/>
                <w:sz w:val="22"/>
              </w:rPr>
              <w:t>%</w:t>
            </w:r>
            <w:r w:rsidR="008B1B8A" w:rsidRPr="005959E3">
              <w:rPr>
                <w:rFonts w:ascii="Century" w:hAnsi="Century"/>
                <w:color w:val="333333"/>
                <w:sz w:val="22"/>
              </w:rPr>
              <w:t xml:space="preserve"> of gross premium is written through bank channels in life insurance.</w:t>
            </w:r>
          </w:p>
        </w:tc>
      </w:tr>
      <w:tr w:rsidR="005A43C7" w:rsidRPr="00B10D90" w:rsidTr="00441D50">
        <w:trPr>
          <w:gridAfter w:val="2"/>
          <w:wAfter w:w="38" w:type="dxa"/>
          <w:trHeight w:val="181"/>
        </w:trPr>
        <w:tc>
          <w:tcPr>
            <w:tcW w:w="4817" w:type="dxa"/>
            <w:gridSpan w:val="2"/>
          </w:tcPr>
          <w:p w:rsidR="005A43C7" w:rsidRPr="00B10D90" w:rsidRDefault="005A43C7" w:rsidP="000E7C23">
            <w:pPr>
              <w:jc w:val="both"/>
              <w:rPr>
                <w:rFonts w:ascii="Century" w:hAnsi="Century"/>
                <w:sz w:val="22"/>
                <w:szCs w:val="22"/>
                <w:highlight w:val="yellow"/>
              </w:rPr>
            </w:pPr>
          </w:p>
        </w:tc>
        <w:tc>
          <w:tcPr>
            <w:tcW w:w="318" w:type="dxa"/>
            <w:gridSpan w:val="7"/>
          </w:tcPr>
          <w:p w:rsidR="005A43C7" w:rsidRPr="00B10D90" w:rsidRDefault="005A43C7" w:rsidP="008D17FE">
            <w:pPr>
              <w:rPr>
                <w:rFonts w:ascii="Century" w:hAnsi="Century"/>
                <w:sz w:val="22"/>
                <w:szCs w:val="22"/>
                <w:highlight w:val="yellow"/>
              </w:rPr>
            </w:pPr>
          </w:p>
        </w:tc>
        <w:tc>
          <w:tcPr>
            <w:tcW w:w="4685" w:type="dxa"/>
            <w:gridSpan w:val="5"/>
          </w:tcPr>
          <w:p w:rsidR="005A43C7" w:rsidRPr="00B10D90" w:rsidRDefault="005A43C7" w:rsidP="001965C6">
            <w:pPr>
              <w:jc w:val="both"/>
              <w:rPr>
                <w:rFonts w:ascii="Century" w:hAnsi="Century"/>
                <w:color w:val="333333"/>
                <w:sz w:val="22"/>
                <w:highlight w:val="yellow"/>
              </w:rPr>
            </w:pPr>
          </w:p>
        </w:tc>
      </w:tr>
      <w:tr w:rsidR="00B70B10" w:rsidRPr="00B10D90" w:rsidTr="00441D50">
        <w:trPr>
          <w:gridAfter w:val="2"/>
          <w:wAfter w:w="38" w:type="dxa"/>
          <w:trHeight w:val="181"/>
        </w:trPr>
        <w:tc>
          <w:tcPr>
            <w:tcW w:w="4817" w:type="dxa"/>
            <w:gridSpan w:val="2"/>
          </w:tcPr>
          <w:p w:rsidR="005A43C7" w:rsidRPr="00305906" w:rsidRDefault="005A43C7" w:rsidP="007D65D8">
            <w:pPr>
              <w:pStyle w:val="Heading3"/>
              <w:keepNext w:val="0"/>
              <w:spacing w:before="0" w:after="0"/>
              <w:ind w:left="0"/>
              <w:rPr>
                <w:rFonts w:ascii="Century" w:hAnsi="Century"/>
                <w:color w:val="000080"/>
                <w:sz w:val="22"/>
                <w:szCs w:val="22"/>
              </w:rPr>
            </w:pPr>
            <w:bookmarkStart w:id="197" w:name="_Toc12957670"/>
            <w:r w:rsidRPr="00305906">
              <w:rPr>
                <w:rFonts w:ascii="Century" w:hAnsi="Century"/>
                <w:color w:val="000080"/>
                <w:sz w:val="22"/>
                <w:szCs w:val="22"/>
              </w:rPr>
              <w:lastRenderedPageBreak/>
              <w:t>Ödenen Tazminatlar</w:t>
            </w:r>
            <w:bookmarkEnd w:id="197"/>
          </w:p>
          <w:p w:rsidR="005A43C7" w:rsidRPr="00305906" w:rsidRDefault="005A43C7" w:rsidP="000E7C23">
            <w:pPr>
              <w:jc w:val="both"/>
              <w:rPr>
                <w:rFonts w:ascii="Century" w:hAnsi="Century"/>
                <w:sz w:val="22"/>
                <w:szCs w:val="22"/>
              </w:rPr>
            </w:pPr>
          </w:p>
          <w:p w:rsidR="00E171E4" w:rsidRPr="00B10D90" w:rsidRDefault="008B1B8A" w:rsidP="00305906">
            <w:pPr>
              <w:jc w:val="both"/>
              <w:rPr>
                <w:rFonts w:ascii="Century" w:hAnsi="Century"/>
                <w:sz w:val="22"/>
                <w:szCs w:val="22"/>
                <w:highlight w:val="yellow"/>
              </w:rPr>
            </w:pPr>
            <w:r w:rsidRPr="00305906">
              <w:rPr>
                <w:rFonts w:ascii="Century" w:hAnsi="Century"/>
                <w:sz w:val="22"/>
                <w:szCs w:val="22"/>
              </w:rPr>
              <w:t>Sektörde, rücu ve sovtaj gelirleri tenzil edilmiş haliyle ödenen t</w:t>
            </w:r>
            <w:r w:rsidR="00B222F4" w:rsidRPr="00305906">
              <w:rPr>
                <w:rFonts w:ascii="Century" w:hAnsi="Century"/>
                <w:sz w:val="22"/>
                <w:szCs w:val="22"/>
              </w:rPr>
              <w:t>azminat tutarı 201</w:t>
            </w:r>
            <w:r w:rsidR="00305906" w:rsidRPr="00305906">
              <w:rPr>
                <w:rFonts w:ascii="Century" w:hAnsi="Century"/>
                <w:sz w:val="22"/>
                <w:szCs w:val="22"/>
              </w:rPr>
              <w:t>4</w:t>
            </w:r>
            <w:r w:rsidR="00B222F4" w:rsidRPr="00305906">
              <w:rPr>
                <w:rFonts w:ascii="Century" w:hAnsi="Century"/>
                <w:sz w:val="22"/>
                <w:szCs w:val="22"/>
              </w:rPr>
              <w:t xml:space="preserve"> yılında 1</w:t>
            </w:r>
            <w:r w:rsidR="00305906" w:rsidRPr="00305906">
              <w:rPr>
                <w:rFonts w:ascii="Century" w:hAnsi="Century"/>
                <w:sz w:val="22"/>
                <w:szCs w:val="22"/>
              </w:rPr>
              <w:t>3</w:t>
            </w:r>
            <w:proofErr w:type="gramStart"/>
            <w:r w:rsidR="00B222F4" w:rsidRPr="00305906">
              <w:rPr>
                <w:rFonts w:ascii="Century" w:hAnsi="Century"/>
                <w:sz w:val="22"/>
                <w:szCs w:val="22"/>
              </w:rPr>
              <w:t>,</w:t>
            </w:r>
            <w:r w:rsidR="00305906" w:rsidRPr="00305906">
              <w:rPr>
                <w:rFonts w:ascii="Century" w:hAnsi="Century"/>
                <w:sz w:val="22"/>
                <w:szCs w:val="22"/>
              </w:rPr>
              <w:t>4</w:t>
            </w:r>
            <w:proofErr w:type="gramEnd"/>
            <w:r w:rsidRPr="00305906">
              <w:rPr>
                <w:rFonts w:ascii="Century" w:hAnsi="Century"/>
                <w:sz w:val="22"/>
                <w:szCs w:val="22"/>
              </w:rPr>
              <w:t xml:space="preserve"> milyar TL iken her yıl artarak 201</w:t>
            </w:r>
            <w:r w:rsidR="00305906" w:rsidRPr="00305906">
              <w:rPr>
                <w:rFonts w:ascii="Century" w:hAnsi="Century"/>
                <w:sz w:val="22"/>
                <w:szCs w:val="22"/>
              </w:rPr>
              <w:t>8</w:t>
            </w:r>
            <w:r w:rsidR="00B222F4" w:rsidRPr="00305906">
              <w:rPr>
                <w:rFonts w:ascii="Century" w:hAnsi="Century"/>
                <w:sz w:val="22"/>
                <w:szCs w:val="22"/>
              </w:rPr>
              <w:t xml:space="preserve"> yılında 2</w:t>
            </w:r>
            <w:r w:rsidR="00305906" w:rsidRPr="00305906">
              <w:rPr>
                <w:rFonts w:ascii="Century" w:hAnsi="Century"/>
                <w:sz w:val="22"/>
                <w:szCs w:val="22"/>
              </w:rPr>
              <w:t>6</w:t>
            </w:r>
            <w:r w:rsidRPr="00305906">
              <w:rPr>
                <w:rFonts w:ascii="Century" w:hAnsi="Century"/>
                <w:sz w:val="22"/>
                <w:szCs w:val="22"/>
              </w:rPr>
              <w:t>,</w:t>
            </w:r>
            <w:r w:rsidR="00305906" w:rsidRPr="00305906">
              <w:rPr>
                <w:rFonts w:ascii="Century" w:hAnsi="Century"/>
                <w:sz w:val="22"/>
                <w:szCs w:val="22"/>
              </w:rPr>
              <w:t>8</w:t>
            </w:r>
            <w:r w:rsidRPr="00305906">
              <w:rPr>
                <w:rFonts w:ascii="Century" w:hAnsi="Century"/>
                <w:sz w:val="22"/>
                <w:szCs w:val="22"/>
              </w:rPr>
              <w:t xml:space="preserve"> milyar TL’ye yükselmiştir. </w:t>
            </w:r>
            <w:r w:rsidR="00305906" w:rsidRPr="00305906">
              <w:rPr>
                <w:rFonts w:ascii="Century" w:hAnsi="Century"/>
                <w:sz w:val="22"/>
                <w:szCs w:val="22"/>
              </w:rPr>
              <w:t>2018 yılında hayat dışı şirketler 23</w:t>
            </w:r>
            <w:proofErr w:type="gramStart"/>
            <w:r w:rsidRPr="00305906">
              <w:rPr>
                <w:rFonts w:ascii="Century" w:hAnsi="Century"/>
                <w:sz w:val="22"/>
                <w:szCs w:val="22"/>
              </w:rPr>
              <w:t>,</w:t>
            </w:r>
            <w:r w:rsidR="00305906" w:rsidRPr="00305906">
              <w:rPr>
                <w:rFonts w:ascii="Century" w:hAnsi="Century"/>
                <w:sz w:val="22"/>
                <w:szCs w:val="22"/>
              </w:rPr>
              <w:t>2</w:t>
            </w:r>
            <w:proofErr w:type="gramEnd"/>
            <w:r w:rsidRPr="00305906">
              <w:rPr>
                <w:rFonts w:ascii="Century" w:hAnsi="Century"/>
                <w:sz w:val="22"/>
                <w:szCs w:val="22"/>
              </w:rPr>
              <w:t xml:space="preserve"> milyar TL, haya</w:t>
            </w:r>
            <w:r w:rsidR="00B222F4" w:rsidRPr="00305906">
              <w:rPr>
                <w:rFonts w:ascii="Century" w:hAnsi="Century"/>
                <w:sz w:val="22"/>
                <w:szCs w:val="22"/>
              </w:rPr>
              <w:t>t / emeklilik şirketleri ise 3,</w:t>
            </w:r>
            <w:r w:rsidR="00305906" w:rsidRPr="00305906">
              <w:rPr>
                <w:rFonts w:ascii="Century" w:hAnsi="Century"/>
                <w:sz w:val="22"/>
                <w:szCs w:val="22"/>
              </w:rPr>
              <w:t>6</w:t>
            </w:r>
            <w:r w:rsidRPr="00305906">
              <w:rPr>
                <w:rFonts w:ascii="Century" w:hAnsi="Century"/>
                <w:sz w:val="22"/>
                <w:szCs w:val="22"/>
              </w:rPr>
              <w:t xml:space="preserve"> milyar TL tazminat ödemesi gerçekleştirmiştir. Ödenen tazminatların içinde</w:t>
            </w:r>
            <w:r w:rsidR="00305906" w:rsidRPr="00305906">
              <w:rPr>
                <w:rFonts w:ascii="Century" w:hAnsi="Century"/>
                <w:sz w:val="22"/>
                <w:szCs w:val="22"/>
              </w:rPr>
              <w:t xml:space="preserve"> hayat dışı şirketlerin payı %87</w:t>
            </w:r>
            <w:r w:rsidRPr="00305906">
              <w:rPr>
                <w:rFonts w:ascii="Century" w:hAnsi="Century"/>
                <w:sz w:val="22"/>
                <w:szCs w:val="22"/>
              </w:rPr>
              <w:t>, hayat / emek</w:t>
            </w:r>
            <w:r w:rsidR="00772A45" w:rsidRPr="00305906">
              <w:rPr>
                <w:rFonts w:ascii="Century" w:hAnsi="Century"/>
                <w:sz w:val="22"/>
                <w:szCs w:val="22"/>
              </w:rPr>
              <w:t>lilik şirketlerinin payı ise %1</w:t>
            </w:r>
            <w:r w:rsidR="00305906" w:rsidRPr="00305906">
              <w:rPr>
                <w:rFonts w:ascii="Century" w:hAnsi="Century"/>
                <w:sz w:val="22"/>
                <w:szCs w:val="22"/>
              </w:rPr>
              <w:t>3</w:t>
            </w:r>
            <w:r w:rsidRPr="00305906">
              <w:rPr>
                <w:rFonts w:ascii="Century" w:hAnsi="Century"/>
                <w:sz w:val="22"/>
                <w:szCs w:val="22"/>
              </w:rPr>
              <w:t xml:space="preserve"> seviyesindedir. Sektörde yıllık bazda toplam ödenen tazminat </w:t>
            </w:r>
            <w:r w:rsidR="00305906" w:rsidRPr="00305906">
              <w:rPr>
                <w:rFonts w:ascii="Century" w:hAnsi="Century"/>
                <w:sz w:val="22"/>
                <w:szCs w:val="22"/>
              </w:rPr>
              <w:t>tutarı son beş yılda yaklaşık %99</w:t>
            </w:r>
            <w:proofErr w:type="gramStart"/>
            <w:r w:rsidR="00305906" w:rsidRPr="00305906">
              <w:rPr>
                <w:rFonts w:ascii="Century" w:hAnsi="Century"/>
                <w:sz w:val="22"/>
                <w:szCs w:val="22"/>
              </w:rPr>
              <w:t>,7</w:t>
            </w:r>
            <w:proofErr w:type="gramEnd"/>
            <w:r w:rsidRPr="00305906">
              <w:rPr>
                <w:rFonts w:ascii="Century" w:hAnsi="Century"/>
                <w:sz w:val="22"/>
                <w:szCs w:val="22"/>
              </w:rPr>
              <w:t xml:space="preserve"> oranında artış göstermiştir.</w:t>
            </w:r>
          </w:p>
        </w:tc>
        <w:tc>
          <w:tcPr>
            <w:tcW w:w="318" w:type="dxa"/>
            <w:gridSpan w:val="7"/>
          </w:tcPr>
          <w:p w:rsidR="00B70B10" w:rsidRPr="00B10D90" w:rsidRDefault="00B70B10" w:rsidP="008D17FE">
            <w:pPr>
              <w:rPr>
                <w:rFonts w:ascii="Century" w:hAnsi="Century"/>
                <w:sz w:val="22"/>
                <w:szCs w:val="22"/>
                <w:highlight w:val="yellow"/>
              </w:rPr>
            </w:pPr>
          </w:p>
        </w:tc>
        <w:tc>
          <w:tcPr>
            <w:tcW w:w="4685" w:type="dxa"/>
            <w:gridSpan w:val="5"/>
          </w:tcPr>
          <w:p w:rsidR="005A43C7" w:rsidRPr="00305906" w:rsidRDefault="00B90F52" w:rsidP="005A43C7">
            <w:pPr>
              <w:jc w:val="both"/>
              <w:rPr>
                <w:rFonts w:ascii="Century" w:hAnsi="Century"/>
                <w:b/>
                <w:color w:val="003366"/>
                <w:sz w:val="22"/>
                <w:szCs w:val="22"/>
              </w:rPr>
            </w:pPr>
            <w:r w:rsidRPr="00305906">
              <w:rPr>
                <w:rFonts w:ascii="Century" w:hAnsi="Century"/>
                <w:b/>
                <w:color w:val="003366"/>
                <w:sz w:val="22"/>
                <w:szCs w:val="22"/>
              </w:rPr>
              <w:t xml:space="preserve">3.1.5. </w:t>
            </w:r>
            <w:r w:rsidR="005A43C7" w:rsidRPr="00305906">
              <w:rPr>
                <w:rFonts w:ascii="Century" w:hAnsi="Century"/>
                <w:b/>
                <w:color w:val="003366"/>
                <w:sz w:val="22"/>
                <w:szCs w:val="22"/>
              </w:rPr>
              <w:t>Paid Losses</w:t>
            </w:r>
          </w:p>
          <w:p w:rsidR="005A43C7" w:rsidRPr="00305906" w:rsidRDefault="005A43C7" w:rsidP="001965C6">
            <w:pPr>
              <w:jc w:val="both"/>
              <w:textAlignment w:val="top"/>
              <w:rPr>
                <w:rFonts w:ascii="Century" w:hAnsi="Century"/>
                <w:color w:val="333333"/>
                <w:sz w:val="22"/>
              </w:rPr>
            </w:pPr>
          </w:p>
          <w:p w:rsidR="00B70B10" w:rsidRPr="00B10D90" w:rsidRDefault="008B1B8A" w:rsidP="00305906">
            <w:pPr>
              <w:jc w:val="both"/>
              <w:textAlignment w:val="top"/>
              <w:rPr>
                <w:rFonts w:ascii="Century" w:hAnsi="Century"/>
                <w:color w:val="333333"/>
                <w:sz w:val="22"/>
                <w:highlight w:val="yellow"/>
              </w:rPr>
            </w:pPr>
            <w:r w:rsidRPr="00305906">
              <w:rPr>
                <w:rFonts w:ascii="Century" w:hAnsi="Century"/>
                <w:color w:val="333333"/>
                <w:sz w:val="22"/>
              </w:rPr>
              <w:t xml:space="preserve">Total loss payments, excluding salvage and subrogation collections, has accounted </w:t>
            </w:r>
            <w:r w:rsidRPr="00305906">
              <w:rPr>
                <w:rFonts w:ascii="AbakuTLSymSans" w:hAnsi="AbakuTLSymSans"/>
                <w:color w:val="333333"/>
                <w:sz w:val="22"/>
              </w:rPr>
              <w:t>¨</w:t>
            </w:r>
            <w:r w:rsidR="00B222F4" w:rsidRPr="00305906">
              <w:rPr>
                <w:rFonts w:ascii="Century" w:hAnsi="Century"/>
                <w:color w:val="333333"/>
                <w:sz w:val="22"/>
              </w:rPr>
              <w:t>2</w:t>
            </w:r>
            <w:r w:rsidR="00305906" w:rsidRPr="00305906">
              <w:rPr>
                <w:rFonts w:ascii="Century" w:hAnsi="Century"/>
                <w:color w:val="333333"/>
                <w:sz w:val="22"/>
              </w:rPr>
              <w:t>6</w:t>
            </w:r>
            <w:r w:rsidRPr="00305906">
              <w:rPr>
                <w:rFonts w:ascii="Century" w:hAnsi="Century"/>
                <w:color w:val="333333"/>
                <w:sz w:val="22"/>
              </w:rPr>
              <w:t>.</w:t>
            </w:r>
            <w:r w:rsidR="00305906" w:rsidRPr="00305906">
              <w:rPr>
                <w:rFonts w:ascii="Century" w:hAnsi="Century"/>
                <w:color w:val="333333"/>
                <w:sz w:val="22"/>
              </w:rPr>
              <w:t>8</w:t>
            </w:r>
            <w:r w:rsidR="00B222F4" w:rsidRPr="00305906">
              <w:rPr>
                <w:rFonts w:ascii="Century" w:hAnsi="Century"/>
                <w:color w:val="333333"/>
                <w:sz w:val="22"/>
              </w:rPr>
              <w:t xml:space="preserve"> billion in 201</w:t>
            </w:r>
            <w:r w:rsidR="00305906" w:rsidRPr="00305906">
              <w:rPr>
                <w:rFonts w:ascii="Century" w:hAnsi="Century"/>
                <w:color w:val="333333"/>
                <w:sz w:val="22"/>
              </w:rPr>
              <w:t>8</w:t>
            </w:r>
            <w:r w:rsidR="00EB2412" w:rsidRPr="00305906">
              <w:rPr>
                <w:rFonts w:ascii="Century" w:hAnsi="Century"/>
                <w:color w:val="333333"/>
                <w:sz w:val="22"/>
              </w:rPr>
              <w:t xml:space="preserve"> after a stable increase over years</w:t>
            </w:r>
            <w:r w:rsidR="00186832" w:rsidRPr="00305906">
              <w:rPr>
                <w:rFonts w:ascii="Century" w:hAnsi="Century"/>
                <w:color w:val="333333"/>
                <w:sz w:val="22"/>
              </w:rPr>
              <w:t>,</w:t>
            </w:r>
            <w:r w:rsidR="00EB2412" w:rsidRPr="00305906">
              <w:rPr>
                <w:rFonts w:ascii="Century" w:hAnsi="Century"/>
                <w:color w:val="333333"/>
                <w:sz w:val="22"/>
              </w:rPr>
              <w:t xml:space="preserve"> while i</w:t>
            </w:r>
            <w:r w:rsidRPr="00305906">
              <w:rPr>
                <w:rFonts w:ascii="Century" w:hAnsi="Century"/>
                <w:color w:val="333333"/>
                <w:sz w:val="22"/>
              </w:rPr>
              <w:t xml:space="preserve">t was about </w:t>
            </w:r>
            <w:r w:rsidRPr="00305906">
              <w:rPr>
                <w:rFonts w:ascii="AbakuTLSymSans" w:hAnsi="AbakuTLSymSans"/>
                <w:color w:val="333333"/>
                <w:sz w:val="22"/>
              </w:rPr>
              <w:t>¨</w:t>
            </w:r>
            <w:r w:rsidRPr="00305906">
              <w:rPr>
                <w:rFonts w:ascii="Century" w:hAnsi="Century"/>
                <w:color w:val="333333"/>
                <w:sz w:val="22"/>
              </w:rPr>
              <w:t>1</w:t>
            </w:r>
            <w:r w:rsidR="00305906" w:rsidRPr="00305906">
              <w:rPr>
                <w:rFonts w:ascii="Century" w:hAnsi="Century"/>
                <w:color w:val="333333"/>
                <w:sz w:val="22"/>
              </w:rPr>
              <w:t>3</w:t>
            </w:r>
            <w:r w:rsidRPr="00305906">
              <w:rPr>
                <w:rFonts w:ascii="Century" w:hAnsi="Century"/>
                <w:color w:val="333333"/>
                <w:sz w:val="22"/>
              </w:rPr>
              <w:t>.</w:t>
            </w:r>
            <w:r w:rsidR="00305906" w:rsidRPr="00305906">
              <w:rPr>
                <w:rFonts w:ascii="Century" w:hAnsi="Century"/>
                <w:color w:val="333333"/>
                <w:sz w:val="22"/>
              </w:rPr>
              <w:t>4</w:t>
            </w:r>
            <w:r w:rsidRPr="00305906">
              <w:rPr>
                <w:rFonts w:ascii="Century" w:hAnsi="Century"/>
                <w:color w:val="333333"/>
                <w:sz w:val="22"/>
              </w:rPr>
              <w:t xml:space="preserve"> billion in 201</w:t>
            </w:r>
            <w:r w:rsidR="00305906" w:rsidRPr="00305906">
              <w:rPr>
                <w:rFonts w:ascii="Century" w:hAnsi="Century"/>
                <w:color w:val="333333"/>
                <w:sz w:val="22"/>
              </w:rPr>
              <w:t>4</w:t>
            </w:r>
            <w:r w:rsidR="00EB2412" w:rsidRPr="00305906">
              <w:rPr>
                <w:rFonts w:ascii="Century" w:hAnsi="Century"/>
                <w:color w:val="333333"/>
                <w:sz w:val="22"/>
              </w:rPr>
              <w:t xml:space="preserve">. </w:t>
            </w:r>
            <w:r w:rsidRPr="00305906">
              <w:rPr>
                <w:rFonts w:ascii="Century" w:hAnsi="Century"/>
                <w:color w:val="333333"/>
                <w:sz w:val="22"/>
              </w:rPr>
              <w:t xml:space="preserve">Non-life companies have paid </w:t>
            </w:r>
            <w:r w:rsidRPr="00305906">
              <w:rPr>
                <w:rFonts w:ascii="AbakuTLSymSans" w:hAnsi="AbakuTLSymSans"/>
                <w:color w:val="333333"/>
                <w:sz w:val="22"/>
              </w:rPr>
              <w:t>¨</w:t>
            </w:r>
            <w:r w:rsidR="00305906" w:rsidRPr="00305906">
              <w:rPr>
                <w:rFonts w:ascii="Century" w:hAnsi="Century"/>
                <w:color w:val="333333"/>
                <w:sz w:val="22"/>
              </w:rPr>
              <w:t>23</w:t>
            </w:r>
            <w:r w:rsidRPr="00305906">
              <w:rPr>
                <w:rFonts w:ascii="Century" w:hAnsi="Century"/>
                <w:color w:val="333333"/>
                <w:sz w:val="22"/>
              </w:rPr>
              <w:t>.</w:t>
            </w:r>
            <w:r w:rsidR="00305906" w:rsidRPr="00305906">
              <w:rPr>
                <w:rFonts w:ascii="Century" w:hAnsi="Century"/>
                <w:color w:val="333333"/>
                <w:sz w:val="22"/>
              </w:rPr>
              <w:t>2</w:t>
            </w:r>
            <w:r w:rsidRPr="00305906">
              <w:rPr>
                <w:rFonts w:ascii="Century" w:hAnsi="Century"/>
                <w:color w:val="333333"/>
                <w:sz w:val="22"/>
              </w:rPr>
              <w:t xml:space="preserve"> billion and life / pension companies have paid </w:t>
            </w:r>
            <w:r w:rsidRPr="00305906">
              <w:rPr>
                <w:rFonts w:ascii="AbakuTLSymSans" w:hAnsi="AbakuTLSymSans"/>
                <w:color w:val="333333"/>
                <w:sz w:val="22"/>
              </w:rPr>
              <w:t>¨</w:t>
            </w:r>
            <w:r w:rsidR="00BB18CA" w:rsidRPr="00305906">
              <w:rPr>
                <w:rFonts w:ascii="Century" w:hAnsi="Century"/>
                <w:color w:val="333333"/>
                <w:sz w:val="22"/>
              </w:rPr>
              <w:t>3</w:t>
            </w:r>
            <w:r w:rsidRPr="00305906">
              <w:rPr>
                <w:rFonts w:ascii="Century" w:hAnsi="Century"/>
                <w:color w:val="333333"/>
                <w:sz w:val="22"/>
              </w:rPr>
              <w:t>.</w:t>
            </w:r>
            <w:r w:rsidR="00305906" w:rsidRPr="00305906">
              <w:rPr>
                <w:rFonts w:ascii="Century" w:hAnsi="Century"/>
                <w:color w:val="333333"/>
                <w:sz w:val="22"/>
              </w:rPr>
              <w:t>6</w:t>
            </w:r>
            <w:r w:rsidRPr="00305906">
              <w:rPr>
                <w:rFonts w:ascii="Century" w:hAnsi="Century"/>
                <w:color w:val="333333"/>
                <w:sz w:val="22"/>
              </w:rPr>
              <w:t xml:space="preserve"> billion </w:t>
            </w:r>
            <w:r w:rsidR="00EB2412" w:rsidRPr="00305906">
              <w:rPr>
                <w:rFonts w:ascii="Century" w:hAnsi="Century"/>
                <w:color w:val="333333"/>
                <w:sz w:val="22"/>
              </w:rPr>
              <w:t xml:space="preserve">claims </w:t>
            </w:r>
            <w:r w:rsidR="00186832" w:rsidRPr="00305906">
              <w:rPr>
                <w:rFonts w:ascii="Century" w:hAnsi="Century"/>
                <w:color w:val="333333"/>
                <w:sz w:val="22"/>
              </w:rPr>
              <w:t>during 201</w:t>
            </w:r>
            <w:r w:rsidR="00305906" w:rsidRPr="00305906">
              <w:rPr>
                <w:rFonts w:ascii="Century" w:hAnsi="Century"/>
                <w:color w:val="333333"/>
                <w:sz w:val="22"/>
              </w:rPr>
              <w:t>8</w:t>
            </w:r>
            <w:r w:rsidRPr="00305906">
              <w:rPr>
                <w:rFonts w:ascii="Century" w:hAnsi="Century"/>
                <w:color w:val="333333"/>
                <w:sz w:val="22"/>
              </w:rPr>
              <w:t>. The share of life / pension companies in total loss payme</w:t>
            </w:r>
            <w:r w:rsidR="00305906" w:rsidRPr="00305906">
              <w:rPr>
                <w:rFonts w:ascii="Century" w:hAnsi="Century"/>
                <w:color w:val="333333"/>
                <w:sz w:val="22"/>
              </w:rPr>
              <w:t>nt is 13</w:t>
            </w:r>
            <w:r w:rsidR="00186832" w:rsidRPr="00305906">
              <w:rPr>
                <w:rFonts w:ascii="Century" w:hAnsi="Century"/>
                <w:color w:val="333333"/>
                <w:sz w:val="22"/>
              </w:rPr>
              <w:t>%</w:t>
            </w:r>
            <w:r w:rsidRPr="00305906">
              <w:rPr>
                <w:rFonts w:ascii="Century" w:hAnsi="Century"/>
                <w:color w:val="333333"/>
                <w:sz w:val="22"/>
              </w:rPr>
              <w:t xml:space="preserve"> and</w:t>
            </w:r>
            <w:r w:rsidR="00772A45" w:rsidRPr="00305906">
              <w:rPr>
                <w:rFonts w:ascii="Century" w:hAnsi="Century"/>
                <w:color w:val="333333"/>
                <w:sz w:val="22"/>
              </w:rPr>
              <w:t xml:space="preserve"> non-life companies’ share is 8</w:t>
            </w:r>
            <w:r w:rsidR="00305906" w:rsidRPr="00305906">
              <w:rPr>
                <w:rFonts w:ascii="Century" w:hAnsi="Century"/>
                <w:color w:val="333333"/>
                <w:sz w:val="22"/>
              </w:rPr>
              <w:t>6</w:t>
            </w:r>
            <w:r w:rsidR="00186832" w:rsidRPr="00305906">
              <w:rPr>
                <w:rFonts w:ascii="Century" w:hAnsi="Century"/>
                <w:color w:val="333333"/>
                <w:sz w:val="22"/>
              </w:rPr>
              <w:t>%</w:t>
            </w:r>
            <w:r w:rsidRPr="00305906">
              <w:rPr>
                <w:rFonts w:ascii="Century" w:hAnsi="Century"/>
                <w:color w:val="333333"/>
                <w:sz w:val="22"/>
              </w:rPr>
              <w:t xml:space="preserve">. During the last five years, the total amount of net paid loss </w:t>
            </w:r>
            <w:r w:rsidR="00772A45" w:rsidRPr="00305906">
              <w:rPr>
                <w:rFonts w:ascii="Century" w:hAnsi="Century"/>
                <w:color w:val="333333"/>
                <w:sz w:val="22"/>
              </w:rPr>
              <w:t>has increas</w:t>
            </w:r>
            <w:r w:rsidR="00305906" w:rsidRPr="00305906">
              <w:rPr>
                <w:rFonts w:ascii="Century" w:hAnsi="Century"/>
                <w:color w:val="333333"/>
                <w:sz w:val="22"/>
              </w:rPr>
              <w:t>ed approximately by 99.7</w:t>
            </w:r>
            <w:r w:rsidR="00186832" w:rsidRPr="00305906">
              <w:rPr>
                <w:rFonts w:ascii="Century" w:hAnsi="Century"/>
                <w:color w:val="333333"/>
                <w:sz w:val="22"/>
              </w:rPr>
              <w:t>%</w:t>
            </w:r>
            <w:r w:rsidRPr="00305906">
              <w:rPr>
                <w:rFonts w:ascii="Century" w:hAnsi="Century"/>
                <w:color w:val="333333"/>
                <w:sz w:val="22"/>
              </w:rPr>
              <w:t>.</w:t>
            </w:r>
          </w:p>
        </w:tc>
      </w:tr>
      <w:tr w:rsidR="005A43C7" w:rsidRPr="00B10D90" w:rsidTr="00441D50">
        <w:trPr>
          <w:gridAfter w:val="2"/>
          <w:wAfter w:w="38" w:type="dxa"/>
          <w:trHeight w:val="181"/>
        </w:trPr>
        <w:tc>
          <w:tcPr>
            <w:tcW w:w="4817" w:type="dxa"/>
            <w:gridSpan w:val="2"/>
          </w:tcPr>
          <w:p w:rsidR="005A43C7" w:rsidRPr="00B10D90" w:rsidRDefault="005A43C7" w:rsidP="00327B97">
            <w:pPr>
              <w:jc w:val="both"/>
              <w:rPr>
                <w:rFonts w:ascii="Century" w:hAnsi="Century"/>
                <w:color w:val="000080"/>
                <w:sz w:val="22"/>
                <w:szCs w:val="22"/>
                <w:highlight w:val="yellow"/>
              </w:rPr>
            </w:pPr>
          </w:p>
        </w:tc>
        <w:tc>
          <w:tcPr>
            <w:tcW w:w="318" w:type="dxa"/>
            <w:gridSpan w:val="7"/>
          </w:tcPr>
          <w:p w:rsidR="005A43C7" w:rsidRPr="00B10D90" w:rsidRDefault="005A43C7" w:rsidP="008D17FE">
            <w:pPr>
              <w:rPr>
                <w:rFonts w:ascii="Century" w:hAnsi="Century"/>
                <w:sz w:val="22"/>
                <w:szCs w:val="22"/>
                <w:highlight w:val="yellow"/>
              </w:rPr>
            </w:pPr>
          </w:p>
        </w:tc>
        <w:tc>
          <w:tcPr>
            <w:tcW w:w="4685" w:type="dxa"/>
            <w:gridSpan w:val="5"/>
          </w:tcPr>
          <w:p w:rsidR="005A43C7" w:rsidRPr="00B10D90" w:rsidRDefault="005A43C7" w:rsidP="005A43C7">
            <w:pPr>
              <w:jc w:val="both"/>
              <w:rPr>
                <w:rFonts w:ascii="Century" w:hAnsi="Century"/>
                <w:b/>
                <w:color w:val="003366"/>
                <w:sz w:val="22"/>
                <w:szCs w:val="22"/>
                <w:highlight w:val="yellow"/>
              </w:rPr>
            </w:pPr>
          </w:p>
        </w:tc>
      </w:tr>
      <w:tr w:rsidR="00331642" w:rsidRPr="00B10D90" w:rsidTr="00441D50">
        <w:trPr>
          <w:gridAfter w:val="2"/>
          <w:wAfter w:w="38" w:type="dxa"/>
          <w:trHeight w:val="181"/>
        </w:trPr>
        <w:tc>
          <w:tcPr>
            <w:tcW w:w="9820" w:type="dxa"/>
            <w:gridSpan w:val="14"/>
          </w:tcPr>
          <w:p w:rsidR="00331642" w:rsidRDefault="00331642" w:rsidP="00331642">
            <w:pPr>
              <w:jc w:val="center"/>
              <w:rPr>
                <w:rFonts w:ascii="Century" w:hAnsi="Century"/>
                <w:i/>
                <w:iCs/>
                <w:color w:val="000080"/>
                <w:sz w:val="20"/>
                <w:szCs w:val="20"/>
              </w:rPr>
            </w:pPr>
            <w:r w:rsidRPr="00305906">
              <w:rPr>
                <w:rFonts w:ascii="Century" w:hAnsi="Century"/>
                <w:b/>
                <w:color w:val="000080"/>
                <w:sz w:val="20"/>
                <w:szCs w:val="20"/>
              </w:rPr>
              <w:t xml:space="preserve">Tablo </w:t>
            </w:r>
            <w:r w:rsidR="005D0DBF" w:rsidRPr="00305906">
              <w:rPr>
                <w:rFonts w:ascii="Century" w:hAnsi="Century"/>
                <w:b/>
                <w:color w:val="000080"/>
                <w:sz w:val="20"/>
                <w:szCs w:val="20"/>
              </w:rPr>
              <w:t>3</w:t>
            </w:r>
            <w:r w:rsidRPr="00305906">
              <w:rPr>
                <w:rFonts w:ascii="Century" w:hAnsi="Century"/>
                <w:b/>
                <w:color w:val="000080"/>
                <w:sz w:val="20"/>
                <w:szCs w:val="20"/>
              </w:rPr>
              <w:t>.</w:t>
            </w:r>
            <w:r w:rsidR="005D0DBF" w:rsidRPr="00305906">
              <w:rPr>
                <w:rFonts w:ascii="Century" w:hAnsi="Century"/>
                <w:b/>
                <w:color w:val="000080"/>
                <w:sz w:val="20"/>
                <w:szCs w:val="20"/>
              </w:rPr>
              <w:t>1</w:t>
            </w:r>
            <w:r w:rsidRPr="00305906">
              <w:rPr>
                <w:rFonts w:ascii="Century" w:hAnsi="Century"/>
                <w:b/>
                <w:color w:val="000080"/>
                <w:sz w:val="20"/>
                <w:szCs w:val="20"/>
              </w:rPr>
              <w:t>.</w:t>
            </w:r>
            <w:r w:rsidR="005D0DBF" w:rsidRPr="00305906">
              <w:rPr>
                <w:rFonts w:ascii="Century" w:hAnsi="Century"/>
                <w:b/>
                <w:color w:val="000080"/>
                <w:sz w:val="20"/>
                <w:szCs w:val="20"/>
              </w:rPr>
              <w:t>6</w:t>
            </w:r>
            <w:r w:rsidRPr="00305906">
              <w:rPr>
                <w:rFonts w:ascii="Century" w:hAnsi="Century"/>
                <w:b/>
                <w:color w:val="000080"/>
                <w:sz w:val="20"/>
                <w:szCs w:val="20"/>
              </w:rPr>
              <w:t xml:space="preserve">: Ödenen Tazminatların </w:t>
            </w:r>
            <w:r w:rsidRPr="00305906">
              <w:rPr>
                <w:rFonts w:ascii="Century" w:hAnsi="Century"/>
                <w:b/>
                <w:bCs/>
                <w:color w:val="000080"/>
                <w:sz w:val="20"/>
                <w:szCs w:val="20"/>
              </w:rPr>
              <w:t xml:space="preserve">Dağılımı – </w:t>
            </w:r>
            <w:r w:rsidRPr="00305906">
              <w:rPr>
                <w:rFonts w:ascii="Century" w:hAnsi="Century"/>
                <w:bCs/>
                <w:i/>
                <w:color w:val="000080"/>
                <w:sz w:val="20"/>
                <w:szCs w:val="20"/>
              </w:rPr>
              <w:t xml:space="preserve">Distribution of </w:t>
            </w:r>
            <w:r w:rsidR="00286AE8" w:rsidRPr="00305906">
              <w:rPr>
                <w:rFonts w:ascii="Century" w:hAnsi="Century"/>
                <w:i/>
                <w:iCs/>
                <w:color w:val="000080"/>
                <w:sz w:val="20"/>
                <w:szCs w:val="20"/>
              </w:rPr>
              <w:t>Paid Losses</w:t>
            </w:r>
          </w:p>
          <w:p w:rsidR="00006EC5" w:rsidRPr="00305906" w:rsidRDefault="00006EC5" w:rsidP="00331642">
            <w:pPr>
              <w:jc w:val="center"/>
              <w:rPr>
                <w:rFonts w:ascii="Century" w:hAnsi="Century"/>
                <w:i/>
                <w:iCs/>
                <w:color w:val="000080"/>
                <w:sz w:val="20"/>
                <w:szCs w:val="20"/>
              </w:rPr>
            </w:pPr>
            <w:r>
              <w:rPr>
                <w:rFonts w:ascii="Century" w:hAnsi="Century"/>
                <w:i/>
                <w:iCs/>
                <w:noProof/>
                <w:color w:val="000080"/>
                <w:sz w:val="20"/>
                <w:szCs w:val="20"/>
              </w:rPr>
              <w:drawing>
                <wp:inline distT="0" distB="0" distL="0" distR="0" wp14:anchorId="09DA0C0E" wp14:editId="0D0D1934">
                  <wp:extent cx="6092674" cy="1790700"/>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8540" cy="1792424"/>
                          </a:xfrm>
                          <a:prstGeom prst="rect">
                            <a:avLst/>
                          </a:prstGeom>
                          <a:noFill/>
                          <a:ln>
                            <a:noFill/>
                          </a:ln>
                        </pic:spPr>
                      </pic:pic>
                    </a:graphicData>
                  </a:graphic>
                </wp:inline>
              </w:drawing>
            </w:r>
          </w:p>
          <w:p w:rsidR="00331642" w:rsidRPr="00305906" w:rsidRDefault="00331642" w:rsidP="00385CC3">
            <w:pPr>
              <w:jc w:val="center"/>
              <w:rPr>
                <w:rFonts w:ascii="Century" w:hAnsi="Century" w:cs="Arial"/>
                <w:color w:val="333333"/>
                <w:sz w:val="22"/>
                <w:szCs w:val="22"/>
              </w:rPr>
            </w:pPr>
          </w:p>
        </w:tc>
      </w:tr>
      <w:tr w:rsidR="00F544B8" w:rsidRPr="00B10D90" w:rsidTr="00441D50">
        <w:trPr>
          <w:gridAfter w:val="2"/>
          <w:wAfter w:w="38" w:type="dxa"/>
          <w:trHeight w:val="181"/>
        </w:trPr>
        <w:tc>
          <w:tcPr>
            <w:tcW w:w="4817" w:type="dxa"/>
            <w:gridSpan w:val="2"/>
          </w:tcPr>
          <w:p w:rsidR="00745B39" w:rsidRPr="004B0877" w:rsidRDefault="00063011" w:rsidP="007D65D8">
            <w:pPr>
              <w:pStyle w:val="Heading3"/>
              <w:keepNext w:val="0"/>
              <w:spacing w:before="0" w:after="0"/>
              <w:ind w:left="0"/>
              <w:rPr>
                <w:rFonts w:ascii="Century" w:hAnsi="Century"/>
                <w:color w:val="000080"/>
                <w:sz w:val="22"/>
                <w:szCs w:val="22"/>
              </w:rPr>
            </w:pPr>
            <w:bookmarkStart w:id="198" w:name="_Toc12957671"/>
            <w:r w:rsidRPr="004B0877">
              <w:rPr>
                <w:rFonts w:ascii="Century" w:hAnsi="Century"/>
                <w:color w:val="000080"/>
                <w:sz w:val="22"/>
                <w:szCs w:val="22"/>
              </w:rPr>
              <w:t xml:space="preserve">Sektör </w:t>
            </w:r>
            <w:r w:rsidR="00745B39" w:rsidRPr="004B0877">
              <w:rPr>
                <w:rFonts w:ascii="Century" w:hAnsi="Century"/>
                <w:color w:val="000080"/>
                <w:sz w:val="22"/>
                <w:szCs w:val="22"/>
              </w:rPr>
              <w:t>Gelir / Gider Dengesi</w:t>
            </w:r>
            <w:bookmarkEnd w:id="198"/>
          </w:p>
          <w:p w:rsidR="00745B39" w:rsidRPr="004B0877" w:rsidRDefault="00745B39" w:rsidP="00745B39"/>
          <w:p w:rsidR="008B1B8A" w:rsidRPr="00B10D90" w:rsidRDefault="008B1B8A" w:rsidP="008B1B8A">
            <w:pPr>
              <w:jc w:val="both"/>
              <w:rPr>
                <w:rFonts w:ascii="Century" w:hAnsi="Century"/>
                <w:sz w:val="22"/>
                <w:szCs w:val="22"/>
                <w:highlight w:val="yellow"/>
              </w:rPr>
            </w:pPr>
            <w:r w:rsidRPr="004B0877">
              <w:rPr>
                <w:rFonts w:ascii="Century" w:hAnsi="Century"/>
                <w:sz w:val="22"/>
                <w:szCs w:val="22"/>
              </w:rPr>
              <w:t>Sektörün vergi öncesi toplam dönem kârı bir önceki yıla göre yaklaşık %</w:t>
            </w:r>
            <w:r w:rsidR="004B0877" w:rsidRPr="004B0877">
              <w:rPr>
                <w:rFonts w:ascii="Century" w:hAnsi="Century"/>
                <w:sz w:val="22"/>
                <w:szCs w:val="22"/>
              </w:rPr>
              <w:t>4</w:t>
            </w:r>
            <w:r w:rsidR="00EE0DEB">
              <w:rPr>
                <w:rFonts w:ascii="Century" w:hAnsi="Century"/>
                <w:sz w:val="22"/>
                <w:szCs w:val="22"/>
              </w:rPr>
              <w:t>4</w:t>
            </w:r>
            <w:proofErr w:type="gramStart"/>
            <w:r w:rsidR="00EE0DEB">
              <w:rPr>
                <w:rFonts w:ascii="Century" w:hAnsi="Century"/>
                <w:sz w:val="22"/>
                <w:szCs w:val="22"/>
              </w:rPr>
              <w:t>,85</w:t>
            </w:r>
            <w:proofErr w:type="gramEnd"/>
            <w:r w:rsidRPr="004B0877">
              <w:rPr>
                <w:rFonts w:ascii="Century" w:hAnsi="Century"/>
                <w:sz w:val="22"/>
                <w:szCs w:val="22"/>
              </w:rPr>
              <w:t xml:space="preserve"> oranında artarak 201</w:t>
            </w:r>
            <w:r w:rsidR="004B0877" w:rsidRPr="004B0877">
              <w:rPr>
                <w:rFonts w:ascii="Century" w:hAnsi="Century"/>
                <w:sz w:val="22"/>
                <w:szCs w:val="22"/>
              </w:rPr>
              <w:t>8</w:t>
            </w:r>
            <w:r w:rsidRPr="004B0877">
              <w:rPr>
                <w:rFonts w:ascii="Century" w:hAnsi="Century"/>
                <w:sz w:val="22"/>
                <w:szCs w:val="22"/>
              </w:rPr>
              <w:t xml:space="preserve"> yılında </w:t>
            </w:r>
            <w:r w:rsidR="004B0877" w:rsidRPr="004B0877">
              <w:rPr>
                <w:rFonts w:ascii="Century" w:hAnsi="Century"/>
                <w:sz w:val="22"/>
                <w:szCs w:val="22"/>
              </w:rPr>
              <w:t>7</w:t>
            </w:r>
            <w:r w:rsidR="00486895" w:rsidRPr="004B0877">
              <w:rPr>
                <w:rFonts w:ascii="Century" w:hAnsi="Century"/>
                <w:sz w:val="22"/>
                <w:szCs w:val="22"/>
              </w:rPr>
              <w:t>,</w:t>
            </w:r>
            <w:r w:rsidR="00EE0DEB">
              <w:rPr>
                <w:rFonts w:ascii="Century" w:hAnsi="Century"/>
                <w:sz w:val="22"/>
                <w:szCs w:val="22"/>
              </w:rPr>
              <w:t>18</w:t>
            </w:r>
            <w:r w:rsidRPr="004B0877">
              <w:rPr>
                <w:rFonts w:ascii="Century" w:hAnsi="Century"/>
                <w:sz w:val="22"/>
                <w:szCs w:val="22"/>
              </w:rPr>
              <w:t xml:space="preserve"> mily</w:t>
            </w:r>
            <w:r w:rsidR="00486895" w:rsidRPr="004B0877">
              <w:rPr>
                <w:rFonts w:ascii="Century" w:hAnsi="Century"/>
                <w:sz w:val="22"/>
                <w:szCs w:val="22"/>
              </w:rPr>
              <w:t>ar</w:t>
            </w:r>
            <w:r w:rsidRPr="004B0877">
              <w:rPr>
                <w:rFonts w:ascii="Century" w:hAnsi="Century"/>
                <w:sz w:val="22"/>
                <w:szCs w:val="22"/>
              </w:rPr>
              <w:t xml:space="preserve"> TL’ye yükselmiştir. </w:t>
            </w:r>
            <w:r w:rsidR="00D121B5">
              <w:rPr>
                <w:rFonts w:ascii="Century" w:hAnsi="Century"/>
                <w:sz w:val="22"/>
                <w:szCs w:val="22"/>
              </w:rPr>
              <w:t>V</w:t>
            </w:r>
            <w:r w:rsidRPr="004B0877">
              <w:rPr>
                <w:rFonts w:ascii="Century" w:hAnsi="Century"/>
                <w:sz w:val="22"/>
                <w:szCs w:val="22"/>
              </w:rPr>
              <w:t xml:space="preserve">ergi </w:t>
            </w:r>
            <w:r w:rsidR="00772A45" w:rsidRPr="004B0877">
              <w:rPr>
                <w:rFonts w:ascii="Century" w:hAnsi="Century"/>
                <w:sz w:val="22"/>
                <w:szCs w:val="22"/>
              </w:rPr>
              <w:t>sonrası</w:t>
            </w:r>
            <w:r w:rsidR="004B0877" w:rsidRPr="004B0877">
              <w:rPr>
                <w:rFonts w:ascii="Century" w:hAnsi="Century"/>
                <w:sz w:val="22"/>
                <w:szCs w:val="22"/>
              </w:rPr>
              <w:t xml:space="preserve"> kâr ise 2017</w:t>
            </w:r>
            <w:r w:rsidRPr="004B0877">
              <w:rPr>
                <w:rFonts w:ascii="Century" w:hAnsi="Century"/>
                <w:sz w:val="22"/>
                <w:szCs w:val="22"/>
              </w:rPr>
              <w:t xml:space="preserve"> yılında </w:t>
            </w:r>
            <w:r w:rsidR="004B0877" w:rsidRPr="004B0877">
              <w:rPr>
                <w:rFonts w:ascii="Century" w:hAnsi="Century"/>
                <w:sz w:val="22"/>
                <w:szCs w:val="22"/>
              </w:rPr>
              <w:t>3</w:t>
            </w:r>
            <w:r w:rsidR="00772A45" w:rsidRPr="004B0877">
              <w:rPr>
                <w:rFonts w:ascii="Century" w:hAnsi="Century"/>
                <w:sz w:val="22"/>
                <w:szCs w:val="22"/>
              </w:rPr>
              <w:t>,</w:t>
            </w:r>
            <w:r w:rsidR="004B0877" w:rsidRPr="004B0877">
              <w:rPr>
                <w:rFonts w:ascii="Century" w:hAnsi="Century"/>
                <w:sz w:val="22"/>
                <w:szCs w:val="22"/>
              </w:rPr>
              <w:t>7</w:t>
            </w:r>
            <w:r w:rsidR="00EE0DEB">
              <w:rPr>
                <w:rFonts w:ascii="Century" w:hAnsi="Century"/>
                <w:sz w:val="22"/>
                <w:szCs w:val="22"/>
              </w:rPr>
              <w:t>4</w:t>
            </w:r>
            <w:r w:rsidRPr="004B0877">
              <w:rPr>
                <w:rFonts w:ascii="Century" w:hAnsi="Century"/>
                <w:sz w:val="22"/>
                <w:szCs w:val="22"/>
              </w:rPr>
              <w:t xml:space="preserve"> mily</w:t>
            </w:r>
            <w:r w:rsidR="00772A45" w:rsidRPr="004B0877">
              <w:rPr>
                <w:rFonts w:ascii="Century" w:hAnsi="Century"/>
                <w:sz w:val="22"/>
                <w:szCs w:val="22"/>
              </w:rPr>
              <w:t xml:space="preserve">ar TL iken, </w:t>
            </w:r>
            <w:r w:rsidR="00D121B5">
              <w:rPr>
                <w:rFonts w:ascii="Century" w:hAnsi="Century"/>
                <w:sz w:val="22"/>
                <w:szCs w:val="22"/>
              </w:rPr>
              <w:t>2018 yılında</w:t>
            </w:r>
            <w:r w:rsidRPr="004B0877">
              <w:rPr>
                <w:rFonts w:ascii="Century" w:hAnsi="Century"/>
                <w:sz w:val="22"/>
                <w:szCs w:val="22"/>
              </w:rPr>
              <w:t xml:space="preserve"> %</w:t>
            </w:r>
            <w:r w:rsidR="004B0877" w:rsidRPr="004B0877">
              <w:rPr>
                <w:rFonts w:ascii="Century" w:hAnsi="Century"/>
                <w:sz w:val="22"/>
                <w:szCs w:val="22"/>
              </w:rPr>
              <w:t>52</w:t>
            </w:r>
            <w:r w:rsidR="00772A45" w:rsidRPr="004B0877">
              <w:rPr>
                <w:rFonts w:ascii="Century" w:hAnsi="Century"/>
                <w:sz w:val="22"/>
                <w:szCs w:val="22"/>
              </w:rPr>
              <w:t>,</w:t>
            </w:r>
            <w:r w:rsidR="00EE0DEB">
              <w:rPr>
                <w:rFonts w:ascii="Century" w:hAnsi="Century"/>
                <w:sz w:val="22"/>
                <w:szCs w:val="22"/>
              </w:rPr>
              <w:t>6</w:t>
            </w:r>
            <w:r w:rsidR="004B0877" w:rsidRPr="004B0877">
              <w:rPr>
                <w:rFonts w:ascii="Century" w:hAnsi="Century"/>
                <w:sz w:val="22"/>
                <w:szCs w:val="22"/>
              </w:rPr>
              <w:t>7</w:t>
            </w:r>
            <w:r w:rsidRPr="004B0877">
              <w:rPr>
                <w:rFonts w:ascii="Century" w:hAnsi="Century"/>
                <w:sz w:val="22"/>
                <w:szCs w:val="22"/>
              </w:rPr>
              <w:t xml:space="preserve"> oranında artarak </w:t>
            </w:r>
            <w:r w:rsidR="004B0877" w:rsidRPr="004B0877">
              <w:rPr>
                <w:rFonts w:ascii="Century" w:hAnsi="Century"/>
                <w:sz w:val="22"/>
                <w:szCs w:val="22"/>
              </w:rPr>
              <w:t>5</w:t>
            </w:r>
            <w:r w:rsidR="00486895" w:rsidRPr="004B0877">
              <w:rPr>
                <w:rFonts w:ascii="Century" w:hAnsi="Century"/>
                <w:sz w:val="22"/>
                <w:szCs w:val="22"/>
              </w:rPr>
              <w:t>,</w:t>
            </w:r>
            <w:r w:rsidR="00772A45" w:rsidRPr="004B0877">
              <w:rPr>
                <w:rFonts w:ascii="Century" w:hAnsi="Century"/>
                <w:sz w:val="22"/>
                <w:szCs w:val="22"/>
              </w:rPr>
              <w:t>7</w:t>
            </w:r>
            <w:r w:rsidR="00EE0DEB">
              <w:rPr>
                <w:rFonts w:ascii="Century" w:hAnsi="Century"/>
                <w:sz w:val="22"/>
                <w:szCs w:val="22"/>
              </w:rPr>
              <w:t>1</w:t>
            </w:r>
            <w:r w:rsidRPr="004B0877">
              <w:rPr>
                <w:rFonts w:ascii="Century" w:hAnsi="Century"/>
                <w:sz w:val="22"/>
                <w:szCs w:val="22"/>
              </w:rPr>
              <w:t xml:space="preserve"> mily</w:t>
            </w:r>
            <w:r w:rsidR="00486895" w:rsidRPr="004B0877">
              <w:rPr>
                <w:rFonts w:ascii="Century" w:hAnsi="Century"/>
                <w:sz w:val="22"/>
                <w:szCs w:val="22"/>
              </w:rPr>
              <w:t>ar</w:t>
            </w:r>
            <w:r w:rsidRPr="004B0877">
              <w:rPr>
                <w:rFonts w:ascii="Century" w:hAnsi="Century"/>
                <w:sz w:val="22"/>
                <w:szCs w:val="22"/>
              </w:rPr>
              <w:t xml:space="preserve"> TL’ye </w:t>
            </w:r>
            <w:r w:rsidR="00E45D17" w:rsidRPr="004B0877">
              <w:rPr>
                <w:rFonts w:ascii="Century" w:hAnsi="Century"/>
                <w:sz w:val="22"/>
                <w:szCs w:val="22"/>
              </w:rPr>
              <w:t>yükselmiştir</w:t>
            </w:r>
            <w:r w:rsidRPr="004B0877">
              <w:rPr>
                <w:rFonts w:ascii="Century" w:hAnsi="Century"/>
                <w:sz w:val="22"/>
                <w:szCs w:val="22"/>
              </w:rPr>
              <w:t xml:space="preserve">. </w:t>
            </w:r>
          </w:p>
          <w:p w:rsidR="008B1B8A" w:rsidRPr="00B10D90" w:rsidRDefault="008B1B8A" w:rsidP="008B1B8A">
            <w:pPr>
              <w:jc w:val="both"/>
              <w:rPr>
                <w:rFonts w:ascii="Century" w:hAnsi="Century"/>
                <w:sz w:val="22"/>
                <w:szCs w:val="22"/>
                <w:highlight w:val="yellow"/>
              </w:rPr>
            </w:pPr>
          </w:p>
          <w:p w:rsidR="008B1B8A" w:rsidRPr="00B10D90" w:rsidRDefault="00772A45" w:rsidP="008B1B8A">
            <w:pPr>
              <w:jc w:val="both"/>
              <w:rPr>
                <w:rFonts w:ascii="Century" w:hAnsi="Century"/>
                <w:sz w:val="22"/>
                <w:szCs w:val="22"/>
                <w:highlight w:val="yellow"/>
              </w:rPr>
            </w:pPr>
            <w:r w:rsidRPr="004B0877">
              <w:rPr>
                <w:rFonts w:ascii="Century" w:hAnsi="Century"/>
                <w:sz w:val="22"/>
                <w:szCs w:val="22"/>
              </w:rPr>
              <w:t>201</w:t>
            </w:r>
            <w:r w:rsidR="004B0877" w:rsidRPr="004B0877">
              <w:rPr>
                <w:rFonts w:ascii="Century" w:hAnsi="Century"/>
                <w:sz w:val="22"/>
                <w:szCs w:val="22"/>
              </w:rPr>
              <w:t>8</w:t>
            </w:r>
            <w:r w:rsidR="008B1B8A" w:rsidRPr="004B0877">
              <w:rPr>
                <w:rFonts w:ascii="Century" w:hAnsi="Century"/>
                <w:sz w:val="22"/>
                <w:szCs w:val="22"/>
              </w:rPr>
              <w:t xml:space="preserve"> yılında ha</w:t>
            </w:r>
            <w:r w:rsidR="004B0877" w:rsidRPr="004B0877">
              <w:rPr>
                <w:rFonts w:ascii="Century" w:hAnsi="Century"/>
                <w:sz w:val="22"/>
                <w:szCs w:val="22"/>
              </w:rPr>
              <w:t>yat dışı sigorta şirketleri 2</w:t>
            </w:r>
            <w:proofErr w:type="gramStart"/>
            <w:r w:rsidR="00EE0DEB">
              <w:rPr>
                <w:rFonts w:ascii="Century" w:hAnsi="Century"/>
                <w:sz w:val="22"/>
                <w:szCs w:val="22"/>
              </w:rPr>
              <w:t>,67</w:t>
            </w:r>
            <w:proofErr w:type="gramEnd"/>
            <w:r w:rsidR="008B1B8A" w:rsidRPr="004B0877">
              <w:rPr>
                <w:rFonts w:ascii="Century" w:hAnsi="Century"/>
                <w:sz w:val="22"/>
                <w:szCs w:val="22"/>
              </w:rPr>
              <w:t xml:space="preserve"> mily</w:t>
            </w:r>
            <w:r w:rsidR="00EE0DEB">
              <w:rPr>
                <w:rFonts w:ascii="Century" w:hAnsi="Century"/>
                <w:sz w:val="22"/>
                <w:szCs w:val="22"/>
              </w:rPr>
              <w:t>ar</w:t>
            </w:r>
            <w:r w:rsidR="008B1B8A" w:rsidRPr="004B0877">
              <w:rPr>
                <w:rFonts w:ascii="Century" w:hAnsi="Century"/>
                <w:sz w:val="22"/>
                <w:szCs w:val="22"/>
              </w:rPr>
              <w:t xml:space="preserve"> TL vergi sonrası kar ederken</w:t>
            </w:r>
            <w:r w:rsidRPr="004B0877">
              <w:rPr>
                <w:rFonts w:ascii="Century" w:hAnsi="Century"/>
                <w:sz w:val="22"/>
                <w:szCs w:val="22"/>
              </w:rPr>
              <w:t>, hayat / emeklilik şirketleri 2</w:t>
            </w:r>
            <w:r w:rsidR="00EE0DEB">
              <w:rPr>
                <w:rFonts w:ascii="Century" w:hAnsi="Century"/>
                <w:sz w:val="22"/>
                <w:szCs w:val="22"/>
              </w:rPr>
              <w:t>,</w:t>
            </w:r>
            <w:r w:rsidR="004B0877" w:rsidRPr="004B0877">
              <w:rPr>
                <w:rFonts w:ascii="Century" w:hAnsi="Century"/>
                <w:sz w:val="22"/>
                <w:szCs w:val="22"/>
              </w:rPr>
              <w:t>7</w:t>
            </w:r>
            <w:r w:rsidR="00EE0DEB">
              <w:rPr>
                <w:rFonts w:ascii="Century" w:hAnsi="Century"/>
                <w:sz w:val="22"/>
                <w:szCs w:val="22"/>
              </w:rPr>
              <w:t>5</w:t>
            </w:r>
            <w:r w:rsidR="008B1B8A" w:rsidRPr="004B0877">
              <w:rPr>
                <w:rFonts w:ascii="Century" w:hAnsi="Century"/>
                <w:sz w:val="22"/>
                <w:szCs w:val="22"/>
              </w:rPr>
              <w:t xml:space="preserve"> mily</w:t>
            </w:r>
            <w:r w:rsidR="00EE0DEB">
              <w:rPr>
                <w:rFonts w:ascii="Century" w:hAnsi="Century"/>
                <w:sz w:val="22"/>
                <w:szCs w:val="22"/>
              </w:rPr>
              <w:t>ar</w:t>
            </w:r>
            <w:r w:rsidR="008B1B8A" w:rsidRPr="004B0877">
              <w:rPr>
                <w:rFonts w:ascii="Century" w:hAnsi="Century"/>
                <w:sz w:val="22"/>
                <w:szCs w:val="22"/>
              </w:rPr>
              <w:t xml:space="preserve"> TL kâr elde etmişlerdir. Sektörde faaliyet göster</w:t>
            </w:r>
            <w:r w:rsidR="004B0877" w:rsidRPr="004B0877">
              <w:rPr>
                <w:rFonts w:ascii="Century" w:hAnsi="Century"/>
                <w:sz w:val="22"/>
                <w:szCs w:val="22"/>
              </w:rPr>
              <w:t>en reasürans şirketleri ise 2018</w:t>
            </w:r>
            <w:r w:rsidRPr="004B0877">
              <w:rPr>
                <w:rFonts w:ascii="Century" w:hAnsi="Century"/>
                <w:sz w:val="22"/>
                <w:szCs w:val="22"/>
              </w:rPr>
              <w:t xml:space="preserve"> yılını </w:t>
            </w:r>
            <w:r w:rsidR="00EE0DEB">
              <w:rPr>
                <w:rFonts w:ascii="Century" w:hAnsi="Century"/>
                <w:sz w:val="22"/>
                <w:szCs w:val="22"/>
              </w:rPr>
              <w:t>0</w:t>
            </w:r>
            <w:proofErr w:type="gramStart"/>
            <w:r w:rsidR="00EE0DEB">
              <w:rPr>
                <w:rFonts w:ascii="Century" w:hAnsi="Century"/>
                <w:sz w:val="22"/>
                <w:szCs w:val="22"/>
              </w:rPr>
              <w:t>,30</w:t>
            </w:r>
            <w:proofErr w:type="gramEnd"/>
            <w:r w:rsidR="008B1B8A" w:rsidRPr="004B0877">
              <w:rPr>
                <w:rFonts w:ascii="Century" w:hAnsi="Century"/>
                <w:sz w:val="22"/>
                <w:szCs w:val="22"/>
              </w:rPr>
              <w:t xml:space="preserve"> mily</w:t>
            </w:r>
            <w:r w:rsidR="00EE0DEB">
              <w:rPr>
                <w:rFonts w:ascii="Century" w:hAnsi="Century"/>
                <w:sz w:val="22"/>
                <w:szCs w:val="22"/>
              </w:rPr>
              <w:t>ar</w:t>
            </w:r>
            <w:r w:rsidR="008B1B8A" w:rsidRPr="004B0877">
              <w:rPr>
                <w:rFonts w:ascii="Century" w:hAnsi="Century"/>
                <w:sz w:val="22"/>
                <w:szCs w:val="22"/>
              </w:rPr>
              <w:t xml:space="preserve"> TL vergi sonrası kârla kapatmıştır. </w:t>
            </w:r>
          </w:p>
          <w:p w:rsidR="008B1B8A" w:rsidRPr="004B0877" w:rsidRDefault="008B1B8A" w:rsidP="008B1B8A">
            <w:pPr>
              <w:jc w:val="both"/>
              <w:rPr>
                <w:rFonts w:ascii="Century" w:hAnsi="Century"/>
                <w:sz w:val="22"/>
                <w:szCs w:val="22"/>
              </w:rPr>
            </w:pPr>
          </w:p>
          <w:p w:rsidR="00E832EE" w:rsidRDefault="008B1B8A" w:rsidP="00772A45">
            <w:pPr>
              <w:jc w:val="both"/>
              <w:rPr>
                <w:rFonts w:ascii="Century" w:hAnsi="Century"/>
                <w:sz w:val="22"/>
                <w:szCs w:val="22"/>
              </w:rPr>
            </w:pPr>
            <w:r w:rsidRPr="004B0877">
              <w:rPr>
                <w:rFonts w:ascii="Century" w:hAnsi="Century"/>
                <w:sz w:val="22"/>
                <w:szCs w:val="22"/>
              </w:rPr>
              <w:t>Aşağıdaki tabloda, son beş yıllık süreye ilişkin gelir / gider hesapları verilmiştir.</w:t>
            </w:r>
          </w:p>
          <w:p w:rsidR="004B0877" w:rsidRPr="00B10D90" w:rsidRDefault="004B0877" w:rsidP="00772A45">
            <w:pPr>
              <w:jc w:val="both"/>
              <w:rPr>
                <w:rFonts w:ascii="Century" w:hAnsi="Century"/>
                <w:sz w:val="16"/>
                <w:szCs w:val="16"/>
                <w:highlight w:val="yellow"/>
              </w:rPr>
            </w:pPr>
          </w:p>
        </w:tc>
        <w:tc>
          <w:tcPr>
            <w:tcW w:w="318" w:type="dxa"/>
            <w:gridSpan w:val="7"/>
          </w:tcPr>
          <w:p w:rsidR="00F544B8" w:rsidRPr="00B10D90" w:rsidRDefault="00F544B8" w:rsidP="008D17FE">
            <w:pPr>
              <w:rPr>
                <w:rFonts w:ascii="Century" w:hAnsi="Century"/>
                <w:sz w:val="22"/>
                <w:szCs w:val="22"/>
                <w:highlight w:val="yellow"/>
              </w:rPr>
            </w:pPr>
          </w:p>
        </w:tc>
        <w:tc>
          <w:tcPr>
            <w:tcW w:w="4685" w:type="dxa"/>
            <w:gridSpan w:val="5"/>
          </w:tcPr>
          <w:p w:rsidR="00745B39" w:rsidRPr="004B0877" w:rsidRDefault="00A05141" w:rsidP="00063011">
            <w:pPr>
              <w:rPr>
                <w:rFonts w:ascii="Century" w:hAnsi="Century"/>
                <w:b/>
                <w:color w:val="003366"/>
                <w:sz w:val="22"/>
                <w:szCs w:val="22"/>
              </w:rPr>
            </w:pPr>
            <w:r w:rsidRPr="004B0877">
              <w:rPr>
                <w:rFonts w:ascii="Century" w:hAnsi="Century"/>
                <w:b/>
                <w:color w:val="003366"/>
                <w:sz w:val="22"/>
                <w:szCs w:val="22"/>
              </w:rPr>
              <w:t>3.1.6</w:t>
            </w:r>
            <w:r w:rsidR="00745B39" w:rsidRPr="004B0877">
              <w:rPr>
                <w:rFonts w:ascii="Century" w:hAnsi="Century"/>
                <w:b/>
                <w:color w:val="003366"/>
                <w:sz w:val="22"/>
                <w:szCs w:val="22"/>
              </w:rPr>
              <w:t xml:space="preserve">. </w:t>
            </w:r>
            <w:r w:rsidR="00063011" w:rsidRPr="004B0877">
              <w:rPr>
                <w:rFonts w:ascii="Century" w:hAnsi="Century"/>
                <w:b/>
                <w:color w:val="003366"/>
                <w:sz w:val="22"/>
                <w:szCs w:val="22"/>
              </w:rPr>
              <w:t>Income Statement of the Sector</w:t>
            </w:r>
          </w:p>
          <w:p w:rsidR="00745B39" w:rsidRPr="004B0877" w:rsidRDefault="00745B39" w:rsidP="00806DC9">
            <w:pPr>
              <w:jc w:val="both"/>
              <w:rPr>
                <w:rFonts w:ascii="Century" w:hAnsi="Century" w:cs="Arial"/>
                <w:color w:val="333333"/>
                <w:sz w:val="22"/>
                <w:szCs w:val="22"/>
              </w:rPr>
            </w:pPr>
          </w:p>
          <w:p w:rsidR="008B1B8A" w:rsidRPr="00B10D90" w:rsidRDefault="008B1B8A" w:rsidP="008B1B8A">
            <w:pPr>
              <w:jc w:val="both"/>
              <w:rPr>
                <w:rFonts w:ascii="Century" w:hAnsi="Century" w:cs="Arial"/>
                <w:color w:val="333333"/>
                <w:sz w:val="22"/>
                <w:szCs w:val="22"/>
                <w:highlight w:val="yellow"/>
              </w:rPr>
            </w:pPr>
            <w:r w:rsidRPr="004B0877">
              <w:rPr>
                <w:rFonts w:ascii="Century" w:hAnsi="Century" w:cs="Arial"/>
                <w:color w:val="333333"/>
                <w:sz w:val="22"/>
                <w:szCs w:val="22"/>
              </w:rPr>
              <w:t>In 2</w:t>
            </w:r>
            <w:r w:rsidR="004B0877" w:rsidRPr="004B0877">
              <w:rPr>
                <w:rFonts w:ascii="Century" w:hAnsi="Century" w:cs="Arial"/>
                <w:color w:val="333333"/>
                <w:sz w:val="22"/>
                <w:szCs w:val="22"/>
              </w:rPr>
              <w:t>018</w:t>
            </w:r>
            <w:r w:rsidRPr="004B0877">
              <w:rPr>
                <w:rFonts w:ascii="Century" w:hAnsi="Century" w:cs="Arial"/>
                <w:color w:val="333333"/>
                <w:sz w:val="22"/>
                <w:szCs w:val="22"/>
              </w:rPr>
              <w:t xml:space="preserve">, the sector has recorded </w:t>
            </w:r>
            <w:r w:rsidRPr="004B0877">
              <w:rPr>
                <w:rFonts w:ascii="AbakuTLSymSans" w:hAnsi="AbakuTLSymSans" w:cs="Arial"/>
                <w:bCs/>
                <w:color w:val="333333"/>
                <w:sz w:val="20"/>
                <w:szCs w:val="20"/>
              </w:rPr>
              <w:t>¨</w:t>
            </w:r>
            <w:r w:rsidR="004B0877" w:rsidRPr="004B0877">
              <w:rPr>
                <w:rFonts w:ascii="Century" w:hAnsi="Century" w:cs="Arial"/>
                <w:color w:val="333333"/>
                <w:sz w:val="22"/>
                <w:szCs w:val="22"/>
              </w:rPr>
              <w:t>7</w:t>
            </w:r>
            <w:r w:rsidR="00772A45" w:rsidRPr="004B0877">
              <w:rPr>
                <w:rFonts w:ascii="Century" w:hAnsi="Century" w:cs="Arial"/>
                <w:color w:val="333333"/>
                <w:sz w:val="22"/>
                <w:szCs w:val="22"/>
              </w:rPr>
              <w:t>.</w:t>
            </w:r>
            <w:r w:rsidR="004B0877" w:rsidRPr="004B0877">
              <w:rPr>
                <w:rFonts w:ascii="Century" w:hAnsi="Century" w:cs="Arial"/>
                <w:color w:val="333333"/>
                <w:sz w:val="22"/>
                <w:szCs w:val="22"/>
              </w:rPr>
              <w:t>2</w:t>
            </w:r>
            <w:r w:rsidRPr="004B0877">
              <w:rPr>
                <w:rFonts w:ascii="Century" w:hAnsi="Century" w:cs="Arial"/>
                <w:color w:val="333333"/>
                <w:sz w:val="22"/>
                <w:szCs w:val="22"/>
              </w:rPr>
              <w:t xml:space="preserve"> </w:t>
            </w:r>
            <w:r w:rsidR="00772A45" w:rsidRPr="004B0877">
              <w:rPr>
                <w:rFonts w:ascii="Century" w:hAnsi="Century" w:cs="Arial"/>
                <w:color w:val="333333"/>
                <w:sz w:val="22"/>
                <w:szCs w:val="22"/>
              </w:rPr>
              <w:t xml:space="preserve">billion profits before tax by a </w:t>
            </w:r>
            <w:r w:rsidR="00EE0DEB">
              <w:rPr>
                <w:rFonts w:ascii="Century" w:hAnsi="Century" w:cs="Arial"/>
                <w:color w:val="333333"/>
                <w:sz w:val="22"/>
                <w:szCs w:val="22"/>
              </w:rPr>
              <w:t>44.85</w:t>
            </w:r>
            <w:r w:rsidR="00186832" w:rsidRPr="004B0877">
              <w:rPr>
                <w:rFonts w:ascii="Century" w:hAnsi="Century" w:cs="Arial"/>
                <w:color w:val="333333"/>
                <w:sz w:val="22"/>
                <w:szCs w:val="22"/>
              </w:rPr>
              <w:t>%</w:t>
            </w:r>
            <w:r w:rsidRPr="004B0877">
              <w:rPr>
                <w:rFonts w:ascii="Century" w:hAnsi="Century" w:cs="Arial"/>
                <w:color w:val="333333"/>
                <w:sz w:val="22"/>
                <w:szCs w:val="22"/>
              </w:rPr>
              <w:t xml:space="preserve"> increase compared to previous year. After tax, the sector amounted to </w:t>
            </w:r>
            <w:r w:rsidRPr="004B0877">
              <w:rPr>
                <w:rFonts w:ascii="AbakuTLSymSans" w:hAnsi="AbakuTLSymSans" w:cs="Arial"/>
                <w:bCs/>
                <w:color w:val="333333"/>
                <w:sz w:val="20"/>
                <w:szCs w:val="20"/>
              </w:rPr>
              <w:t>¨</w:t>
            </w:r>
            <w:r w:rsidR="004B0877" w:rsidRPr="004B0877">
              <w:rPr>
                <w:rFonts w:ascii="Century" w:hAnsi="Century" w:cs="Arial"/>
                <w:color w:val="333333"/>
                <w:sz w:val="22"/>
                <w:szCs w:val="22"/>
              </w:rPr>
              <w:t>5</w:t>
            </w:r>
            <w:r w:rsidR="00772A45" w:rsidRPr="004B0877">
              <w:rPr>
                <w:rFonts w:ascii="Century" w:hAnsi="Century" w:cs="Arial"/>
                <w:color w:val="333333"/>
                <w:sz w:val="22"/>
                <w:szCs w:val="22"/>
              </w:rPr>
              <w:t>.7</w:t>
            </w:r>
            <w:r w:rsidR="00EE0DEB">
              <w:rPr>
                <w:rFonts w:ascii="Century" w:hAnsi="Century" w:cs="Arial"/>
                <w:color w:val="333333"/>
                <w:sz w:val="22"/>
                <w:szCs w:val="22"/>
              </w:rPr>
              <w:t>1</w:t>
            </w:r>
            <w:r w:rsidR="00CB4EC1" w:rsidRPr="004B0877">
              <w:rPr>
                <w:rFonts w:ascii="Century" w:hAnsi="Century" w:cs="Arial"/>
                <w:color w:val="333333"/>
                <w:sz w:val="22"/>
                <w:szCs w:val="22"/>
              </w:rPr>
              <w:t xml:space="preserve"> </w:t>
            </w:r>
            <w:r w:rsidR="00772A45" w:rsidRPr="004B0877">
              <w:rPr>
                <w:rFonts w:ascii="Century" w:hAnsi="Century" w:cs="Arial"/>
                <w:color w:val="333333"/>
                <w:sz w:val="22"/>
                <w:szCs w:val="22"/>
              </w:rPr>
              <w:t>billion</w:t>
            </w:r>
            <w:r w:rsidR="00CB4EC1" w:rsidRPr="004B0877">
              <w:rPr>
                <w:rFonts w:ascii="Century" w:hAnsi="Century" w:cs="Arial"/>
                <w:color w:val="333333"/>
                <w:sz w:val="22"/>
                <w:szCs w:val="22"/>
              </w:rPr>
              <w:t xml:space="preserve"> of profit</w:t>
            </w:r>
            <w:r w:rsidRPr="004B0877">
              <w:rPr>
                <w:rFonts w:ascii="Century" w:hAnsi="Century" w:cs="Arial"/>
                <w:color w:val="333333"/>
                <w:sz w:val="22"/>
                <w:szCs w:val="22"/>
              </w:rPr>
              <w:t xml:space="preserve"> which </w:t>
            </w:r>
            <w:r w:rsidR="00B5198B" w:rsidRPr="004B0877">
              <w:rPr>
                <w:rFonts w:ascii="Century" w:hAnsi="Century" w:cs="Arial"/>
                <w:color w:val="333333"/>
                <w:sz w:val="22"/>
                <w:szCs w:val="22"/>
              </w:rPr>
              <w:t xml:space="preserve">is </w:t>
            </w:r>
            <w:r w:rsidR="004B0877" w:rsidRPr="004B0877">
              <w:rPr>
                <w:rFonts w:ascii="Century" w:hAnsi="Century" w:cs="Arial"/>
                <w:color w:val="333333"/>
                <w:sz w:val="22"/>
                <w:szCs w:val="22"/>
              </w:rPr>
              <w:t>52</w:t>
            </w:r>
            <w:r w:rsidR="00772A45" w:rsidRPr="004B0877">
              <w:rPr>
                <w:rFonts w:ascii="Century" w:hAnsi="Century" w:cs="Arial"/>
                <w:color w:val="333333"/>
                <w:sz w:val="22"/>
                <w:szCs w:val="22"/>
              </w:rPr>
              <w:t>.</w:t>
            </w:r>
            <w:r w:rsidR="00EE0DEB">
              <w:rPr>
                <w:rFonts w:ascii="Century" w:hAnsi="Century" w:cs="Arial"/>
                <w:color w:val="333333"/>
                <w:sz w:val="22"/>
                <w:szCs w:val="22"/>
              </w:rPr>
              <w:t>67</w:t>
            </w:r>
            <w:r w:rsidRPr="004B0877">
              <w:rPr>
                <w:rFonts w:ascii="Century" w:hAnsi="Century" w:cs="Arial"/>
                <w:color w:val="333333"/>
                <w:sz w:val="22"/>
                <w:szCs w:val="22"/>
              </w:rPr>
              <w:t>% high</w:t>
            </w:r>
            <w:r w:rsidR="00B5198B" w:rsidRPr="004B0877">
              <w:rPr>
                <w:rFonts w:ascii="Century" w:hAnsi="Century" w:cs="Arial"/>
                <w:color w:val="333333"/>
                <w:sz w:val="22"/>
                <w:szCs w:val="22"/>
              </w:rPr>
              <w:t>er than the</w:t>
            </w:r>
            <w:r w:rsidR="00CB4EC1" w:rsidRPr="004B0877">
              <w:rPr>
                <w:rFonts w:ascii="Century" w:hAnsi="Century" w:cs="Arial"/>
                <w:color w:val="333333"/>
                <w:sz w:val="22"/>
                <w:szCs w:val="22"/>
              </w:rPr>
              <w:t xml:space="preserve"> </w:t>
            </w:r>
            <w:r w:rsidRPr="004B0877">
              <w:rPr>
                <w:rFonts w:ascii="Century" w:hAnsi="Century" w:cs="Arial"/>
                <w:color w:val="333333"/>
                <w:sz w:val="22"/>
                <w:szCs w:val="22"/>
              </w:rPr>
              <w:t xml:space="preserve">previous year level. </w:t>
            </w:r>
          </w:p>
          <w:p w:rsidR="008B1B8A" w:rsidRPr="00B10D90" w:rsidRDefault="008B1B8A" w:rsidP="008B1B8A">
            <w:pPr>
              <w:jc w:val="both"/>
              <w:rPr>
                <w:rFonts w:ascii="Century" w:hAnsi="Century" w:cs="Arial"/>
                <w:color w:val="333333"/>
                <w:sz w:val="22"/>
                <w:szCs w:val="22"/>
                <w:highlight w:val="yellow"/>
              </w:rPr>
            </w:pPr>
          </w:p>
          <w:p w:rsidR="008B1B8A" w:rsidRPr="006E16B2" w:rsidRDefault="008B1B8A" w:rsidP="008B1B8A">
            <w:pPr>
              <w:jc w:val="both"/>
              <w:rPr>
                <w:rFonts w:ascii="Century" w:hAnsi="Century" w:cs="Arial"/>
                <w:color w:val="333333"/>
                <w:sz w:val="22"/>
                <w:szCs w:val="22"/>
              </w:rPr>
            </w:pPr>
            <w:r w:rsidRPr="004B0877">
              <w:rPr>
                <w:rFonts w:ascii="Century" w:hAnsi="Century" w:cs="Arial"/>
                <w:color w:val="333333"/>
                <w:sz w:val="22"/>
                <w:szCs w:val="22"/>
              </w:rPr>
              <w:t xml:space="preserve">During this period, non-life insurance companies reported </w:t>
            </w:r>
            <w:r w:rsidRPr="004B0877">
              <w:rPr>
                <w:rFonts w:ascii="AbakuTLSymSans" w:hAnsi="AbakuTLSymSans" w:cs="Arial"/>
                <w:bCs/>
                <w:color w:val="333333"/>
                <w:sz w:val="20"/>
                <w:szCs w:val="20"/>
              </w:rPr>
              <w:t>¨</w:t>
            </w:r>
            <w:r w:rsidR="004B0877" w:rsidRPr="004B0877">
              <w:rPr>
                <w:rFonts w:ascii="Century" w:hAnsi="Century" w:cs="Arial"/>
                <w:color w:val="333333"/>
                <w:sz w:val="22"/>
                <w:szCs w:val="22"/>
              </w:rPr>
              <w:t>2</w:t>
            </w:r>
            <w:r w:rsidR="00EE0DEB">
              <w:rPr>
                <w:rFonts w:ascii="Century" w:hAnsi="Century" w:cs="Arial"/>
                <w:color w:val="333333"/>
                <w:sz w:val="22"/>
                <w:szCs w:val="22"/>
              </w:rPr>
              <w:t>.</w:t>
            </w:r>
            <w:r w:rsidR="00772A45" w:rsidRPr="004B0877">
              <w:rPr>
                <w:rFonts w:ascii="Century" w:hAnsi="Century" w:cs="Arial"/>
                <w:color w:val="333333"/>
                <w:sz w:val="22"/>
                <w:szCs w:val="22"/>
              </w:rPr>
              <w:t>6</w:t>
            </w:r>
            <w:r w:rsidR="00EE0DEB">
              <w:rPr>
                <w:rFonts w:ascii="Century" w:hAnsi="Century" w:cs="Arial"/>
                <w:color w:val="333333"/>
                <w:sz w:val="22"/>
                <w:szCs w:val="22"/>
              </w:rPr>
              <w:t>7 b</w:t>
            </w:r>
            <w:r w:rsidRPr="004B0877">
              <w:rPr>
                <w:rFonts w:ascii="Century" w:hAnsi="Century" w:cs="Arial"/>
                <w:color w:val="333333"/>
                <w:sz w:val="22"/>
                <w:szCs w:val="22"/>
              </w:rPr>
              <w:t xml:space="preserve">illion net profit while life / pension companies made </w:t>
            </w:r>
            <w:r w:rsidRPr="004B0877">
              <w:rPr>
                <w:rFonts w:ascii="AbakuTLSymSans" w:hAnsi="AbakuTLSymSans" w:cs="Arial"/>
                <w:bCs/>
                <w:color w:val="333333"/>
                <w:sz w:val="20"/>
                <w:szCs w:val="20"/>
              </w:rPr>
              <w:t>¨</w:t>
            </w:r>
            <w:r w:rsidR="004B0877" w:rsidRPr="004B0877">
              <w:rPr>
                <w:rFonts w:ascii="Century" w:hAnsi="Century" w:cs="Arial"/>
                <w:bCs/>
                <w:color w:val="333333"/>
                <w:sz w:val="22"/>
                <w:szCs w:val="22"/>
              </w:rPr>
              <w:t>2</w:t>
            </w:r>
            <w:r w:rsidR="00EE0DEB">
              <w:rPr>
                <w:rFonts w:ascii="Century" w:hAnsi="Century" w:cs="Arial"/>
                <w:color w:val="333333"/>
                <w:sz w:val="22"/>
                <w:szCs w:val="22"/>
              </w:rPr>
              <w:t>.</w:t>
            </w:r>
            <w:r w:rsidR="004B0877" w:rsidRPr="004B0877">
              <w:rPr>
                <w:rFonts w:ascii="Century" w:hAnsi="Century" w:cs="Arial"/>
                <w:color w:val="333333"/>
                <w:sz w:val="22"/>
                <w:szCs w:val="22"/>
              </w:rPr>
              <w:t>7</w:t>
            </w:r>
            <w:r w:rsidR="00EE0DEB">
              <w:rPr>
                <w:rFonts w:ascii="Century" w:hAnsi="Century" w:cs="Arial"/>
                <w:color w:val="333333"/>
                <w:sz w:val="22"/>
                <w:szCs w:val="22"/>
              </w:rPr>
              <w:t>5 b</w:t>
            </w:r>
            <w:r w:rsidRPr="004B0877">
              <w:rPr>
                <w:rFonts w:ascii="Century" w:hAnsi="Century" w:cs="Arial"/>
                <w:color w:val="333333"/>
                <w:sz w:val="22"/>
                <w:szCs w:val="22"/>
              </w:rPr>
              <w:t>illion profit after tax</w:t>
            </w:r>
            <w:r w:rsidRPr="006E16B2">
              <w:rPr>
                <w:rFonts w:ascii="Century" w:hAnsi="Century" w:cs="Arial"/>
                <w:color w:val="333333"/>
                <w:sz w:val="22"/>
                <w:szCs w:val="22"/>
              </w:rPr>
              <w:t xml:space="preserve">. The reinsurance companies operating in the sector reported a profit of </w:t>
            </w:r>
            <w:r w:rsidRPr="006E16B2">
              <w:rPr>
                <w:rFonts w:ascii="AbakuTLSymSans" w:hAnsi="AbakuTLSymSans" w:cs="Arial"/>
                <w:bCs/>
                <w:color w:val="333333"/>
                <w:sz w:val="20"/>
                <w:szCs w:val="20"/>
              </w:rPr>
              <w:t>¨</w:t>
            </w:r>
            <w:r w:rsidR="00EE0DEB">
              <w:rPr>
                <w:rFonts w:ascii="AbakuTLSymSans" w:hAnsi="AbakuTLSymSans" w:cs="Arial"/>
                <w:bCs/>
                <w:color w:val="333333"/>
                <w:sz w:val="20"/>
                <w:szCs w:val="20"/>
              </w:rPr>
              <w:t>0.</w:t>
            </w:r>
            <w:r w:rsidR="004B0877" w:rsidRPr="006E16B2">
              <w:rPr>
                <w:rFonts w:ascii="Century" w:hAnsi="Century" w:cs="Arial"/>
                <w:color w:val="333333"/>
                <w:sz w:val="22"/>
                <w:szCs w:val="22"/>
              </w:rPr>
              <w:t xml:space="preserve">30 </w:t>
            </w:r>
            <w:r w:rsidR="00EE0DEB">
              <w:rPr>
                <w:rFonts w:ascii="Century" w:hAnsi="Century" w:cs="Arial"/>
                <w:color w:val="333333"/>
                <w:sz w:val="22"/>
                <w:szCs w:val="22"/>
              </w:rPr>
              <w:t>b</w:t>
            </w:r>
            <w:r w:rsidR="004B0877" w:rsidRPr="006E16B2">
              <w:rPr>
                <w:rFonts w:ascii="Century" w:hAnsi="Century" w:cs="Arial"/>
                <w:color w:val="333333"/>
                <w:sz w:val="22"/>
                <w:szCs w:val="22"/>
              </w:rPr>
              <w:t>illion in 2018</w:t>
            </w:r>
            <w:r w:rsidRPr="006E16B2">
              <w:rPr>
                <w:rFonts w:ascii="Century" w:hAnsi="Century" w:cs="Arial"/>
                <w:color w:val="333333"/>
                <w:sz w:val="22"/>
                <w:szCs w:val="22"/>
              </w:rPr>
              <w:t>.</w:t>
            </w:r>
          </w:p>
          <w:p w:rsidR="008B1B8A" w:rsidRPr="00B10D90" w:rsidRDefault="008B1B8A" w:rsidP="008B1B8A">
            <w:pPr>
              <w:jc w:val="both"/>
              <w:rPr>
                <w:rFonts w:ascii="Century" w:hAnsi="Century" w:cs="Arial"/>
                <w:color w:val="333333"/>
                <w:sz w:val="22"/>
                <w:szCs w:val="22"/>
                <w:highlight w:val="yellow"/>
              </w:rPr>
            </w:pPr>
          </w:p>
          <w:p w:rsidR="008B1B8A" w:rsidRPr="00B10D90" w:rsidRDefault="008B1B8A" w:rsidP="00772A45">
            <w:pPr>
              <w:jc w:val="both"/>
              <w:rPr>
                <w:rFonts w:ascii="Century" w:hAnsi="Century" w:cs="Arial"/>
                <w:color w:val="333333"/>
                <w:sz w:val="22"/>
                <w:szCs w:val="22"/>
                <w:highlight w:val="yellow"/>
              </w:rPr>
            </w:pPr>
            <w:r w:rsidRPr="004B0877">
              <w:rPr>
                <w:rFonts w:ascii="Century" w:hAnsi="Century" w:cs="Arial"/>
                <w:color w:val="333333"/>
                <w:sz w:val="22"/>
                <w:szCs w:val="22"/>
              </w:rPr>
              <w:t>The following table shows the profit and loss accounts of the Sector over the last five years.</w:t>
            </w:r>
          </w:p>
        </w:tc>
      </w:tr>
      <w:tr w:rsidR="00331642" w:rsidRPr="00B10D90" w:rsidTr="00441D50">
        <w:trPr>
          <w:gridAfter w:val="2"/>
          <w:wAfter w:w="38" w:type="dxa"/>
          <w:trHeight w:val="181"/>
        </w:trPr>
        <w:tc>
          <w:tcPr>
            <w:tcW w:w="9820" w:type="dxa"/>
            <w:gridSpan w:val="14"/>
          </w:tcPr>
          <w:p w:rsidR="0054321D" w:rsidRDefault="0054321D" w:rsidP="00331642">
            <w:pPr>
              <w:pStyle w:val="Caption"/>
              <w:jc w:val="center"/>
              <w:rPr>
                <w:rFonts w:ascii="Century" w:hAnsi="Century"/>
                <w:color w:val="000080"/>
              </w:rPr>
            </w:pPr>
          </w:p>
          <w:p w:rsidR="0054321D" w:rsidRDefault="0054321D" w:rsidP="00331642">
            <w:pPr>
              <w:pStyle w:val="Caption"/>
              <w:jc w:val="center"/>
              <w:rPr>
                <w:rFonts w:ascii="Century" w:hAnsi="Century"/>
                <w:color w:val="000080"/>
              </w:rPr>
            </w:pPr>
          </w:p>
          <w:p w:rsidR="0054321D" w:rsidRDefault="0054321D" w:rsidP="00331642">
            <w:pPr>
              <w:pStyle w:val="Caption"/>
              <w:jc w:val="center"/>
              <w:rPr>
                <w:rFonts w:ascii="Century" w:hAnsi="Century"/>
                <w:color w:val="000080"/>
              </w:rPr>
            </w:pPr>
          </w:p>
          <w:p w:rsidR="0054321D" w:rsidRDefault="0054321D" w:rsidP="00331642">
            <w:pPr>
              <w:pStyle w:val="Caption"/>
              <w:jc w:val="center"/>
              <w:rPr>
                <w:rFonts w:ascii="Century" w:hAnsi="Century"/>
                <w:color w:val="000080"/>
              </w:rPr>
            </w:pPr>
          </w:p>
          <w:p w:rsidR="00331642" w:rsidRPr="004B0877" w:rsidRDefault="00331642" w:rsidP="00331642">
            <w:pPr>
              <w:pStyle w:val="Caption"/>
              <w:jc w:val="center"/>
              <w:rPr>
                <w:rFonts w:ascii="Century" w:hAnsi="Century"/>
                <w:b w:val="0"/>
                <w:i/>
                <w:iCs/>
                <w:color w:val="000080"/>
              </w:rPr>
            </w:pPr>
            <w:r w:rsidRPr="004B0877">
              <w:rPr>
                <w:rFonts w:ascii="Century" w:hAnsi="Century"/>
                <w:color w:val="000080"/>
              </w:rPr>
              <w:lastRenderedPageBreak/>
              <w:t xml:space="preserve">Tablo </w:t>
            </w:r>
            <w:r w:rsidR="005D0DBF" w:rsidRPr="004B0877">
              <w:rPr>
                <w:rFonts w:ascii="Century" w:hAnsi="Century"/>
                <w:color w:val="000080"/>
              </w:rPr>
              <w:t>3</w:t>
            </w:r>
            <w:r w:rsidRPr="004B0877">
              <w:rPr>
                <w:rFonts w:ascii="Century" w:hAnsi="Century"/>
                <w:color w:val="000080"/>
              </w:rPr>
              <w:t>.</w:t>
            </w:r>
            <w:r w:rsidR="005D0DBF" w:rsidRPr="004B0877">
              <w:rPr>
                <w:rFonts w:ascii="Century" w:hAnsi="Century"/>
                <w:color w:val="000080"/>
              </w:rPr>
              <w:t>1</w:t>
            </w:r>
            <w:r w:rsidRPr="004B0877">
              <w:rPr>
                <w:rFonts w:ascii="Century" w:hAnsi="Century"/>
                <w:color w:val="000080"/>
              </w:rPr>
              <w:t>.</w:t>
            </w:r>
            <w:r w:rsidR="005D0DBF" w:rsidRPr="004B0877">
              <w:rPr>
                <w:rFonts w:ascii="Century" w:hAnsi="Century"/>
                <w:color w:val="000080"/>
              </w:rPr>
              <w:t>7</w:t>
            </w:r>
            <w:r w:rsidRPr="004B0877">
              <w:rPr>
                <w:rFonts w:ascii="Century" w:hAnsi="Century"/>
                <w:color w:val="000080"/>
              </w:rPr>
              <w:t xml:space="preserve">: </w:t>
            </w:r>
            <w:r w:rsidRPr="004B0877">
              <w:rPr>
                <w:rFonts w:ascii="Century" w:hAnsi="Century"/>
                <w:bCs w:val="0"/>
                <w:color w:val="000080"/>
              </w:rPr>
              <w:t xml:space="preserve">Gelir - Gider Hesapları – </w:t>
            </w:r>
            <w:r w:rsidRPr="004B0877">
              <w:rPr>
                <w:rFonts w:ascii="Century" w:hAnsi="Century"/>
                <w:b w:val="0"/>
                <w:i/>
                <w:iCs/>
                <w:color w:val="000080"/>
              </w:rPr>
              <w:t>Profit-Loss Accounts</w:t>
            </w:r>
          </w:p>
          <w:p w:rsidR="00B94EE9" w:rsidRPr="004B0877" w:rsidRDefault="004B0877" w:rsidP="00B94EE9">
            <w:pPr>
              <w:jc w:val="center"/>
            </w:pPr>
            <w:r w:rsidRPr="004B0877">
              <w:rPr>
                <w:noProof/>
              </w:rPr>
              <w:drawing>
                <wp:inline distT="0" distB="0" distL="0" distR="0" wp14:anchorId="4A8CA87F" wp14:editId="1128EA5B">
                  <wp:extent cx="6098540" cy="407924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8540" cy="4079240"/>
                          </a:xfrm>
                          <a:prstGeom prst="rect">
                            <a:avLst/>
                          </a:prstGeom>
                          <a:noFill/>
                          <a:ln>
                            <a:noFill/>
                          </a:ln>
                        </pic:spPr>
                      </pic:pic>
                    </a:graphicData>
                  </a:graphic>
                </wp:inline>
              </w:drawing>
            </w:r>
          </w:p>
          <w:p w:rsidR="00331642" w:rsidRPr="004B0877" w:rsidRDefault="00331642" w:rsidP="00CF470D">
            <w:pPr>
              <w:jc w:val="both"/>
              <w:rPr>
                <w:rFonts w:ascii="Century" w:hAnsi="Century" w:cs="Arial"/>
                <w:color w:val="333333"/>
                <w:sz w:val="16"/>
                <w:szCs w:val="16"/>
              </w:rPr>
            </w:pPr>
          </w:p>
        </w:tc>
      </w:tr>
      <w:tr w:rsidR="00331642" w:rsidRPr="00B10D90" w:rsidTr="00441D50">
        <w:trPr>
          <w:gridAfter w:val="2"/>
          <w:wAfter w:w="38" w:type="dxa"/>
          <w:trHeight w:val="181"/>
        </w:trPr>
        <w:tc>
          <w:tcPr>
            <w:tcW w:w="4817" w:type="dxa"/>
            <w:gridSpan w:val="2"/>
          </w:tcPr>
          <w:p w:rsidR="007F4CD1" w:rsidRPr="0054321D" w:rsidRDefault="0054321D" w:rsidP="006E16B2">
            <w:pPr>
              <w:jc w:val="both"/>
              <w:rPr>
                <w:rFonts w:ascii="Century" w:hAnsi="Century"/>
                <w:sz w:val="22"/>
                <w:szCs w:val="22"/>
              </w:rPr>
            </w:pPr>
            <w:r w:rsidRPr="0054321D">
              <w:rPr>
                <w:rFonts w:ascii="Century" w:hAnsi="Century"/>
                <w:sz w:val="22"/>
                <w:szCs w:val="22"/>
              </w:rPr>
              <w:lastRenderedPageBreak/>
              <w:t>Son beş yılda, hayat / emeklilik şirketlerinde teknik ve toplam net kârda düzenli bir artış yaşanırken hayat dışı şirketler de son üç yılda düzenli bir artış söz konusudur.</w:t>
            </w:r>
          </w:p>
        </w:tc>
        <w:tc>
          <w:tcPr>
            <w:tcW w:w="318" w:type="dxa"/>
            <w:gridSpan w:val="7"/>
          </w:tcPr>
          <w:p w:rsidR="00331642" w:rsidRPr="0054321D" w:rsidRDefault="00331642" w:rsidP="008D17FE">
            <w:pPr>
              <w:rPr>
                <w:rFonts w:ascii="Century" w:hAnsi="Century"/>
                <w:sz w:val="22"/>
                <w:szCs w:val="22"/>
              </w:rPr>
            </w:pPr>
          </w:p>
        </w:tc>
        <w:tc>
          <w:tcPr>
            <w:tcW w:w="4685" w:type="dxa"/>
            <w:gridSpan w:val="5"/>
          </w:tcPr>
          <w:p w:rsidR="00331642" w:rsidRDefault="0054321D" w:rsidP="000C3309">
            <w:pPr>
              <w:jc w:val="both"/>
              <w:rPr>
                <w:rFonts w:ascii="Century" w:hAnsi="Century" w:cs="Arial"/>
                <w:color w:val="333333"/>
                <w:sz w:val="22"/>
                <w:szCs w:val="22"/>
              </w:rPr>
            </w:pPr>
            <w:r w:rsidRPr="0054321D">
              <w:rPr>
                <w:rFonts w:ascii="Century" w:hAnsi="Century" w:cs="Arial"/>
                <w:color w:val="333333"/>
                <w:sz w:val="22"/>
                <w:szCs w:val="22"/>
              </w:rPr>
              <w:t>While life / pension</w:t>
            </w:r>
            <w:r w:rsidRPr="0054321D">
              <w:rPr>
                <w:rFonts w:ascii="Century" w:hAnsi="Century"/>
                <w:color w:val="333333"/>
                <w:sz w:val="22"/>
              </w:rPr>
              <w:t xml:space="preserve"> companies </w:t>
            </w:r>
            <w:r w:rsidRPr="0054321D">
              <w:rPr>
                <w:rFonts w:ascii="Century" w:hAnsi="Century" w:cs="Arial"/>
                <w:color w:val="333333"/>
                <w:sz w:val="22"/>
                <w:szCs w:val="22"/>
              </w:rPr>
              <w:t xml:space="preserve">have had a steady increase both </w:t>
            </w:r>
            <w:r w:rsidRPr="0054321D">
              <w:rPr>
                <w:rFonts w:ascii="Century" w:hAnsi="Century"/>
                <w:color w:val="333333"/>
                <w:sz w:val="22"/>
              </w:rPr>
              <w:t xml:space="preserve">in technical </w:t>
            </w:r>
            <w:r w:rsidRPr="0054321D">
              <w:rPr>
                <w:rFonts w:ascii="Century" w:hAnsi="Century" w:cs="Arial"/>
                <w:color w:val="333333"/>
                <w:sz w:val="22"/>
                <w:szCs w:val="22"/>
              </w:rPr>
              <w:t xml:space="preserve">and total profit during last five years, non-life insurance companies have reported technical and total profit in last three years.  </w:t>
            </w:r>
          </w:p>
          <w:p w:rsidR="0054321D" w:rsidRDefault="0054321D" w:rsidP="000C3309">
            <w:pPr>
              <w:jc w:val="both"/>
              <w:rPr>
                <w:rFonts w:ascii="Century" w:hAnsi="Century" w:cs="Arial"/>
                <w:color w:val="333333"/>
                <w:sz w:val="22"/>
                <w:szCs w:val="22"/>
              </w:rPr>
            </w:pPr>
          </w:p>
          <w:p w:rsidR="0054321D" w:rsidRPr="0054321D" w:rsidRDefault="0054321D" w:rsidP="000C3309">
            <w:pPr>
              <w:jc w:val="both"/>
              <w:rPr>
                <w:rFonts w:ascii="Century" w:hAnsi="Century" w:cs="Arial"/>
                <w:color w:val="333333"/>
                <w:sz w:val="22"/>
                <w:szCs w:val="22"/>
              </w:rPr>
            </w:pPr>
          </w:p>
        </w:tc>
      </w:tr>
      <w:tr w:rsidR="00A57301" w:rsidRPr="00B10D90" w:rsidTr="00441D50">
        <w:trPr>
          <w:gridAfter w:val="2"/>
          <w:wAfter w:w="38" w:type="dxa"/>
          <w:trHeight w:val="181"/>
        </w:trPr>
        <w:tc>
          <w:tcPr>
            <w:tcW w:w="4817" w:type="dxa"/>
            <w:gridSpan w:val="2"/>
          </w:tcPr>
          <w:p w:rsidR="00C251B9" w:rsidRPr="0054321D" w:rsidRDefault="00A15AB7" w:rsidP="007D65D8">
            <w:pPr>
              <w:pStyle w:val="Heading2"/>
              <w:tabs>
                <w:tab w:val="left" w:pos="394"/>
                <w:tab w:val="left" w:pos="536"/>
              </w:tabs>
              <w:spacing w:before="0" w:after="0"/>
              <w:ind w:left="0"/>
              <w:rPr>
                <w:rFonts w:ascii="Century" w:hAnsi="Century"/>
                <w:i w:val="0"/>
                <w:color w:val="000080"/>
                <w:sz w:val="22"/>
                <w:szCs w:val="22"/>
              </w:rPr>
            </w:pPr>
            <w:bookmarkStart w:id="199" w:name="_Toc358380200"/>
            <w:r w:rsidRPr="0054321D">
              <w:rPr>
                <w:rFonts w:ascii="Century" w:hAnsi="Century"/>
                <w:i w:val="0"/>
                <w:color w:val="000080"/>
                <w:sz w:val="22"/>
                <w:szCs w:val="22"/>
              </w:rPr>
              <w:t xml:space="preserve"> </w:t>
            </w:r>
            <w:bookmarkStart w:id="200" w:name="_Toc12957672"/>
            <w:r w:rsidR="00C251B9" w:rsidRPr="0054321D">
              <w:rPr>
                <w:rFonts w:ascii="Century" w:hAnsi="Century"/>
                <w:i w:val="0"/>
                <w:color w:val="000080"/>
                <w:sz w:val="22"/>
                <w:szCs w:val="22"/>
              </w:rPr>
              <w:t>Sermaye Yeterliliği</w:t>
            </w:r>
            <w:bookmarkEnd w:id="199"/>
            <w:bookmarkEnd w:id="200"/>
          </w:p>
          <w:p w:rsidR="002B6ED9" w:rsidRPr="0054321D" w:rsidRDefault="002B6ED9" w:rsidP="002B6ED9">
            <w:pPr>
              <w:rPr>
                <w:rFonts w:ascii="Century" w:hAnsi="Century"/>
                <w:sz w:val="16"/>
                <w:szCs w:val="16"/>
              </w:rPr>
            </w:pPr>
          </w:p>
          <w:p w:rsidR="004004DF" w:rsidRPr="0054321D" w:rsidRDefault="00B90F52" w:rsidP="004B693A">
            <w:pPr>
              <w:jc w:val="both"/>
              <w:rPr>
                <w:rFonts w:ascii="Century" w:hAnsi="Century"/>
                <w:sz w:val="22"/>
                <w:szCs w:val="22"/>
              </w:rPr>
            </w:pPr>
            <w:r w:rsidRPr="0054321D">
              <w:rPr>
                <w:rFonts w:ascii="Century" w:hAnsi="Century"/>
                <w:sz w:val="22"/>
                <w:szCs w:val="22"/>
              </w:rPr>
              <w:t xml:space="preserve">Şirketlerin sermaye yeterliliği sonuçlarına göre mevcut özsermaye tutarı hem hayat dışı hem hayat / emeklilik şirketlerinde gerekli özsermaye tutarının üzerindedir. </w:t>
            </w:r>
            <w:r w:rsidR="00E23208" w:rsidRPr="0054321D">
              <w:rPr>
                <w:rFonts w:ascii="Century" w:hAnsi="Century"/>
                <w:sz w:val="22"/>
                <w:szCs w:val="22"/>
              </w:rPr>
              <w:t>S</w:t>
            </w:r>
            <w:r w:rsidRPr="0054321D">
              <w:rPr>
                <w:rFonts w:ascii="Century" w:hAnsi="Century"/>
                <w:sz w:val="22"/>
                <w:szCs w:val="22"/>
              </w:rPr>
              <w:t>ermaye yeterliği rasyosu 201</w:t>
            </w:r>
            <w:r w:rsidR="00DF0154" w:rsidRPr="0054321D">
              <w:rPr>
                <w:rFonts w:ascii="Century" w:hAnsi="Century"/>
                <w:sz w:val="22"/>
                <w:szCs w:val="22"/>
              </w:rPr>
              <w:t>7</w:t>
            </w:r>
            <w:r w:rsidRPr="0054321D">
              <w:rPr>
                <w:rFonts w:ascii="Century" w:hAnsi="Century"/>
                <w:sz w:val="22"/>
                <w:szCs w:val="22"/>
              </w:rPr>
              <w:t xml:space="preserve"> yılında hem hayat dışı şirketlerde hem de hayat / emeklilik şirketlerinde </w:t>
            </w:r>
            <w:r w:rsidR="00E23208" w:rsidRPr="0054321D">
              <w:rPr>
                <w:rFonts w:ascii="Century" w:hAnsi="Century"/>
                <w:sz w:val="22"/>
                <w:szCs w:val="22"/>
              </w:rPr>
              <w:t>art</w:t>
            </w:r>
            <w:r w:rsidR="004B693A" w:rsidRPr="0054321D">
              <w:rPr>
                <w:rFonts w:ascii="Century" w:hAnsi="Century"/>
                <w:sz w:val="22"/>
                <w:szCs w:val="22"/>
              </w:rPr>
              <w:t xml:space="preserve">arken 2018 yılında her iki şirket grubunda </w:t>
            </w:r>
            <w:r w:rsidR="006425DB" w:rsidRPr="0054321D">
              <w:rPr>
                <w:rFonts w:ascii="Century" w:hAnsi="Century"/>
                <w:sz w:val="22"/>
                <w:szCs w:val="22"/>
              </w:rPr>
              <w:t xml:space="preserve">da </w:t>
            </w:r>
            <w:r w:rsidR="004B693A" w:rsidRPr="0054321D">
              <w:rPr>
                <w:rFonts w:ascii="Century" w:hAnsi="Century"/>
                <w:sz w:val="22"/>
                <w:szCs w:val="22"/>
              </w:rPr>
              <w:t>azalmıştır.</w:t>
            </w:r>
          </w:p>
          <w:p w:rsidR="004B693A" w:rsidRPr="0054321D" w:rsidRDefault="004B693A" w:rsidP="004B693A">
            <w:pPr>
              <w:jc w:val="both"/>
              <w:rPr>
                <w:rFonts w:ascii="Century" w:hAnsi="Century"/>
                <w:sz w:val="16"/>
                <w:szCs w:val="16"/>
              </w:rPr>
            </w:pPr>
          </w:p>
        </w:tc>
        <w:tc>
          <w:tcPr>
            <w:tcW w:w="318" w:type="dxa"/>
            <w:gridSpan w:val="7"/>
          </w:tcPr>
          <w:p w:rsidR="00A57301" w:rsidRPr="0054321D" w:rsidRDefault="00A57301" w:rsidP="008D17FE">
            <w:pPr>
              <w:rPr>
                <w:rFonts w:ascii="Century" w:hAnsi="Century"/>
                <w:sz w:val="22"/>
                <w:szCs w:val="22"/>
              </w:rPr>
            </w:pPr>
          </w:p>
        </w:tc>
        <w:tc>
          <w:tcPr>
            <w:tcW w:w="4685" w:type="dxa"/>
            <w:gridSpan w:val="5"/>
          </w:tcPr>
          <w:p w:rsidR="00C251B9" w:rsidRPr="0054321D" w:rsidRDefault="00C251B9" w:rsidP="00C251B9">
            <w:pPr>
              <w:jc w:val="both"/>
              <w:rPr>
                <w:rFonts w:ascii="Century" w:hAnsi="Century"/>
                <w:b/>
                <w:color w:val="003366"/>
                <w:sz w:val="22"/>
                <w:szCs w:val="22"/>
              </w:rPr>
            </w:pPr>
            <w:r w:rsidRPr="0054321D">
              <w:rPr>
                <w:rFonts w:ascii="Century" w:hAnsi="Century"/>
                <w:b/>
                <w:color w:val="003366"/>
                <w:sz w:val="22"/>
                <w:szCs w:val="22"/>
              </w:rPr>
              <w:t>3.</w:t>
            </w:r>
            <w:r w:rsidR="00E832EE" w:rsidRPr="0054321D">
              <w:rPr>
                <w:rFonts w:ascii="Century" w:hAnsi="Century"/>
                <w:b/>
                <w:color w:val="003366"/>
                <w:sz w:val="22"/>
                <w:szCs w:val="22"/>
              </w:rPr>
              <w:t>2</w:t>
            </w:r>
            <w:r w:rsidRPr="0054321D">
              <w:rPr>
                <w:rFonts w:ascii="Century" w:hAnsi="Century"/>
                <w:b/>
                <w:color w:val="003366"/>
                <w:sz w:val="22"/>
                <w:szCs w:val="22"/>
              </w:rPr>
              <w:t xml:space="preserve">. </w:t>
            </w:r>
            <w:r w:rsidR="00673EFB" w:rsidRPr="0054321D">
              <w:rPr>
                <w:rFonts w:ascii="Century" w:hAnsi="Century"/>
                <w:b/>
                <w:color w:val="003366"/>
                <w:sz w:val="22"/>
                <w:szCs w:val="22"/>
              </w:rPr>
              <w:t>Capital Adequacy Ratio</w:t>
            </w:r>
          </w:p>
          <w:p w:rsidR="004C6898" w:rsidRPr="0054321D" w:rsidRDefault="004C6898" w:rsidP="00C251B9">
            <w:pPr>
              <w:jc w:val="both"/>
              <w:rPr>
                <w:rFonts w:ascii="Century" w:hAnsi="Century"/>
                <w:color w:val="333333"/>
                <w:sz w:val="16"/>
                <w:szCs w:val="16"/>
              </w:rPr>
            </w:pPr>
          </w:p>
          <w:p w:rsidR="0054321D" w:rsidRPr="0054321D" w:rsidRDefault="00B90F52" w:rsidP="00186832">
            <w:pPr>
              <w:jc w:val="both"/>
              <w:rPr>
                <w:rFonts w:ascii="Century" w:hAnsi="Century" w:cs="Arial"/>
                <w:color w:val="333333"/>
                <w:sz w:val="22"/>
                <w:szCs w:val="22"/>
              </w:rPr>
            </w:pPr>
            <w:r w:rsidRPr="0054321D">
              <w:rPr>
                <w:rFonts w:ascii="Century" w:hAnsi="Century" w:cs="Arial TUR"/>
                <w:color w:val="333333"/>
                <w:sz w:val="22"/>
                <w:szCs w:val="22"/>
                <w:lang w:eastAsia="tr-TR"/>
              </w:rPr>
              <w:t xml:space="preserve">Equity capital of non-life and life / pension companies satisfies the solvency requirements and is above the required capital level. </w:t>
            </w:r>
            <w:r w:rsidR="0054321D" w:rsidRPr="0054321D">
              <w:rPr>
                <w:rFonts w:ascii="Century" w:hAnsi="Century" w:cs="Arial TUR"/>
                <w:color w:val="333333"/>
                <w:sz w:val="22"/>
                <w:szCs w:val="22"/>
                <w:lang w:eastAsia="tr-TR"/>
              </w:rPr>
              <w:t>Whereas the capital adequacy ratio has increased in both life/pension and non-life companies in 2017, it has decreased during 2018 in both life/pension and non-life companies</w:t>
            </w:r>
            <w:r w:rsidR="0054321D" w:rsidRPr="0054321D">
              <w:rPr>
                <w:rFonts w:ascii="Century" w:hAnsi="Century" w:cs="Arial"/>
                <w:color w:val="333333"/>
                <w:sz w:val="22"/>
                <w:szCs w:val="22"/>
              </w:rPr>
              <w:t xml:space="preserve"> </w:t>
            </w:r>
          </w:p>
        </w:tc>
      </w:tr>
      <w:tr w:rsidR="00922162" w:rsidRPr="00B10D90" w:rsidTr="00441D50">
        <w:trPr>
          <w:gridAfter w:val="2"/>
          <w:wAfter w:w="38" w:type="dxa"/>
          <w:trHeight w:val="181"/>
        </w:trPr>
        <w:tc>
          <w:tcPr>
            <w:tcW w:w="9820" w:type="dxa"/>
            <w:gridSpan w:val="14"/>
          </w:tcPr>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54321D" w:rsidRDefault="0054321D" w:rsidP="00922162">
            <w:pPr>
              <w:jc w:val="center"/>
              <w:rPr>
                <w:rFonts w:ascii="Century" w:hAnsi="Century"/>
                <w:b/>
                <w:color w:val="000080"/>
                <w:sz w:val="20"/>
                <w:szCs w:val="20"/>
              </w:rPr>
            </w:pPr>
          </w:p>
          <w:p w:rsidR="00922162" w:rsidRDefault="00922162" w:rsidP="00922162">
            <w:pPr>
              <w:jc w:val="center"/>
              <w:rPr>
                <w:rFonts w:ascii="Century" w:hAnsi="Century"/>
                <w:bCs/>
                <w:i/>
                <w:color w:val="000080"/>
                <w:sz w:val="20"/>
                <w:szCs w:val="20"/>
              </w:rPr>
            </w:pPr>
            <w:r w:rsidRPr="004B693A">
              <w:rPr>
                <w:rFonts w:ascii="Century" w:hAnsi="Century"/>
                <w:b/>
                <w:color w:val="000080"/>
                <w:sz w:val="20"/>
                <w:szCs w:val="20"/>
              </w:rPr>
              <w:lastRenderedPageBreak/>
              <w:t>Tablo 3.2.</w:t>
            </w:r>
            <w:r w:rsidR="005D0DBF" w:rsidRPr="004B693A">
              <w:rPr>
                <w:rFonts w:ascii="Century" w:hAnsi="Century"/>
                <w:b/>
                <w:color w:val="000080"/>
                <w:sz w:val="20"/>
                <w:szCs w:val="20"/>
              </w:rPr>
              <w:t>1</w:t>
            </w:r>
            <w:r w:rsidRPr="004B693A">
              <w:rPr>
                <w:rFonts w:ascii="Century" w:hAnsi="Century"/>
                <w:b/>
                <w:color w:val="000080"/>
                <w:sz w:val="20"/>
                <w:szCs w:val="20"/>
              </w:rPr>
              <w:t>:</w:t>
            </w:r>
            <w:r w:rsidRPr="004B693A">
              <w:rPr>
                <w:rFonts w:ascii="Century" w:hAnsi="Century"/>
                <w:b/>
                <w:bCs/>
                <w:color w:val="000080"/>
                <w:sz w:val="20"/>
                <w:szCs w:val="20"/>
              </w:rPr>
              <w:t xml:space="preserve"> Sermaye Yeterlilik Rasyosu </w:t>
            </w:r>
            <w:r w:rsidRPr="004B693A">
              <w:rPr>
                <w:rFonts w:ascii="Century" w:hAnsi="Century"/>
                <w:bCs/>
                <w:i/>
                <w:color w:val="000080"/>
                <w:sz w:val="20"/>
                <w:szCs w:val="20"/>
              </w:rPr>
              <w:t xml:space="preserve">– </w:t>
            </w:r>
            <w:r w:rsidR="00673EFB" w:rsidRPr="004B693A">
              <w:rPr>
                <w:rFonts w:ascii="Century" w:hAnsi="Century"/>
                <w:bCs/>
                <w:i/>
                <w:color w:val="000080"/>
                <w:sz w:val="20"/>
                <w:szCs w:val="20"/>
              </w:rPr>
              <w:t xml:space="preserve">Capital Adequacy </w:t>
            </w:r>
            <w:r w:rsidRPr="004B693A">
              <w:rPr>
                <w:rFonts w:ascii="Century" w:hAnsi="Century"/>
                <w:bCs/>
                <w:i/>
                <w:color w:val="000080"/>
                <w:sz w:val="20"/>
                <w:szCs w:val="20"/>
              </w:rPr>
              <w:t>Ratio (*)</w:t>
            </w:r>
          </w:p>
          <w:p w:rsidR="006425DB" w:rsidRDefault="006425DB" w:rsidP="00922162">
            <w:pPr>
              <w:jc w:val="center"/>
              <w:rPr>
                <w:rFonts w:ascii="Century" w:hAnsi="Century"/>
                <w:bCs/>
                <w:i/>
                <w:color w:val="000080"/>
                <w:sz w:val="20"/>
                <w:szCs w:val="20"/>
              </w:rPr>
            </w:pPr>
            <w:r>
              <w:rPr>
                <w:rFonts w:ascii="Century" w:hAnsi="Century"/>
                <w:bCs/>
                <w:i/>
                <w:noProof/>
                <w:color w:val="000080"/>
                <w:sz w:val="20"/>
                <w:szCs w:val="20"/>
              </w:rPr>
              <w:drawing>
                <wp:inline distT="0" distB="0" distL="0" distR="0" wp14:anchorId="69B34CD8" wp14:editId="1E97E59E">
                  <wp:extent cx="6090699" cy="2862470"/>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0920" cy="2862574"/>
                          </a:xfrm>
                          <a:prstGeom prst="rect">
                            <a:avLst/>
                          </a:prstGeom>
                          <a:noFill/>
                          <a:ln>
                            <a:noFill/>
                          </a:ln>
                        </pic:spPr>
                      </pic:pic>
                    </a:graphicData>
                  </a:graphic>
                </wp:inline>
              </w:drawing>
            </w:r>
          </w:p>
          <w:p w:rsidR="00BD5A5D" w:rsidRPr="004B693A" w:rsidRDefault="00F56B0A" w:rsidP="00DF0154">
            <w:pPr>
              <w:jc w:val="both"/>
              <w:rPr>
                <w:rFonts w:ascii="Century" w:hAnsi="Century" w:cs="Arial TUR"/>
                <w:i/>
                <w:sz w:val="16"/>
                <w:szCs w:val="16"/>
                <w:lang w:eastAsia="tr-TR"/>
              </w:rPr>
            </w:pPr>
            <w:r w:rsidRPr="004B693A">
              <w:rPr>
                <w:rFonts w:ascii="Century" w:hAnsi="Century" w:cs="Arial TUR"/>
                <w:i/>
                <w:sz w:val="16"/>
                <w:szCs w:val="16"/>
                <w:lang w:eastAsia="tr-TR"/>
              </w:rPr>
              <w:t xml:space="preserve"> (*</w:t>
            </w:r>
            <w:proofErr w:type="gramStart"/>
            <w:r w:rsidR="00BD5A5D" w:rsidRPr="004B693A">
              <w:rPr>
                <w:rFonts w:ascii="Century" w:hAnsi="Century" w:cs="Arial TUR"/>
                <w:i/>
                <w:sz w:val="16"/>
                <w:szCs w:val="16"/>
                <w:lang w:eastAsia="tr-TR"/>
              </w:rPr>
              <w:t>)</w:t>
            </w:r>
            <w:r w:rsidRPr="004B693A">
              <w:rPr>
                <w:rFonts w:ascii="Century" w:hAnsi="Century" w:cs="Arial TUR"/>
                <w:i/>
                <w:sz w:val="16"/>
                <w:szCs w:val="16"/>
                <w:lang w:eastAsia="tr-TR"/>
              </w:rPr>
              <w:t>11.07.2017</w:t>
            </w:r>
            <w:proofErr w:type="gramEnd"/>
            <w:r w:rsidRPr="004B693A">
              <w:rPr>
                <w:rFonts w:ascii="Century" w:hAnsi="Century" w:cs="Arial TUR"/>
                <w:i/>
                <w:sz w:val="16"/>
                <w:szCs w:val="16"/>
                <w:lang w:eastAsia="tr-TR"/>
              </w:rPr>
              <w:t xml:space="preserve"> tarihinde yönetmelikte yapılan değişiklik ile kaldırılmıştır.</w:t>
            </w:r>
          </w:p>
          <w:p w:rsidR="003A4429" w:rsidRDefault="00F56B0A" w:rsidP="004B693A">
            <w:pPr>
              <w:jc w:val="both"/>
              <w:rPr>
                <w:rFonts w:ascii="Century" w:hAnsi="Century" w:cs="Arial TUR"/>
                <w:i/>
                <w:sz w:val="16"/>
                <w:szCs w:val="16"/>
                <w:lang w:eastAsia="tr-TR"/>
              </w:rPr>
            </w:pPr>
            <w:r w:rsidRPr="004B693A">
              <w:rPr>
                <w:rFonts w:ascii="Century" w:hAnsi="Century" w:cs="Arial TUR"/>
                <w:sz w:val="16"/>
                <w:szCs w:val="16"/>
                <w:lang w:eastAsia="tr-TR"/>
              </w:rPr>
              <w:t xml:space="preserve">(**)  Mevcut Özsermaye / Gerekli Özsermaye * 100 - </w:t>
            </w:r>
            <w:r w:rsidRPr="004B693A">
              <w:rPr>
                <w:rFonts w:ascii="Century" w:hAnsi="Century" w:cs="Arial TUR"/>
                <w:i/>
                <w:sz w:val="16"/>
                <w:szCs w:val="16"/>
                <w:lang w:eastAsia="tr-TR"/>
              </w:rPr>
              <w:t>Total Shareholders’ Equity / Required Shareholders’ Equity * 100</w:t>
            </w:r>
          </w:p>
          <w:p w:rsidR="004B693A" w:rsidRPr="004B693A" w:rsidRDefault="004B693A" w:rsidP="004B693A">
            <w:pPr>
              <w:jc w:val="both"/>
              <w:rPr>
                <w:rFonts w:ascii="Century" w:hAnsi="Century" w:cs="Arial"/>
                <w:color w:val="333333"/>
                <w:sz w:val="20"/>
                <w:szCs w:val="20"/>
              </w:rPr>
            </w:pPr>
          </w:p>
        </w:tc>
      </w:tr>
      <w:tr w:rsidR="00F544B8" w:rsidRPr="00B10D90" w:rsidTr="00441D50">
        <w:trPr>
          <w:gridAfter w:val="2"/>
          <w:wAfter w:w="38" w:type="dxa"/>
        </w:trPr>
        <w:tc>
          <w:tcPr>
            <w:tcW w:w="4817" w:type="dxa"/>
            <w:gridSpan w:val="2"/>
          </w:tcPr>
          <w:p w:rsidR="00F544B8" w:rsidRPr="004B693A" w:rsidRDefault="00A15AB7" w:rsidP="007D65D8">
            <w:pPr>
              <w:pStyle w:val="Heading2"/>
              <w:tabs>
                <w:tab w:val="left" w:pos="394"/>
                <w:tab w:val="left" w:pos="536"/>
              </w:tabs>
              <w:spacing w:before="0" w:after="0"/>
              <w:ind w:left="0"/>
              <w:rPr>
                <w:rFonts w:ascii="Century" w:hAnsi="Century"/>
                <w:i w:val="0"/>
                <w:color w:val="000080"/>
                <w:sz w:val="22"/>
                <w:szCs w:val="22"/>
              </w:rPr>
            </w:pPr>
            <w:bookmarkStart w:id="201" w:name="_Toc358380201"/>
            <w:bookmarkStart w:id="202" w:name="_Toc327793340"/>
            <w:r w:rsidRPr="004B693A">
              <w:rPr>
                <w:rFonts w:ascii="Century" w:hAnsi="Century"/>
                <w:i w:val="0"/>
                <w:color w:val="000080"/>
                <w:sz w:val="22"/>
                <w:szCs w:val="22"/>
              </w:rPr>
              <w:lastRenderedPageBreak/>
              <w:t xml:space="preserve"> </w:t>
            </w:r>
            <w:bookmarkStart w:id="203" w:name="_Toc12957673"/>
            <w:r w:rsidR="00F544B8" w:rsidRPr="004B693A">
              <w:rPr>
                <w:rFonts w:ascii="Century" w:hAnsi="Century"/>
                <w:i w:val="0"/>
                <w:color w:val="000080"/>
                <w:sz w:val="22"/>
                <w:szCs w:val="22"/>
              </w:rPr>
              <w:t>Finansal Oranlar</w:t>
            </w:r>
            <w:bookmarkEnd w:id="201"/>
            <w:bookmarkEnd w:id="203"/>
          </w:p>
          <w:bookmarkEnd w:id="202"/>
          <w:p w:rsidR="00F544B8" w:rsidRPr="004B693A" w:rsidRDefault="00F544B8" w:rsidP="006D69E8">
            <w:pPr>
              <w:jc w:val="both"/>
              <w:rPr>
                <w:rFonts w:ascii="Century" w:hAnsi="Century"/>
                <w:sz w:val="16"/>
                <w:szCs w:val="16"/>
              </w:rPr>
            </w:pPr>
          </w:p>
          <w:p w:rsidR="00F544B8" w:rsidRPr="004B693A" w:rsidRDefault="00F544B8" w:rsidP="00884D81">
            <w:pPr>
              <w:jc w:val="both"/>
              <w:rPr>
                <w:rFonts w:ascii="Century" w:hAnsi="Century"/>
                <w:sz w:val="22"/>
                <w:szCs w:val="22"/>
              </w:rPr>
            </w:pPr>
            <w:r w:rsidRPr="004B693A">
              <w:rPr>
                <w:rFonts w:ascii="Century" w:hAnsi="Century"/>
                <w:sz w:val="22"/>
                <w:szCs w:val="22"/>
              </w:rPr>
              <w:t xml:space="preserve">Sigorta ve emeklilik şirketlerinin yıl sonu bilançolarından elde edilen finansal rasyolar aşağıdaki tabloda </w:t>
            </w:r>
            <w:r w:rsidR="00884D81" w:rsidRPr="004B693A">
              <w:rPr>
                <w:rFonts w:ascii="Century" w:hAnsi="Century"/>
                <w:sz w:val="22"/>
                <w:szCs w:val="22"/>
              </w:rPr>
              <w:t>yer almaktadır.</w:t>
            </w:r>
            <w:r w:rsidRPr="004B693A">
              <w:rPr>
                <w:rFonts w:ascii="Century" w:hAnsi="Century"/>
                <w:sz w:val="22"/>
                <w:szCs w:val="22"/>
              </w:rPr>
              <w:t xml:space="preserve"> </w:t>
            </w:r>
          </w:p>
          <w:p w:rsidR="004B693A" w:rsidRPr="00B10D90" w:rsidRDefault="004B693A" w:rsidP="00884D81">
            <w:pPr>
              <w:jc w:val="both"/>
              <w:rPr>
                <w:rFonts w:ascii="Century" w:hAnsi="Century"/>
                <w:sz w:val="22"/>
                <w:szCs w:val="22"/>
                <w:highlight w:val="yellow"/>
              </w:rPr>
            </w:pPr>
          </w:p>
        </w:tc>
        <w:tc>
          <w:tcPr>
            <w:tcW w:w="318" w:type="dxa"/>
            <w:gridSpan w:val="7"/>
          </w:tcPr>
          <w:p w:rsidR="00F544B8" w:rsidRPr="004B693A" w:rsidRDefault="00F544B8" w:rsidP="006D69E8">
            <w:pPr>
              <w:rPr>
                <w:rFonts w:ascii="Century" w:hAnsi="Century"/>
                <w:sz w:val="22"/>
                <w:szCs w:val="22"/>
              </w:rPr>
            </w:pPr>
          </w:p>
        </w:tc>
        <w:tc>
          <w:tcPr>
            <w:tcW w:w="4685" w:type="dxa"/>
            <w:gridSpan w:val="5"/>
          </w:tcPr>
          <w:p w:rsidR="00F544B8" w:rsidRPr="004B693A" w:rsidRDefault="00F544B8" w:rsidP="003D195C">
            <w:pPr>
              <w:jc w:val="both"/>
              <w:rPr>
                <w:rFonts w:ascii="Century" w:hAnsi="Century"/>
                <w:b/>
                <w:color w:val="003366"/>
                <w:sz w:val="22"/>
                <w:szCs w:val="22"/>
              </w:rPr>
            </w:pPr>
            <w:r w:rsidRPr="004B693A">
              <w:rPr>
                <w:rFonts w:ascii="Century" w:hAnsi="Century"/>
                <w:b/>
                <w:color w:val="003366"/>
                <w:sz w:val="22"/>
                <w:szCs w:val="22"/>
              </w:rPr>
              <w:t>3.</w:t>
            </w:r>
            <w:r w:rsidR="002B6ED9" w:rsidRPr="004B693A">
              <w:rPr>
                <w:rFonts w:ascii="Century" w:hAnsi="Century"/>
                <w:b/>
                <w:color w:val="003366"/>
                <w:sz w:val="22"/>
                <w:szCs w:val="22"/>
              </w:rPr>
              <w:t>3</w:t>
            </w:r>
            <w:r w:rsidRPr="004B693A">
              <w:rPr>
                <w:rFonts w:ascii="Century" w:hAnsi="Century"/>
                <w:b/>
                <w:color w:val="003366"/>
                <w:sz w:val="22"/>
                <w:szCs w:val="22"/>
              </w:rPr>
              <w:t>. Financial Ratios</w:t>
            </w:r>
          </w:p>
          <w:p w:rsidR="00F544B8" w:rsidRPr="004B693A" w:rsidRDefault="00F544B8" w:rsidP="003D195C">
            <w:pPr>
              <w:jc w:val="both"/>
              <w:rPr>
                <w:rFonts w:ascii="Century" w:hAnsi="Century"/>
                <w:color w:val="333333"/>
                <w:sz w:val="16"/>
                <w:szCs w:val="16"/>
              </w:rPr>
            </w:pPr>
          </w:p>
          <w:p w:rsidR="00F544B8" w:rsidRPr="004B693A" w:rsidRDefault="00F544B8" w:rsidP="00443686">
            <w:pPr>
              <w:jc w:val="both"/>
              <w:rPr>
                <w:rFonts w:ascii="Century" w:hAnsi="Century"/>
                <w:color w:val="333333"/>
                <w:sz w:val="22"/>
                <w:szCs w:val="22"/>
              </w:rPr>
            </w:pPr>
            <w:r w:rsidRPr="004B693A">
              <w:rPr>
                <w:rFonts w:ascii="Century" w:hAnsi="Century"/>
                <w:color w:val="333333"/>
                <w:sz w:val="22"/>
                <w:szCs w:val="22"/>
              </w:rPr>
              <w:t xml:space="preserve">The following table </w:t>
            </w:r>
            <w:r w:rsidR="00186832" w:rsidRPr="004B693A">
              <w:rPr>
                <w:rFonts w:ascii="Century" w:hAnsi="Century"/>
                <w:color w:val="333333"/>
                <w:sz w:val="22"/>
                <w:szCs w:val="22"/>
              </w:rPr>
              <w:t>re</w:t>
            </w:r>
            <w:r w:rsidRPr="004B693A">
              <w:rPr>
                <w:rFonts w:ascii="Century" w:hAnsi="Century"/>
                <w:color w:val="333333"/>
                <w:sz w:val="22"/>
                <w:szCs w:val="22"/>
              </w:rPr>
              <w:t xml:space="preserve">presents financial ratios calculated using the balance sheets of insurance and </w:t>
            </w:r>
            <w:r w:rsidR="00657B48" w:rsidRPr="004B693A">
              <w:rPr>
                <w:rFonts w:ascii="Century" w:hAnsi="Century"/>
                <w:color w:val="333333"/>
                <w:sz w:val="22"/>
                <w:szCs w:val="22"/>
              </w:rPr>
              <w:t xml:space="preserve">life / </w:t>
            </w:r>
            <w:r w:rsidRPr="004B693A">
              <w:rPr>
                <w:rFonts w:ascii="Century" w:hAnsi="Century"/>
                <w:color w:val="333333"/>
                <w:sz w:val="22"/>
                <w:szCs w:val="22"/>
              </w:rPr>
              <w:t>pension companies.</w:t>
            </w:r>
          </w:p>
        </w:tc>
      </w:tr>
      <w:tr w:rsidR="00F544B8" w:rsidRPr="00B10D90" w:rsidTr="00441D50">
        <w:trPr>
          <w:gridAfter w:val="2"/>
          <w:wAfter w:w="38" w:type="dxa"/>
          <w:trHeight w:val="284"/>
        </w:trPr>
        <w:tc>
          <w:tcPr>
            <w:tcW w:w="9820" w:type="dxa"/>
            <w:gridSpan w:val="14"/>
          </w:tcPr>
          <w:p w:rsidR="00F544B8" w:rsidRPr="00AD4A05" w:rsidRDefault="00F544B8" w:rsidP="000361D8">
            <w:pPr>
              <w:jc w:val="center"/>
              <w:rPr>
                <w:rFonts w:ascii="Century" w:hAnsi="Century" w:cs="Arial TUR"/>
                <w:i/>
                <w:iCs/>
                <w:color w:val="000080"/>
                <w:sz w:val="20"/>
                <w:szCs w:val="20"/>
                <w:lang w:eastAsia="tr-TR"/>
              </w:rPr>
            </w:pPr>
            <w:r w:rsidRPr="00AD4A05">
              <w:rPr>
                <w:rFonts w:ascii="Century" w:hAnsi="Century"/>
                <w:b/>
                <w:color w:val="000080"/>
                <w:sz w:val="20"/>
                <w:szCs w:val="20"/>
              </w:rPr>
              <w:t>Tablo 3.</w:t>
            </w:r>
            <w:r w:rsidR="00CF166D" w:rsidRPr="00AD4A05">
              <w:rPr>
                <w:rFonts w:ascii="Century" w:hAnsi="Century"/>
                <w:b/>
                <w:color w:val="000080"/>
                <w:sz w:val="20"/>
                <w:szCs w:val="20"/>
              </w:rPr>
              <w:t>3</w:t>
            </w:r>
            <w:r w:rsidRPr="00AD4A05">
              <w:rPr>
                <w:rFonts w:ascii="Century" w:hAnsi="Century"/>
                <w:b/>
                <w:color w:val="000080"/>
                <w:sz w:val="20"/>
                <w:szCs w:val="20"/>
              </w:rPr>
              <w:t xml:space="preserve">.1: </w:t>
            </w:r>
            <w:r w:rsidRPr="00AD4A05">
              <w:rPr>
                <w:rFonts w:ascii="Century" w:hAnsi="Century" w:cs="Arial TUR"/>
                <w:b/>
                <w:bCs/>
                <w:color w:val="000080"/>
                <w:sz w:val="20"/>
                <w:szCs w:val="20"/>
                <w:lang w:eastAsia="tr-TR"/>
              </w:rPr>
              <w:t>Finansal Oranlar -</w:t>
            </w:r>
            <w:r w:rsidRPr="00AD4A05">
              <w:rPr>
                <w:rFonts w:ascii="Century" w:hAnsi="Century" w:cs="Arial TUR"/>
                <w:i/>
                <w:iCs/>
                <w:color w:val="000080"/>
                <w:sz w:val="20"/>
                <w:szCs w:val="20"/>
                <w:lang w:eastAsia="tr-TR"/>
              </w:rPr>
              <w:t xml:space="preserve"> Financial Ratios (%)</w:t>
            </w:r>
          </w:p>
          <w:p w:rsidR="005E54F7" w:rsidRPr="00AD4A05" w:rsidRDefault="00AD4A05" w:rsidP="000361D8">
            <w:pPr>
              <w:jc w:val="center"/>
              <w:rPr>
                <w:rFonts w:ascii="Century" w:hAnsi="Century" w:cs="Arial TUR"/>
                <w:i/>
                <w:iCs/>
                <w:color w:val="000080"/>
                <w:sz w:val="20"/>
                <w:szCs w:val="20"/>
                <w:lang w:eastAsia="tr-TR"/>
              </w:rPr>
            </w:pPr>
            <w:r w:rsidRPr="00AD4A05">
              <w:rPr>
                <w:rFonts w:ascii="Century" w:hAnsi="Century" w:cs="Arial TUR"/>
                <w:i/>
                <w:iCs/>
                <w:noProof/>
                <w:color w:val="000080"/>
                <w:sz w:val="20"/>
                <w:szCs w:val="20"/>
              </w:rPr>
              <w:drawing>
                <wp:inline distT="0" distB="0" distL="0" distR="0" wp14:anchorId="4450AE7F" wp14:editId="66431EA4">
                  <wp:extent cx="6098282" cy="2146852"/>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8540" cy="2146943"/>
                          </a:xfrm>
                          <a:prstGeom prst="rect">
                            <a:avLst/>
                          </a:prstGeom>
                          <a:noFill/>
                          <a:ln>
                            <a:noFill/>
                          </a:ln>
                        </pic:spPr>
                      </pic:pic>
                    </a:graphicData>
                  </a:graphic>
                </wp:inline>
              </w:drawing>
            </w:r>
          </w:p>
          <w:p w:rsidR="00F544B8" w:rsidRPr="00AD4A05" w:rsidRDefault="00F544B8" w:rsidP="00657B48">
            <w:pPr>
              <w:pStyle w:val="Caption"/>
              <w:jc w:val="both"/>
              <w:rPr>
                <w:rFonts w:ascii="Century" w:hAnsi="Century" w:cs="Arial TUR"/>
                <w:b w:val="0"/>
                <w:sz w:val="16"/>
                <w:szCs w:val="16"/>
                <w:lang w:eastAsia="tr-TR"/>
              </w:rPr>
            </w:pPr>
            <w:r w:rsidRPr="00AD4A05">
              <w:rPr>
                <w:rFonts w:ascii="Century" w:hAnsi="Century" w:cs="Arial TUR"/>
                <w:b w:val="0"/>
                <w:sz w:val="16"/>
                <w:szCs w:val="16"/>
                <w:lang w:eastAsia="tr-TR"/>
              </w:rPr>
              <w:t xml:space="preserve">(*)  Özsermaye: Sermaye Yeterliliği Yönetmeliğine göre hesaplanan </w:t>
            </w:r>
            <w:r w:rsidR="003B5A73" w:rsidRPr="00AD4A05">
              <w:rPr>
                <w:rFonts w:ascii="Century" w:hAnsi="Century" w:cs="Arial TUR"/>
                <w:b w:val="0"/>
                <w:sz w:val="16"/>
                <w:szCs w:val="16"/>
                <w:lang w:eastAsia="tr-TR"/>
              </w:rPr>
              <w:t xml:space="preserve">mevcut </w:t>
            </w:r>
            <w:r w:rsidRPr="00AD4A05">
              <w:rPr>
                <w:rFonts w:ascii="Century" w:hAnsi="Century" w:cs="Arial TUR"/>
                <w:b w:val="0"/>
                <w:sz w:val="16"/>
                <w:szCs w:val="16"/>
                <w:lang w:eastAsia="tr-TR"/>
              </w:rPr>
              <w:t xml:space="preserve">özsermaye. </w:t>
            </w:r>
            <w:r w:rsidRPr="00AD4A05">
              <w:rPr>
                <w:rFonts w:ascii="Century" w:hAnsi="Century"/>
                <w:b w:val="0"/>
                <w:i/>
                <w:sz w:val="16"/>
              </w:rPr>
              <w:t xml:space="preserve">Total shareholders’ equity </w:t>
            </w:r>
            <w:r w:rsidRPr="00AD4A05">
              <w:rPr>
                <w:rFonts w:ascii="Century" w:hAnsi="Century" w:cs="Arial TUR"/>
                <w:b w:val="0"/>
                <w:i/>
                <w:sz w:val="16"/>
                <w:szCs w:val="16"/>
                <w:lang w:eastAsia="tr-TR"/>
              </w:rPr>
              <w:t>calculated based on</w:t>
            </w:r>
            <w:r w:rsidRPr="00AD4A05">
              <w:rPr>
                <w:rFonts w:ascii="Century" w:hAnsi="Century"/>
                <w:b w:val="0"/>
                <w:i/>
                <w:sz w:val="16"/>
              </w:rPr>
              <w:t xml:space="preserve"> solvency </w:t>
            </w:r>
            <w:r w:rsidRPr="00AD4A05">
              <w:rPr>
                <w:rFonts w:ascii="Century" w:hAnsi="Century" w:cs="Arial TUR"/>
                <w:b w:val="0"/>
                <w:i/>
                <w:sz w:val="16"/>
                <w:szCs w:val="16"/>
                <w:lang w:eastAsia="tr-TR"/>
              </w:rPr>
              <w:t>requirement method</w:t>
            </w:r>
            <w:r w:rsidRPr="00AD4A05">
              <w:rPr>
                <w:rFonts w:ascii="Century" w:hAnsi="Century"/>
                <w:b w:val="0"/>
                <w:i/>
                <w:sz w:val="16"/>
              </w:rPr>
              <w:t>.</w:t>
            </w:r>
          </w:p>
          <w:p w:rsidR="009E3350" w:rsidRDefault="00F544B8" w:rsidP="001E3F55">
            <w:pPr>
              <w:jc w:val="both"/>
              <w:rPr>
                <w:rFonts w:ascii="Century" w:hAnsi="Century" w:cs="Arial TUR"/>
                <w:i/>
                <w:sz w:val="16"/>
                <w:szCs w:val="16"/>
                <w:lang w:eastAsia="tr-TR"/>
              </w:rPr>
            </w:pPr>
            <w:r w:rsidRPr="00AD4A05">
              <w:rPr>
                <w:rFonts w:ascii="Century" w:hAnsi="Century" w:cs="Arial TUR"/>
                <w:sz w:val="16"/>
                <w:szCs w:val="16"/>
                <w:lang w:eastAsia="tr-TR"/>
              </w:rPr>
              <w:t xml:space="preserve"> (**) Varlık toplamı: </w:t>
            </w:r>
            <w:r w:rsidR="002B6ED9" w:rsidRPr="00AD4A05">
              <w:rPr>
                <w:rFonts w:ascii="Century" w:hAnsi="Century" w:cs="Arial TUR"/>
                <w:sz w:val="16"/>
                <w:szCs w:val="16"/>
                <w:lang w:eastAsia="tr-TR"/>
              </w:rPr>
              <w:t xml:space="preserve">Emeklilik </w:t>
            </w:r>
            <w:r w:rsidR="003B5A73" w:rsidRPr="00AD4A05">
              <w:rPr>
                <w:rFonts w:ascii="Century" w:hAnsi="Century" w:cs="Arial TUR"/>
                <w:sz w:val="16"/>
                <w:szCs w:val="16"/>
                <w:lang w:eastAsia="tr-TR"/>
              </w:rPr>
              <w:t>s</w:t>
            </w:r>
            <w:r w:rsidRPr="00AD4A05">
              <w:rPr>
                <w:rFonts w:ascii="Century" w:hAnsi="Century" w:cs="Arial TUR"/>
                <w:sz w:val="16"/>
                <w:szCs w:val="16"/>
                <w:lang w:eastAsia="tr-TR"/>
              </w:rPr>
              <w:t>aklayıcı şirket</w:t>
            </w:r>
            <w:r w:rsidR="003B5A73" w:rsidRPr="00AD4A05">
              <w:rPr>
                <w:rFonts w:ascii="Century" w:hAnsi="Century" w:cs="Arial TUR"/>
                <w:sz w:val="16"/>
                <w:szCs w:val="16"/>
                <w:lang w:eastAsia="tr-TR"/>
              </w:rPr>
              <w:t>lerind</w:t>
            </w:r>
            <w:r w:rsidRPr="00AD4A05">
              <w:rPr>
                <w:rFonts w:ascii="Century" w:hAnsi="Century" w:cs="Arial TUR"/>
                <w:sz w:val="16"/>
                <w:szCs w:val="16"/>
                <w:lang w:eastAsia="tr-TR"/>
              </w:rPr>
              <w:t xml:space="preserve">en alacaklar hariç </w:t>
            </w:r>
            <w:r w:rsidRPr="00AD4A05">
              <w:rPr>
                <w:rFonts w:ascii="Century" w:hAnsi="Century" w:cs="Arial TUR"/>
                <w:i/>
                <w:sz w:val="16"/>
                <w:szCs w:val="16"/>
                <w:lang w:eastAsia="tr-TR"/>
              </w:rPr>
              <w:t>– Exluded receivables from co</w:t>
            </w:r>
            <w:r w:rsidR="003A4429" w:rsidRPr="00AD4A05">
              <w:rPr>
                <w:rFonts w:ascii="Century" w:hAnsi="Century" w:cs="Arial TUR"/>
                <w:i/>
                <w:sz w:val="16"/>
                <w:szCs w:val="16"/>
                <w:lang w:eastAsia="tr-TR"/>
              </w:rPr>
              <w:t>.</w:t>
            </w:r>
            <w:r w:rsidRPr="00AD4A05">
              <w:rPr>
                <w:rFonts w:ascii="Century" w:hAnsi="Century" w:cs="Arial TUR"/>
                <w:i/>
                <w:sz w:val="16"/>
                <w:szCs w:val="16"/>
                <w:lang w:eastAsia="tr-TR"/>
              </w:rPr>
              <w:t xml:space="preserve"> keeping financial as</w:t>
            </w:r>
            <w:r w:rsidR="00A05141" w:rsidRPr="00AD4A05">
              <w:rPr>
                <w:rFonts w:ascii="Century" w:hAnsi="Century" w:cs="Arial TUR"/>
                <w:i/>
                <w:sz w:val="16"/>
                <w:szCs w:val="16"/>
                <w:lang w:eastAsia="tr-TR"/>
              </w:rPr>
              <w:t>se</w:t>
            </w:r>
            <w:r w:rsidRPr="00AD4A05">
              <w:rPr>
                <w:rFonts w:ascii="Century" w:hAnsi="Century" w:cs="Arial TUR"/>
                <w:i/>
                <w:sz w:val="16"/>
                <w:szCs w:val="16"/>
                <w:lang w:eastAsia="tr-TR"/>
              </w:rPr>
              <w:t>ts.</w:t>
            </w:r>
          </w:p>
          <w:p w:rsidR="001E3F55" w:rsidRPr="00AD4A05" w:rsidRDefault="001E3F55" w:rsidP="001E3F55">
            <w:pPr>
              <w:jc w:val="both"/>
              <w:rPr>
                <w:rFonts w:ascii="Century" w:hAnsi="Century" w:cs="Arial TUR"/>
                <w:i/>
                <w:sz w:val="16"/>
                <w:szCs w:val="16"/>
                <w:lang w:eastAsia="tr-TR"/>
              </w:rPr>
            </w:pPr>
          </w:p>
        </w:tc>
      </w:tr>
      <w:tr w:rsidR="00F544B8" w:rsidRPr="00B10D90" w:rsidTr="00441D50">
        <w:trPr>
          <w:gridAfter w:val="2"/>
          <w:wAfter w:w="38" w:type="dxa"/>
        </w:trPr>
        <w:tc>
          <w:tcPr>
            <w:tcW w:w="4817" w:type="dxa"/>
            <w:gridSpan w:val="2"/>
          </w:tcPr>
          <w:p w:rsidR="001E75B0" w:rsidRPr="0054321D" w:rsidRDefault="009220E1" w:rsidP="001E75B0">
            <w:pPr>
              <w:jc w:val="both"/>
              <w:rPr>
                <w:rFonts w:ascii="Century" w:hAnsi="Century"/>
                <w:sz w:val="22"/>
                <w:szCs w:val="22"/>
              </w:rPr>
            </w:pPr>
            <w:r w:rsidRPr="0054321D">
              <w:rPr>
                <w:rFonts w:ascii="Century" w:hAnsi="Century"/>
                <w:sz w:val="22"/>
                <w:szCs w:val="22"/>
              </w:rPr>
              <w:t>201</w:t>
            </w:r>
            <w:r w:rsidR="00AD4A05" w:rsidRPr="0054321D">
              <w:rPr>
                <w:rFonts w:ascii="Century" w:hAnsi="Century"/>
                <w:sz w:val="22"/>
                <w:szCs w:val="22"/>
              </w:rPr>
              <w:t>8</w:t>
            </w:r>
            <w:r w:rsidRPr="0054321D">
              <w:rPr>
                <w:rFonts w:ascii="Century" w:hAnsi="Century"/>
                <w:sz w:val="22"/>
                <w:szCs w:val="22"/>
              </w:rPr>
              <w:t xml:space="preserve"> yılında hayat dışı sigorta şirketlerinde </w:t>
            </w:r>
            <w:r w:rsidR="001E3F55" w:rsidRPr="0054321D">
              <w:rPr>
                <w:rFonts w:ascii="Century" w:hAnsi="Century"/>
                <w:sz w:val="22"/>
                <w:szCs w:val="22"/>
              </w:rPr>
              <w:t>meydana gelen yaklaşık %20 oranındaki prim artışının etkisiyle prim / özsermaye oranı yükselirken</w:t>
            </w:r>
            <w:r w:rsidR="00F64E9C" w:rsidRPr="0054321D">
              <w:rPr>
                <w:rFonts w:ascii="Century" w:hAnsi="Century"/>
                <w:sz w:val="22"/>
                <w:szCs w:val="22"/>
              </w:rPr>
              <w:t>, hayat / emeklilik şirketlerinde</w:t>
            </w:r>
            <w:r w:rsidRPr="0054321D">
              <w:rPr>
                <w:rFonts w:ascii="Century" w:hAnsi="Century"/>
                <w:sz w:val="22"/>
                <w:szCs w:val="22"/>
              </w:rPr>
              <w:t xml:space="preserve"> prim üretimindeki </w:t>
            </w:r>
            <w:r w:rsidR="001E3F55" w:rsidRPr="0054321D">
              <w:rPr>
                <w:rFonts w:ascii="Century" w:hAnsi="Century"/>
                <w:sz w:val="22"/>
                <w:szCs w:val="22"/>
              </w:rPr>
              <w:t>art</w:t>
            </w:r>
            <w:r w:rsidR="00CE6058" w:rsidRPr="0054321D">
              <w:rPr>
                <w:rFonts w:ascii="Century" w:hAnsi="Century"/>
                <w:sz w:val="22"/>
                <w:szCs w:val="22"/>
              </w:rPr>
              <w:t>ışı</w:t>
            </w:r>
            <w:r w:rsidR="001E3F55" w:rsidRPr="0054321D">
              <w:rPr>
                <w:rFonts w:ascii="Century" w:hAnsi="Century"/>
                <w:sz w:val="22"/>
                <w:szCs w:val="22"/>
              </w:rPr>
              <w:t xml:space="preserve">n düşük oranlarda kalması sonucunda </w:t>
            </w:r>
            <w:r w:rsidR="00F947D0" w:rsidRPr="0054321D">
              <w:rPr>
                <w:rFonts w:ascii="Century" w:hAnsi="Century"/>
                <w:sz w:val="22"/>
                <w:szCs w:val="22"/>
              </w:rPr>
              <w:t xml:space="preserve">prim / özsermaye oranı </w:t>
            </w:r>
            <w:r w:rsidR="001E3F55" w:rsidRPr="0054321D">
              <w:rPr>
                <w:rFonts w:ascii="Century" w:hAnsi="Century"/>
                <w:sz w:val="22"/>
                <w:szCs w:val="22"/>
              </w:rPr>
              <w:t>bir puanlık düşüş göstermiştir.</w:t>
            </w:r>
            <w:r w:rsidR="00575788" w:rsidRPr="0054321D">
              <w:rPr>
                <w:rFonts w:ascii="Century" w:hAnsi="Century"/>
                <w:sz w:val="22"/>
                <w:szCs w:val="22"/>
              </w:rPr>
              <w:t xml:space="preserve"> </w:t>
            </w:r>
            <w:r w:rsidR="001E75B0" w:rsidRPr="0054321D">
              <w:rPr>
                <w:rFonts w:ascii="Century" w:hAnsi="Century"/>
                <w:sz w:val="22"/>
                <w:szCs w:val="22"/>
              </w:rPr>
              <w:t>Hayat dışı şirketlerde prim alacaklarının özsermayeye oranı önemli bir pay teşkil ederken, hayat / eme</w:t>
            </w:r>
            <w:r w:rsidR="00A609C3" w:rsidRPr="0054321D">
              <w:rPr>
                <w:rFonts w:ascii="Century" w:hAnsi="Century"/>
                <w:sz w:val="22"/>
                <w:szCs w:val="22"/>
              </w:rPr>
              <w:t xml:space="preserve">klilik </w:t>
            </w:r>
            <w:r w:rsidR="00A609C3" w:rsidRPr="0054321D">
              <w:rPr>
                <w:rFonts w:ascii="Century" w:hAnsi="Century"/>
                <w:sz w:val="22"/>
                <w:szCs w:val="22"/>
              </w:rPr>
              <w:lastRenderedPageBreak/>
              <w:t>şirketlerinde bu oran %</w:t>
            </w:r>
            <w:r w:rsidR="001E3F55" w:rsidRPr="0054321D">
              <w:rPr>
                <w:rFonts w:ascii="Century" w:hAnsi="Century"/>
                <w:sz w:val="22"/>
                <w:szCs w:val="22"/>
              </w:rPr>
              <w:t>11</w:t>
            </w:r>
            <w:r w:rsidR="001E75B0" w:rsidRPr="0054321D">
              <w:rPr>
                <w:rFonts w:ascii="Century" w:hAnsi="Century"/>
                <w:sz w:val="22"/>
                <w:szCs w:val="22"/>
              </w:rPr>
              <w:t xml:space="preserve"> seviyesindedir.  </w:t>
            </w:r>
          </w:p>
          <w:p w:rsidR="001E75B0" w:rsidRPr="0054321D" w:rsidRDefault="001E3F55" w:rsidP="001E75B0">
            <w:pPr>
              <w:jc w:val="both"/>
              <w:rPr>
                <w:rFonts w:ascii="Century" w:hAnsi="Century"/>
                <w:sz w:val="22"/>
                <w:szCs w:val="22"/>
              </w:rPr>
            </w:pPr>
            <w:r w:rsidRPr="0054321D">
              <w:rPr>
                <w:rFonts w:ascii="Century" w:hAnsi="Century"/>
                <w:sz w:val="22"/>
                <w:szCs w:val="22"/>
              </w:rPr>
              <w:t xml:space="preserve">Sektörde şirketlerin cari oranı hayat dışı sigorta şirketlerinde artarken, hayat / emeklilik şirketlerinde azalmıştır. </w:t>
            </w:r>
            <w:r w:rsidR="001E75B0" w:rsidRPr="0054321D">
              <w:rPr>
                <w:rFonts w:ascii="Century" w:hAnsi="Century"/>
                <w:sz w:val="22"/>
                <w:szCs w:val="22"/>
              </w:rPr>
              <w:t>Karlılık oran</w:t>
            </w:r>
            <w:r w:rsidR="00F947D0" w:rsidRPr="0054321D">
              <w:rPr>
                <w:rFonts w:ascii="Century" w:hAnsi="Century"/>
                <w:sz w:val="22"/>
                <w:szCs w:val="22"/>
              </w:rPr>
              <w:t>lar</w:t>
            </w:r>
            <w:r w:rsidR="001E75B0" w:rsidRPr="0054321D">
              <w:rPr>
                <w:rFonts w:ascii="Century" w:hAnsi="Century"/>
                <w:sz w:val="22"/>
                <w:szCs w:val="22"/>
              </w:rPr>
              <w:t>ı</w:t>
            </w:r>
            <w:r w:rsidR="00F947D0" w:rsidRPr="0054321D">
              <w:rPr>
                <w:rFonts w:ascii="Century" w:hAnsi="Century"/>
                <w:sz w:val="22"/>
                <w:szCs w:val="22"/>
              </w:rPr>
              <w:t xml:space="preserve"> da</w:t>
            </w:r>
            <w:r w:rsidR="001E75B0" w:rsidRPr="0054321D">
              <w:rPr>
                <w:rFonts w:ascii="Century" w:hAnsi="Century"/>
                <w:sz w:val="22"/>
                <w:szCs w:val="22"/>
              </w:rPr>
              <w:t xml:space="preserve"> hayat dışı sigorta şirketlerinde ve hayat / emeklilik şirketlerinde yükselmiştir. </w:t>
            </w:r>
          </w:p>
          <w:p w:rsidR="00300F57" w:rsidRPr="0054321D" w:rsidRDefault="00300F57" w:rsidP="00DD2A76">
            <w:pPr>
              <w:jc w:val="both"/>
              <w:rPr>
                <w:rFonts w:ascii="Century" w:hAnsi="Century"/>
                <w:sz w:val="22"/>
                <w:szCs w:val="22"/>
              </w:rPr>
            </w:pPr>
          </w:p>
          <w:p w:rsidR="00F544B8" w:rsidRPr="0054321D" w:rsidRDefault="00F544B8" w:rsidP="00DD2A76">
            <w:pPr>
              <w:jc w:val="both"/>
              <w:rPr>
                <w:rFonts w:ascii="Century" w:hAnsi="Century"/>
                <w:sz w:val="22"/>
                <w:szCs w:val="22"/>
              </w:rPr>
            </w:pPr>
            <w:r w:rsidRPr="0054321D">
              <w:rPr>
                <w:rFonts w:ascii="Century" w:hAnsi="Century"/>
                <w:sz w:val="22"/>
                <w:szCs w:val="22"/>
              </w:rPr>
              <w:t>Aşağıdaki grafiklerde hayat dışı ile hayat / emeklilik şirketleri ayırımında aktif ve özsermaye k</w:t>
            </w:r>
            <w:r w:rsidR="009C257B" w:rsidRPr="0054321D">
              <w:rPr>
                <w:rFonts w:ascii="Century" w:hAnsi="Century"/>
                <w:sz w:val="22"/>
                <w:szCs w:val="22"/>
              </w:rPr>
              <w:t>â</w:t>
            </w:r>
            <w:r w:rsidRPr="0054321D">
              <w:rPr>
                <w:rFonts w:ascii="Century" w:hAnsi="Century"/>
                <w:sz w:val="22"/>
                <w:szCs w:val="22"/>
              </w:rPr>
              <w:t>rlılık rasyoları yer almaktadır.</w:t>
            </w:r>
          </w:p>
          <w:p w:rsidR="00F544B8" w:rsidRPr="0054321D" w:rsidRDefault="00F544B8" w:rsidP="00DD2A76">
            <w:pPr>
              <w:jc w:val="both"/>
              <w:rPr>
                <w:rFonts w:ascii="Century" w:hAnsi="Century"/>
                <w:sz w:val="22"/>
                <w:szCs w:val="22"/>
              </w:rPr>
            </w:pPr>
          </w:p>
        </w:tc>
        <w:tc>
          <w:tcPr>
            <w:tcW w:w="318" w:type="dxa"/>
            <w:gridSpan w:val="7"/>
          </w:tcPr>
          <w:p w:rsidR="00F544B8" w:rsidRPr="0054321D" w:rsidRDefault="00F544B8" w:rsidP="00E42142">
            <w:pPr>
              <w:rPr>
                <w:rFonts w:ascii="Century" w:hAnsi="Century"/>
                <w:sz w:val="22"/>
              </w:rPr>
            </w:pPr>
          </w:p>
        </w:tc>
        <w:tc>
          <w:tcPr>
            <w:tcW w:w="4685" w:type="dxa"/>
            <w:gridSpan w:val="5"/>
          </w:tcPr>
          <w:p w:rsidR="00163A86" w:rsidRPr="0054321D" w:rsidRDefault="0054321D" w:rsidP="00163A86">
            <w:pPr>
              <w:jc w:val="both"/>
              <w:rPr>
                <w:rFonts w:ascii="Century" w:hAnsi="Century"/>
                <w:color w:val="333333"/>
                <w:sz w:val="22"/>
              </w:rPr>
            </w:pPr>
            <w:r w:rsidRPr="0054321D">
              <w:rPr>
                <w:rFonts w:ascii="Century" w:hAnsi="Century"/>
                <w:color w:val="333333"/>
                <w:sz w:val="22"/>
              </w:rPr>
              <w:t xml:space="preserve">In 2018, </w:t>
            </w:r>
            <w:r w:rsidRPr="0054321D">
              <w:rPr>
                <w:rFonts w:ascii="Century" w:hAnsi="Century" w:cs="Arial"/>
                <w:color w:val="333333"/>
                <w:sz w:val="22"/>
                <w:szCs w:val="22"/>
              </w:rPr>
              <w:t xml:space="preserve">the ratio of premium </w:t>
            </w:r>
            <w:r w:rsidRPr="0054321D">
              <w:rPr>
                <w:rFonts w:ascii="Century" w:hAnsi="Century"/>
                <w:color w:val="333333"/>
                <w:sz w:val="22"/>
              </w:rPr>
              <w:t xml:space="preserve">to equity has increased for non-life insurance companies as a result of an increase of 20% in premium growth, whereas it declined by 1% for life/pension companies as a result of lower level of premium growth. </w:t>
            </w:r>
            <w:r w:rsidR="00163A86" w:rsidRPr="0054321D">
              <w:rPr>
                <w:rFonts w:ascii="Century" w:hAnsi="Century"/>
                <w:color w:val="333333"/>
                <w:sz w:val="22"/>
              </w:rPr>
              <w:t>The ratio of premium receivables over shareholders' equity has a significant share in non-life insurance com</w:t>
            </w:r>
            <w:r w:rsidR="00A609C3" w:rsidRPr="0054321D">
              <w:rPr>
                <w:rFonts w:ascii="Century" w:hAnsi="Century"/>
                <w:color w:val="333333"/>
                <w:sz w:val="22"/>
              </w:rPr>
              <w:t xml:space="preserve">panies, whereas it is about </w:t>
            </w:r>
            <w:r w:rsidR="001E3F55" w:rsidRPr="0054321D">
              <w:rPr>
                <w:rFonts w:ascii="Century" w:hAnsi="Century"/>
                <w:color w:val="333333"/>
                <w:sz w:val="22"/>
              </w:rPr>
              <w:t>11</w:t>
            </w:r>
            <w:r w:rsidR="00163A86" w:rsidRPr="0054321D">
              <w:rPr>
                <w:rFonts w:ascii="Century" w:hAnsi="Century"/>
                <w:color w:val="333333"/>
                <w:sz w:val="22"/>
              </w:rPr>
              <w:t xml:space="preserve">% in life / pension companies. </w:t>
            </w:r>
          </w:p>
          <w:p w:rsidR="00163A86" w:rsidRPr="0054321D" w:rsidRDefault="00163A86" w:rsidP="00163A86">
            <w:pPr>
              <w:jc w:val="both"/>
              <w:rPr>
                <w:rFonts w:ascii="Century" w:hAnsi="Century"/>
                <w:color w:val="333333"/>
                <w:sz w:val="22"/>
              </w:rPr>
            </w:pPr>
          </w:p>
          <w:p w:rsidR="00163A86" w:rsidRPr="0054321D" w:rsidRDefault="001E3F55" w:rsidP="00163A86">
            <w:pPr>
              <w:jc w:val="both"/>
              <w:rPr>
                <w:rFonts w:ascii="Century" w:hAnsi="Century"/>
                <w:color w:val="333333"/>
                <w:sz w:val="22"/>
              </w:rPr>
            </w:pPr>
            <w:r w:rsidRPr="0054321D">
              <w:rPr>
                <w:rFonts w:ascii="Century" w:hAnsi="Century"/>
                <w:color w:val="333333"/>
                <w:sz w:val="22"/>
              </w:rPr>
              <w:t xml:space="preserve">While current ratio has increased for non-life companies, these ratios have decreased for life / pension companies. </w:t>
            </w:r>
            <w:r w:rsidR="00163A86" w:rsidRPr="0054321D">
              <w:rPr>
                <w:rFonts w:ascii="Century" w:hAnsi="Century"/>
                <w:color w:val="333333"/>
                <w:sz w:val="22"/>
              </w:rPr>
              <w:t xml:space="preserve">In addition, profitability ratios </w:t>
            </w:r>
            <w:r w:rsidR="00C23152" w:rsidRPr="0054321D">
              <w:rPr>
                <w:rFonts w:ascii="Century" w:hAnsi="Century"/>
                <w:color w:val="333333"/>
                <w:sz w:val="22"/>
              </w:rPr>
              <w:t xml:space="preserve">has </w:t>
            </w:r>
            <w:proofErr w:type="gramStart"/>
            <w:r w:rsidR="00C23152" w:rsidRPr="0054321D">
              <w:rPr>
                <w:rFonts w:ascii="Century" w:hAnsi="Century"/>
                <w:color w:val="333333"/>
                <w:sz w:val="22"/>
              </w:rPr>
              <w:t>risen</w:t>
            </w:r>
            <w:proofErr w:type="gramEnd"/>
            <w:r w:rsidR="00163A86" w:rsidRPr="0054321D">
              <w:rPr>
                <w:rFonts w:ascii="Century" w:hAnsi="Century"/>
                <w:color w:val="333333"/>
                <w:sz w:val="22"/>
              </w:rPr>
              <w:t xml:space="preserve"> both for life / pension and non-life companies.</w:t>
            </w:r>
          </w:p>
          <w:p w:rsidR="00467A16" w:rsidRPr="0054321D" w:rsidRDefault="00467A16" w:rsidP="000D2B2D">
            <w:pPr>
              <w:jc w:val="both"/>
              <w:rPr>
                <w:rFonts w:ascii="Century" w:hAnsi="Century"/>
                <w:color w:val="333333"/>
                <w:sz w:val="22"/>
              </w:rPr>
            </w:pPr>
          </w:p>
          <w:p w:rsidR="00F544B8" w:rsidRPr="0054321D" w:rsidRDefault="00F544B8" w:rsidP="000D2B2D">
            <w:pPr>
              <w:jc w:val="both"/>
              <w:rPr>
                <w:rFonts w:ascii="Century" w:hAnsi="Century" w:cs="Arial TUR"/>
                <w:color w:val="333333"/>
                <w:sz w:val="22"/>
                <w:szCs w:val="22"/>
                <w:lang w:eastAsia="tr-TR"/>
              </w:rPr>
            </w:pPr>
            <w:r w:rsidRPr="0054321D">
              <w:rPr>
                <w:rFonts w:ascii="Century" w:hAnsi="Century" w:cs="Arial TUR"/>
                <w:color w:val="333333"/>
                <w:sz w:val="22"/>
                <w:szCs w:val="22"/>
                <w:lang w:eastAsia="tr-TR"/>
              </w:rPr>
              <w:t>The following graph shows the return on asset</w:t>
            </w:r>
            <w:r w:rsidR="0010573E" w:rsidRPr="0054321D">
              <w:rPr>
                <w:rFonts w:ascii="Century" w:hAnsi="Century" w:cs="Arial TUR"/>
                <w:color w:val="333333"/>
                <w:sz w:val="22"/>
                <w:szCs w:val="22"/>
                <w:lang w:eastAsia="tr-TR"/>
              </w:rPr>
              <w:t>s</w:t>
            </w:r>
            <w:r w:rsidRPr="0054321D">
              <w:rPr>
                <w:rFonts w:ascii="Century" w:hAnsi="Century" w:cs="Arial TUR"/>
                <w:color w:val="333333"/>
                <w:sz w:val="22"/>
                <w:szCs w:val="22"/>
                <w:lang w:eastAsia="tr-TR"/>
              </w:rPr>
              <w:t xml:space="preserve"> (ROA) and return on equity (ROE) ratios of the industry</w:t>
            </w:r>
            <w:r w:rsidR="00992F1A" w:rsidRPr="0054321D">
              <w:rPr>
                <w:rFonts w:ascii="Century" w:hAnsi="Century" w:cs="Arial TUR"/>
                <w:color w:val="333333"/>
                <w:sz w:val="22"/>
                <w:szCs w:val="22"/>
                <w:lang w:eastAsia="tr-TR"/>
              </w:rPr>
              <w:t xml:space="preserve"> as non-life and life / pension companies</w:t>
            </w:r>
            <w:r w:rsidRPr="0054321D">
              <w:rPr>
                <w:rFonts w:ascii="Century" w:hAnsi="Century" w:cs="Arial TUR"/>
                <w:color w:val="333333"/>
                <w:sz w:val="22"/>
                <w:szCs w:val="22"/>
                <w:lang w:eastAsia="tr-TR"/>
              </w:rPr>
              <w:t>.</w:t>
            </w:r>
          </w:p>
          <w:p w:rsidR="00F544B8" w:rsidRPr="0054321D" w:rsidRDefault="00F544B8" w:rsidP="000D2B2D">
            <w:pPr>
              <w:jc w:val="both"/>
              <w:rPr>
                <w:rFonts w:ascii="Century" w:hAnsi="Century" w:cs="Arial TUR"/>
                <w:color w:val="333333"/>
                <w:sz w:val="22"/>
                <w:szCs w:val="22"/>
                <w:lang w:eastAsia="tr-TR"/>
              </w:rPr>
            </w:pPr>
          </w:p>
        </w:tc>
      </w:tr>
      <w:tr w:rsidR="005D0DBF" w:rsidRPr="00B10D90" w:rsidTr="00441D50">
        <w:trPr>
          <w:gridAfter w:val="2"/>
          <w:wAfter w:w="38" w:type="dxa"/>
          <w:trHeight w:val="3633"/>
        </w:trPr>
        <w:tc>
          <w:tcPr>
            <w:tcW w:w="9820" w:type="dxa"/>
            <w:gridSpan w:val="14"/>
          </w:tcPr>
          <w:p w:rsidR="005D0DBF" w:rsidRDefault="005D0DBF" w:rsidP="00CC62B2">
            <w:pPr>
              <w:pStyle w:val="Caption"/>
              <w:jc w:val="center"/>
              <w:rPr>
                <w:rFonts w:ascii="Century" w:hAnsi="Century"/>
                <w:b w:val="0"/>
                <w:i/>
                <w:color w:val="000080"/>
              </w:rPr>
            </w:pPr>
            <w:bookmarkStart w:id="204" w:name="_Toc170278159"/>
            <w:bookmarkStart w:id="205" w:name="_Toc170665583"/>
            <w:r w:rsidRPr="00370A1C">
              <w:rPr>
                <w:rFonts w:ascii="Century" w:hAnsi="Century"/>
                <w:color w:val="000080"/>
              </w:rPr>
              <w:lastRenderedPageBreak/>
              <w:t>Grafik 3.</w:t>
            </w:r>
            <w:r w:rsidR="00CF166D" w:rsidRPr="00370A1C">
              <w:rPr>
                <w:rFonts w:ascii="Century" w:hAnsi="Century"/>
                <w:color w:val="000080"/>
              </w:rPr>
              <w:t>3</w:t>
            </w:r>
            <w:r w:rsidRPr="00370A1C">
              <w:rPr>
                <w:rFonts w:ascii="Century" w:hAnsi="Century"/>
                <w:color w:val="000080"/>
              </w:rPr>
              <w:t>.1: Aktif K</w:t>
            </w:r>
            <w:r w:rsidR="009C257B" w:rsidRPr="00370A1C">
              <w:rPr>
                <w:rFonts w:ascii="Century" w:hAnsi="Century"/>
                <w:color w:val="000080"/>
              </w:rPr>
              <w:t>â</w:t>
            </w:r>
            <w:r w:rsidRPr="00370A1C">
              <w:rPr>
                <w:rFonts w:ascii="Century" w:hAnsi="Century"/>
                <w:color w:val="000080"/>
              </w:rPr>
              <w:t xml:space="preserve">rlılığı (%) - </w:t>
            </w:r>
            <w:r w:rsidRPr="00370A1C">
              <w:rPr>
                <w:rFonts w:ascii="Century" w:hAnsi="Century"/>
                <w:b w:val="0"/>
                <w:i/>
                <w:color w:val="000080"/>
              </w:rPr>
              <w:t>ROA</w:t>
            </w:r>
            <w:bookmarkEnd w:id="204"/>
            <w:bookmarkEnd w:id="205"/>
            <w:r w:rsidRPr="00370A1C">
              <w:rPr>
                <w:rFonts w:ascii="Century" w:hAnsi="Century"/>
                <w:b w:val="0"/>
                <w:i/>
                <w:color w:val="000080"/>
              </w:rPr>
              <w:t xml:space="preserve"> </w:t>
            </w:r>
          </w:p>
          <w:p w:rsidR="00666A86" w:rsidRPr="00666A86" w:rsidRDefault="00666A86" w:rsidP="00666A86">
            <w:r>
              <w:rPr>
                <w:noProof/>
              </w:rPr>
              <w:drawing>
                <wp:inline distT="0" distB="0" distL="0" distR="0" wp14:anchorId="37FB77FC" wp14:editId="4536C26F">
                  <wp:extent cx="6098650" cy="1971924"/>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8540" cy="1971888"/>
                          </a:xfrm>
                          <a:prstGeom prst="rect">
                            <a:avLst/>
                          </a:prstGeom>
                          <a:noFill/>
                          <a:ln>
                            <a:noFill/>
                          </a:ln>
                        </pic:spPr>
                      </pic:pic>
                    </a:graphicData>
                  </a:graphic>
                </wp:inline>
              </w:drawing>
            </w:r>
          </w:p>
          <w:p w:rsidR="008A623A" w:rsidRPr="00370A1C" w:rsidRDefault="008A623A" w:rsidP="008A623A">
            <w:pPr>
              <w:jc w:val="center"/>
              <w:rPr>
                <w:rFonts w:ascii="Century" w:hAnsi="Century" w:cs="Arial"/>
                <w:color w:val="333333"/>
                <w:sz w:val="22"/>
                <w:szCs w:val="22"/>
              </w:rPr>
            </w:pPr>
          </w:p>
        </w:tc>
      </w:tr>
      <w:tr w:rsidR="005D0DBF" w:rsidRPr="00B10D90" w:rsidTr="00441D50">
        <w:trPr>
          <w:gridAfter w:val="2"/>
          <w:wAfter w:w="38" w:type="dxa"/>
        </w:trPr>
        <w:tc>
          <w:tcPr>
            <w:tcW w:w="9820" w:type="dxa"/>
            <w:gridSpan w:val="14"/>
          </w:tcPr>
          <w:p w:rsidR="005D0DBF" w:rsidRDefault="005D0DBF" w:rsidP="008A623A">
            <w:pPr>
              <w:jc w:val="center"/>
              <w:rPr>
                <w:rFonts w:ascii="Century" w:hAnsi="Century"/>
                <w:i/>
                <w:color w:val="000080"/>
                <w:sz w:val="20"/>
                <w:szCs w:val="20"/>
              </w:rPr>
            </w:pPr>
            <w:bookmarkStart w:id="206" w:name="_Toc170278160"/>
            <w:bookmarkStart w:id="207" w:name="_Toc170665584"/>
            <w:r w:rsidRPr="00370A1C">
              <w:rPr>
                <w:rFonts w:ascii="Century" w:hAnsi="Century"/>
                <w:b/>
                <w:color w:val="000080"/>
                <w:sz w:val="20"/>
                <w:szCs w:val="20"/>
              </w:rPr>
              <w:t>Grafik 3.</w:t>
            </w:r>
            <w:r w:rsidR="00CF166D" w:rsidRPr="00370A1C">
              <w:rPr>
                <w:rFonts w:ascii="Century" w:hAnsi="Century"/>
                <w:b/>
                <w:color w:val="000080"/>
                <w:sz w:val="20"/>
                <w:szCs w:val="20"/>
              </w:rPr>
              <w:t>3</w:t>
            </w:r>
            <w:r w:rsidRPr="00370A1C">
              <w:rPr>
                <w:rFonts w:ascii="Century" w:hAnsi="Century"/>
                <w:b/>
                <w:color w:val="000080"/>
                <w:sz w:val="20"/>
                <w:szCs w:val="20"/>
              </w:rPr>
              <w:t>.2: Özsermaye K</w:t>
            </w:r>
            <w:r w:rsidR="009C257B" w:rsidRPr="00370A1C">
              <w:rPr>
                <w:rFonts w:ascii="Century" w:hAnsi="Century"/>
                <w:b/>
                <w:color w:val="000080"/>
                <w:sz w:val="20"/>
                <w:szCs w:val="20"/>
              </w:rPr>
              <w:t>â</w:t>
            </w:r>
            <w:r w:rsidRPr="00370A1C">
              <w:rPr>
                <w:rFonts w:ascii="Century" w:hAnsi="Century"/>
                <w:b/>
                <w:color w:val="000080"/>
                <w:sz w:val="20"/>
                <w:szCs w:val="20"/>
              </w:rPr>
              <w:t xml:space="preserve">rlılığı (%) – </w:t>
            </w:r>
            <w:r w:rsidRPr="00370A1C">
              <w:rPr>
                <w:rFonts w:ascii="Century" w:hAnsi="Century"/>
                <w:i/>
                <w:color w:val="000080"/>
                <w:sz w:val="20"/>
                <w:szCs w:val="20"/>
              </w:rPr>
              <w:t>ROE</w:t>
            </w:r>
            <w:bookmarkEnd w:id="206"/>
            <w:bookmarkEnd w:id="207"/>
          </w:p>
          <w:p w:rsidR="00666A86" w:rsidRPr="00370A1C" w:rsidRDefault="00666A86" w:rsidP="008A623A">
            <w:pPr>
              <w:jc w:val="center"/>
              <w:rPr>
                <w:rFonts w:ascii="Century" w:hAnsi="Century"/>
                <w:i/>
                <w:color w:val="000080"/>
                <w:sz w:val="20"/>
                <w:szCs w:val="20"/>
              </w:rPr>
            </w:pPr>
            <w:r>
              <w:rPr>
                <w:rFonts w:ascii="Century" w:hAnsi="Century"/>
                <w:i/>
                <w:noProof/>
                <w:color w:val="000080"/>
                <w:sz w:val="20"/>
                <w:szCs w:val="20"/>
              </w:rPr>
              <w:drawing>
                <wp:inline distT="0" distB="0" distL="0" distR="0" wp14:anchorId="60CDE587" wp14:editId="55EB57A4">
                  <wp:extent cx="6099048" cy="193229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9048" cy="1932293"/>
                          </a:xfrm>
                          <a:prstGeom prst="rect">
                            <a:avLst/>
                          </a:prstGeom>
                          <a:noFill/>
                          <a:ln>
                            <a:noFill/>
                          </a:ln>
                        </pic:spPr>
                      </pic:pic>
                    </a:graphicData>
                  </a:graphic>
                </wp:inline>
              </w:drawing>
            </w:r>
          </w:p>
          <w:p w:rsidR="008A623A" w:rsidRPr="00370A1C" w:rsidRDefault="008A623A" w:rsidP="00B45C38">
            <w:pPr>
              <w:jc w:val="center"/>
              <w:rPr>
                <w:rFonts w:ascii="Century" w:hAnsi="Century" w:cs="Arial"/>
                <w:color w:val="333333"/>
                <w:sz w:val="22"/>
                <w:szCs w:val="22"/>
              </w:rPr>
            </w:pPr>
          </w:p>
        </w:tc>
      </w:tr>
      <w:tr w:rsidR="00F544B8" w:rsidRPr="00B10D90" w:rsidTr="00441D50">
        <w:trPr>
          <w:gridAfter w:val="2"/>
          <w:wAfter w:w="38" w:type="dxa"/>
          <w:trHeight w:val="990"/>
        </w:trPr>
        <w:tc>
          <w:tcPr>
            <w:tcW w:w="4817" w:type="dxa"/>
            <w:gridSpan w:val="2"/>
          </w:tcPr>
          <w:p w:rsidR="00F544B8" w:rsidRPr="0054321D" w:rsidRDefault="00A15AB7" w:rsidP="007D65D8">
            <w:pPr>
              <w:pStyle w:val="Heading2"/>
              <w:keepNext w:val="0"/>
              <w:tabs>
                <w:tab w:val="clear" w:pos="717"/>
                <w:tab w:val="num" w:pos="394"/>
              </w:tabs>
              <w:spacing w:before="0" w:after="0"/>
              <w:ind w:left="0"/>
              <w:rPr>
                <w:rFonts w:ascii="Century" w:hAnsi="Century"/>
                <w:i w:val="0"/>
                <w:color w:val="000080"/>
                <w:sz w:val="22"/>
                <w:szCs w:val="22"/>
              </w:rPr>
            </w:pPr>
            <w:bookmarkStart w:id="208" w:name="_Toc358380202"/>
            <w:bookmarkStart w:id="209" w:name="_Toc327793344"/>
            <w:r w:rsidRPr="0054321D">
              <w:rPr>
                <w:rFonts w:ascii="Century" w:hAnsi="Century"/>
                <w:i w:val="0"/>
                <w:color w:val="000080"/>
                <w:sz w:val="22"/>
                <w:szCs w:val="22"/>
              </w:rPr>
              <w:t xml:space="preserve"> </w:t>
            </w:r>
            <w:bookmarkStart w:id="210" w:name="_Toc12957674"/>
            <w:r w:rsidR="00F544B8" w:rsidRPr="0054321D">
              <w:rPr>
                <w:rFonts w:ascii="Century" w:hAnsi="Century"/>
                <w:i w:val="0"/>
                <w:color w:val="000080"/>
                <w:sz w:val="22"/>
                <w:szCs w:val="22"/>
              </w:rPr>
              <w:t>Teknik Oranlar</w:t>
            </w:r>
            <w:bookmarkEnd w:id="208"/>
            <w:bookmarkEnd w:id="210"/>
          </w:p>
          <w:bookmarkEnd w:id="209"/>
          <w:p w:rsidR="00F544B8" w:rsidRPr="0054321D" w:rsidRDefault="00F544B8" w:rsidP="004F46BB">
            <w:pPr>
              <w:jc w:val="both"/>
              <w:rPr>
                <w:rFonts w:ascii="Century" w:hAnsi="Century"/>
                <w:sz w:val="18"/>
                <w:szCs w:val="18"/>
              </w:rPr>
            </w:pPr>
          </w:p>
          <w:p w:rsidR="001E75B0" w:rsidRPr="0054321D" w:rsidRDefault="005D414A" w:rsidP="004F46BB">
            <w:pPr>
              <w:jc w:val="both"/>
              <w:rPr>
                <w:rFonts w:ascii="Century" w:hAnsi="Century"/>
                <w:sz w:val="22"/>
                <w:szCs w:val="22"/>
              </w:rPr>
            </w:pPr>
            <w:r w:rsidRPr="0054321D">
              <w:rPr>
                <w:rFonts w:ascii="Century" w:hAnsi="Century"/>
                <w:sz w:val="22"/>
                <w:szCs w:val="22"/>
              </w:rPr>
              <w:t>Hayat dışı şirketlerde toplam prim üretimindeki artış hızı 201</w:t>
            </w:r>
            <w:r w:rsidR="004260AC" w:rsidRPr="0054321D">
              <w:rPr>
                <w:rFonts w:ascii="Century" w:hAnsi="Century"/>
                <w:sz w:val="22"/>
                <w:szCs w:val="22"/>
              </w:rPr>
              <w:t>8</w:t>
            </w:r>
            <w:r w:rsidRPr="0054321D">
              <w:rPr>
                <w:rFonts w:ascii="Century" w:hAnsi="Century"/>
                <w:sz w:val="22"/>
                <w:szCs w:val="22"/>
              </w:rPr>
              <w:t xml:space="preserve"> yılında </w:t>
            </w:r>
            <w:r w:rsidR="004260AC" w:rsidRPr="0054321D">
              <w:rPr>
                <w:rFonts w:ascii="Century" w:hAnsi="Century"/>
                <w:sz w:val="22"/>
                <w:szCs w:val="22"/>
              </w:rPr>
              <w:t>artarken</w:t>
            </w:r>
            <w:r w:rsidRPr="0054321D">
              <w:rPr>
                <w:rFonts w:ascii="Century" w:hAnsi="Century"/>
                <w:sz w:val="22"/>
                <w:szCs w:val="22"/>
              </w:rPr>
              <w:t xml:space="preserve"> hayat / emeklilik şirketlerinde </w:t>
            </w:r>
            <w:r w:rsidR="004260AC" w:rsidRPr="0054321D">
              <w:rPr>
                <w:rFonts w:ascii="Century" w:hAnsi="Century"/>
                <w:sz w:val="22"/>
                <w:szCs w:val="22"/>
              </w:rPr>
              <w:t>son üç yılın en düşük seviyesinde gerçekleşmiştir.</w:t>
            </w:r>
            <w:r w:rsidRPr="0054321D">
              <w:rPr>
                <w:rFonts w:ascii="Century" w:hAnsi="Century"/>
                <w:sz w:val="22"/>
                <w:szCs w:val="22"/>
              </w:rPr>
              <w:t xml:space="preserve"> </w:t>
            </w:r>
            <w:r w:rsidR="001E75B0" w:rsidRPr="0054321D">
              <w:rPr>
                <w:rFonts w:ascii="Century" w:hAnsi="Century"/>
                <w:sz w:val="22"/>
                <w:szCs w:val="22"/>
              </w:rPr>
              <w:t>Hayat dı</w:t>
            </w:r>
            <w:r w:rsidRPr="0054321D">
              <w:rPr>
                <w:rFonts w:ascii="Century" w:hAnsi="Century"/>
                <w:sz w:val="22"/>
                <w:szCs w:val="22"/>
              </w:rPr>
              <w:t>şı şirketlerde prim üretimi 201</w:t>
            </w:r>
            <w:r w:rsidR="00502B19" w:rsidRPr="0054321D">
              <w:rPr>
                <w:rFonts w:ascii="Century" w:hAnsi="Century"/>
                <w:sz w:val="22"/>
                <w:szCs w:val="22"/>
              </w:rPr>
              <w:t>7</w:t>
            </w:r>
            <w:r w:rsidRPr="0054321D">
              <w:rPr>
                <w:rFonts w:ascii="Century" w:hAnsi="Century"/>
                <w:sz w:val="22"/>
                <w:szCs w:val="22"/>
              </w:rPr>
              <w:t xml:space="preserve"> yılında</w:t>
            </w:r>
            <w:r w:rsidR="00502B19" w:rsidRPr="0054321D">
              <w:rPr>
                <w:rFonts w:ascii="Century" w:hAnsi="Century"/>
                <w:sz w:val="22"/>
                <w:szCs w:val="22"/>
              </w:rPr>
              <w:t xml:space="preserve"> yaklaşık</w:t>
            </w:r>
            <w:r w:rsidRPr="0054321D">
              <w:rPr>
                <w:rFonts w:ascii="Century" w:hAnsi="Century"/>
                <w:sz w:val="22"/>
                <w:szCs w:val="22"/>
              </w:rPr>
              <w:t xml:space="preserve"> %</w:t>
            </w:r>
            <w:r w:rsidR="00502B19" w:rsidRPr="0054321D">
              <w:rPr>
                <w:rFonts w:ascii="Century" w:hAnsi="Century"/>
                <w:sz w:val="22"/>
                <w:szCs w:val="22"/>
              </w:rPr>
              <w:t>12</w:t>
            </w:r>
            <w:r w:rsidR="001E75B0" w:rsidRPr="0054321D">
              <w:rPr>
                <w:rFonts w:ascii="Century" w:hAnsi="Century"/>
                <w:sz w:val="22"/>
                <w:szCs w:val="22"/>
              </w:rPr>
              <w:t xml:space="preserve"> oranında artarken 201</w:t>
            </w:r>
            <w:r w:rsidR="00EF50B3" w:rsidRPr="0054321D">
              <w:rPr>
                <w:rFonts w:ascii="Century" w:hAnsi="Century"/>
                <w:sz w:val="22"/>
                <w:szCs w:val="22"/>
              </w:rPr>
              <w:t>8 yılında artış oranı %2</w:t>
            </w:r>
            <w:r w:rsidR="00502B19" w:rsidRPr="0054321D">
              <w:rPr>
                <w:rFonts w:ascii="Century" w:hAnsi="Century"/>
                <w:sz w:val="22"/>
                <w:szCs w:val="22"/>
              </w:rPr>
              <w:t>0</w:t>
            </w:r>
            <w:r w:rsidR="00EF50B3" w:rsidRPr="0054321D">
              <w:rPr>
                <w:rFonts w:ascii="Century" w:hAnsi="Century"/>
                <w:sz w:val="22"/>
                <w:szCs w:val="22"/>
              </w:rPr>
              <w:t>’</w:t>
            </w:r>
            <w:r w:rsidR="00502B19" w:rsidRPr="0054321D">
              <w:rPr>
                <w:rFonts w:ascii="Century" w:hAnsi="Century"/>
                <w:sz w:val="22"/>
                <w:szCs w:val="22"/>
              </w:rPr>
              <w:t>ye</w:t>
            </w:r>
            <w:r w:rsidR="00EF50B3" w:rsidRPr="0054321D">
              <w:rPr>
                <w:rFonts w:ascii="Century" w:hAnsi="Century"/>
                <w:sz w:val="22"/>
                <w:szCs w:val="22"/>
              </w:rPr>
              <w:t xml:space="preserve"> yükselmiştir.</w:t>
            </w:r>
            <w:r w:rsidRPr="0054321D">
              <w:rPr>
                <w:rFonts w:ascii="Century" w:hAnsi="Century"/>
                <w:sz w:val="22"/>
                <w:szCs w:val="22"/>
              </w:rPr>
              <w:t xml:space="preserve"> </w:t>
            </w:r>
            <w:r w:rsidR="001E75B0" w:rsidRPr="0054321D">
              <w:rPr>
                <w:rFonts w:ascii="Century" w:hAnsi="Century"/>
                <w:sz w:val="22"/>
                <w:szCs w:val="22"/>
              </w:rPr>
              <w:t>Hayat / emeklilik şirketlerinde ise 201</w:t>
            </w:r>
            <w:r w:rsidR="00502B19" w:rsidRPr="0054321D">
              <w:rPr>
                <w:rFonts w:ascii="Century" w:hAnsi="Century"/>
                <w:sz w:val="22"/>
                <w:szCs w:val="22"/>
              </w:rPr>
              <w:t>7</w:t>
            </w:r>
            <w:r w:rsidR="001E75B0" w:rsidRPr="0054321D">
              <w:rPr>
                <w:rFonts w:ascii="Century" w:hAnsi="Century"/>
                <w:sz w:val="22"/>
                <w:szCs w:val="22"/>
              </w:rPr>
              <w:t xml:space="preserve"> yılında </w:t>
            </w:r>
            <w:r w:rsidR="00502B19" w:rsidRPr="0054321D">
              <w:rPr>
                <w:rFonts w:ascii="Century" w:hAnsi="Century"/>
                <w:sz w:val="22"/>
                <w:szCs w:val="22"/>
              </w:rPr>
              <w:t>34</w:t>
            </w:r>
            <w:r w:rsidRPr="0054321D">
              <w:rPr>
                <w:rFonts w:ascii="Century" w:hAnsi="Century"/>
                <w:sz w:val="22"/>
                <w:szCs w:val="22"/>
              </w:rPr>
              <w:t>’l</w:t>
            </w:r>
            <w:r w:rsidR="00502B19" w:rsidRPr="0054321D">
              <w:rPr>
                <w:rFonts w:ascii="Century" w:hAnsi="Century"/>
                <w:sz w:val="22"/>
                <w:szCs w:val="22"/>
              </w:rPr>
              <w:t>ü</w:t>
            </w:r>
            <w:r w:rsidRPr="0054321D">
              <w:rPr>
                <w:rFonts w:ascii="Century" w:hAnsi="Century"/>
                <w:sz w:val="22"/>
                <w:szCs w:val="22"/>
              </w:rPr>
              <w:t>k büyüme sonrası 201</w:t>
            </w:r>
            <w:r w:rsidR="00502B19" w:rsidRPr="0054321D">
              <w:rPr>
                <w:rFonts w:ascii="Century" w:hAnsi="Century"/>
                <w:sz w:val="22"/>
                <w:szCs w:val="22"/>
              </w:rPr>
              <w:t>8</w:t>
            </w:r>
            <w:r w:rsidRPr="0054321D">
              <w:rPr>
                <w:rFonts w:ascii="Century" w:hAnsi="Century"/>
                <w:sz w:val="22"/>
                <w:szCs w:val="22"/>
              </w:rPr>
              <w:t xml:space="preserve"> yılında </w:t>
            </w:r>
            <w:r w:rsidR="00502B19" w:rsidRPr="0054321D">
              <w:rPr>
                <w:rFonts w:ascii="Century" w:hAnsi="Century"/>
                <w:sz w:val="22"/>
                <w:szCs w:val="22"/>
              </w:rPr>
              <w:t xml:space="preserve">kredi hacmindeki daralmanın da etkisiyle </w:t>
            </w:r>
            <w:r w:rsidR="00C618F7">
              <w:rPr>
                <w:rFonts w:ascii="Century" w:hAnsi="Century"/>
                <w:sz w:val="22"/>
                <w:szCs w:val="22"/>
              </w:rPr>
              <w:t>büyüme oranı</w:t>
            </w:r>
            <w:r w:rsidR="001E75B0" w:rsidRPr="0054321D">
              <w:rPr>
                <w:rFonts w:ascii="Century" w:hAnsi="Century"/>
                <w:sz w:val="22"/>
                <w:szCs w:val="22"/>
              </w:rPr>
              <w:t xml:space="preserve"> %</w:t>
            </w:r>
            <w:r w:rsidR="00502B19" w:rsidRPr="0054321D">
              <w:rPr>
                <w:rFonts w:ascii="Century" w:hAnsi="Century"/>
                <w:sz w:val="22"/>
                <w:szCs w:val="22"/>
              </w:rPr>
              <w:t>6</w:t>
            </w:r>
            <w:r w:rsidR="00C618F7">
              <w:rPr>
                <w:rFonts w:ascii="Century" w:hAnsi="Century"/>
                <w:sz w:val="22"/>
                <w:szCs w:val="22"/>
              </w:rPr>
              <w:t>’ya düşmüştür.</w:t>
            </w:r>
          </w:p>
          <w:p w:rsidR="00F544B8" w:rsidRPr="0054321D" w:rsidRDefault="001E75B0" w:rsidP="004F46BB">
            <w:pPr>
              <w:jc w:val="both"/>
              <w:rPr>
                <w:rFonts w:ascii="Century" w:hAnsi="Century"/>
                <w:sz w:val="22"/>
                <w:szCs w:val="22"/>
              </w:rPr>
            </w:pPr>
            <w:r w:rsidRPr="0054321D">
              <w:rPr>
                <w:rFonts w:ascii="Century" w:hAnsi="Century"/>
                <w:sz w:val="22"/>
                <w:szCs w:val="22"/>
              </w:rPr>
              <w:lastRenderedPageBreak/>
              <w:t xml:space="preserve">Teknik oranlara ilişkin aşağıdaki tabloda görüldüğü üzere hayat dışı </w:t>
            </w:r>
            <w:r w:rsidR="00C11AD7" w:rsidRPr="0054321D">
              <w:rPr>
                <w:rFonts w:ascii="Century" w:hAnsi="Century"/>
                <w:sz w:val="22"/>
                <w:szCs w:val="22"/>
              </w:rPr>
              <w:t>ve Hayat / emeklilik şirketlerinde teknik karlılık yıllar itibariyle</w:t>
            </w:r>
            <w:r w:rsidRPr="0054321D">
              <w:rPr>
                <w:rFonts w:ascii="Century" w:hAnsi="Century"/>
                <w:sz w:val="22"/>
                <w:szCs w:val="22"/>
              </w:rPr>
              <w:t xml:space="preserve"> artmaya devam etmiştir.</w:t>
            </w:r>
          </w:p>
        </w:tc>
        <w:tc>
          <w:tcPr>
            <w:tcW w:w="318" w:type="dxa"/>
            <w:gridSpan w:val="7"/>
          </w:tcPr>
          <w:p w:rsidR="00F544B8" w:rsidRPr="0054321D" w:rsidRDefault="00F544B8" w:rsidP="004F46BB">
            <w:pPr>
              <w:rPr>
                <w:rFonts w:ascii="Century" w:hAnsi="Century"/>
                <w:sz w:val="22"/>
                <w:szCs w:val="22"/>
              </w:rPr>
            </w:pPr>
          </w:p>
        </w:tc>
        <w:tc>
          <w:tcPr>
            <w:tcW w:w="4685" w:type="dxa"/>
            <w:gridSpan w:val="5"/>
          </w:tcPr>
          <w:p w:rsidR="00F544B8" w:rsidRPr="0054321D" w:rsidRDefault="00F544B8" w:rsidP="004F46BB">
            <w:pPr>
              <w:rPr>
                <w:rFonts w:ascii="Century" w:hAnsi="Century"/>
                <w:b/>
                <w:color w:val="003366"/>
                <w:sz w:val="22"/>
                <w:szCs w:val="22"/>
              </w:rPr>
            </w:pPr>
            <w:r w:rsidRPr="0054321D">
              <w:rPr>
                <w:rFonts w:ascii="Century" w:hAnsi="Century"/>
                <w:b/>
                <w:color w:val="003366"/>
                <w:sz w:val="22"/>
                <w:szCs w:val="22"/>
              </w:rPr>
              <w:t>3.4. Technical Ratios</w:t>
            </w:r>
          </w:p>
          <w:p w:rsidR="00F544B8" w:rsidRPr="0054321D" w:rsidRDefault="00F544B8" w:rsidP="004F46BB">
            <w:pPr>
              <w:rPr>
                <w:rFonts w:ascii="Century" w:hAnsi="Century"/>
                <w:color w:val="333333"/>
                <w:sz w:val="18"/>
                <w:szCs w:val="18"/>
              </w:rPr>
            </w:pPr>
          </w:p>
          <w:p w:rsidR="0054321D" w:rsidRPr="0054321D" w:rsidRDefault="0054321D" w:rsidP="0054321D">
            <w:pPr>
              <w:jc w:val="both"/>
              <w:rPr>
                <w:rFonts w:ascii="Century" w:hAnsi="Century"/>
                <w:color w:val="333333"/>
                <w:sz w:val="22"/>
                <w:szCs w:val="22"/>
              </w:rPr>
            </w:pPr>
            <w:r w:rsidRPr="0054321D">
              <w:rPr>
                <w:rFonts w:ascii="Century" w:hAnsi="Century"/>
                <w:color w:val="333333"/>
                <w:sz w:val="22"/>
                <w:szCs w:val="22"/>
                <w:lang w:val="en"/>
              </w:rPr>
              <w:t xml:space="preserve">In 2018, total written premium growth rate for non-life companies has risen while it has been lowest level of last three years for life/pension companies. </w:t>
            </w:r>
            <w:r w:rsidRPr="0054321D">
              <w:rPr>
                <w:rFonts w:ascii="Century" w:hAnsi="Century"/>
                <w:color w:val="333333"/>
                <w:sz w:val="22"/>
                <w:szCs w:val="22"/>
              </w:rPr>
              <w:t xml:space="preserve">Non-life premium volume has increased by 20% in 2018 after a growth of 12% in 2017. Life/pension companies’ premium volume has increased by 34% in 2017; however, premium growth rate dropped to 6% in 2018 as a result of decrease in credit volume. </w:t>
            </w:r>
          </w:p>
          <w:p w:rsidR="00163A86" w:rsidRPr="0054321D" w:rsidRDefault="00163A86" w:rsidP="004F46BB">
            <w:pPr>
              <w:jc w:val="both"/>
              <w:rPr>
                <w:rFonts w:ascii="Century" w:hAnsi="Century" w:cs="Arial"/>
                <w:color w:val="333333"/>
                <w:sz w:val="22"/>
                <w:szCs w:val="22"/>
              </w:rPr>
            </w:pPr>
          </w:p>
          <w:p w:rsidR="00D90088" w:rsidRPr="0054321D" w:rsidRDefault="00163A86" w:rsidP="004F46BB">
            <w:pPr>
              <w:jc w:val="both"/>
              <w:rPr>
                <w:rFonts w:ascii="Century" w:hAnsi="Century" w:cs="Arial"/>
                <w:color w:val="333333"/>
                <w:sz w:val="22"/>
                <w:szCs w:val="22"/>
              </w:rPr>
            </w:pPr>
            <w:r w:rsidRPr="0054321D">
              <w:rPr>
                <w:rFonts w:ascii="Century" w:hAnsi="Century"/>
                <w:color w:val="333333"/>
                <w:sz w:val="22"/>
                <w:szCs w:val="22"/>
              </w:rPr>
              <w:lastRenderedPageBreak/>
              <w:t>As it is seen on the table below, technical profitability of non-life and life/pension companies continue</w:t>
            </w:r>
            <w:r w:rsidR="00177739" w:rsidRPr="0054321D">
              <w:rPr>
                <w:rFonts w:ascii="Century" w:hAnsi="Century"/>
                <w:color w:val="333333"/>
                <w:sz w:val="22"/>
                <w:szCs w:val="22"/>
              </w:rPr>
              <w:t>s</w:t>
            </w:r>
            <w:r w:rsidRPr="0054321D">
              <w:rPr>
                <w:rFonts w:ascii="Century" w:hAnsi="Century"/>
                <w:color w:val="333333"/>
                <w:sz w:val="22"/>
                <w:szCs w:val="22"/>
              </w:rPr>
              <w:t xml:space="preserve"> to rise by years.</w:t>
            </w:r>
          </w:p>
        </w:tc>
      </w:tr>
      <w:tr w:rsidR="00F544B8" w:rsidRPr="00B10D90" w:rsidTr="00441D50">
        <w:trPr>
          <w:gridAfter w:val="2"/>
          <w:wAfter w:w="38" w:type="dxa"/>
          <w:trHeight w:val="70"/>
        </w:trPr>
        <w:tc>
          <w:tcPr>
            <w:tcW w:w="4817" w:type="dxa"/>
            <w:gridSpan w:val="2"/>
          </w:tcPr>
          <w:p w:rsidR="00F544B8" w:rsidRPr="00B10D90" w:rsidRDefault="00F544B8" w:rsidP="004F46BB">
            <w:pPr>
              <w:pStyle w:val="Heading3"/>
              <w:keepNext w:val="0"/>
              <w:numPr>
                <w:ilvl w:val="0"/>
                <w:numId w:val="0"/>
              </w:numPr>
              <w:spacing w:before="0" w:after="0"/>
              <w:jc w:val="both"/>
              <w:rPr>
                <w:rFonts w:ascii="Century" w:hAnsi="Century"/>
                <w:color w:val="000080"/>
                <w:sz w:val="16"/>
                <w:szCs w:val="16"/>
                <w:highlight w:val="yellow"/>
              </w:rPr>
            </w:pPr>
          </w:p>
        </w:tc>
        <w:tc>
          <w:tcPr>
            <w:tcW w:w="318" w:type="dxa"/>
            <w:gridSpan w:val="7"/>
          </w:tcPr>
          <w:p w:rsidR="00F544B8" w:rsidRPr="00B10D90" w:rsidRDefault="00F544B8" w:rsidP="004F46BB">
            <w:pPr>
              <w:rPr>
                <w:rFonts w:ascii="Century" w:hAnsi="Century"/>
                <w:sz w:val="22"/>
                <w:szCs w:val="22"/>
                <w:highlight w:val="yellow"/>
              </w:rPr>
            </w:pPr>
          </w:p>
        </w:tc>
        <w:tc>
          <w:tcPr>
            <w:tcW w:w="4685" w:type="dxa"/>
            <w:gridSpan w:val="5"/>
          </w:tcPr>
          <w:p w:rsidR="00F544B8" w:rsidRPr="00B10D90" w:rsidRDefault="00F544B8" w:rsidP="004F46BB">
            <w:pPr>
              <w:rPr>
                <w:rFonts w:ascii="Century" w:hAnsi="Century"/>
                <w:b/>
                <w:color w:val="003366"/>
                <w:sz w:val="16"/>
                <w:szCs w:val="16"/>
                <w:highlight w:val="yellow"/>
              </w:rPr>
            </w:pPr>
          </w:p>
        </w:tc>
      </w:tr>
      <w:tr w:rsidR="00F544B8" w:rsidRPr="00B10D90" w:rsidTr="00441D50">
        <w:trPr>
          <w:gridAfter w:val="2"/>
          <w:wAfter w:w="38" w:type="dxa"/>
          <w:trHeight w:val="3619"/>
        </w:trPr>
        <w:tc>
          <w:tcPr>
            <w:tcW w:w="9820" w:type="dxa"/>
            <w:gridSpan w:val="14"/>
          </w:tcPr>
          <w:p w:rsidR="00F544B8" w:rsidRPr="004260AC" w:rsidRDefault="00F544B8" w:rsidP="004F46BB">
            <w:pPr>
              <w:pStyle w:val="Caption"/>
              <w:jc w:val="center"/>
              <w:rPr>
                <w:rFonts w:ascii="Century" w:hAnsi="Century"/>
                <w:b w:val="0"/>
                <w:bCs w:val="0"/>
                <w:i/>
                <w:color w:val="000080"/>
              </w:rPr>
            </w:pPr>
            <w:bookmarkStart w:id="211" w:name="_Toc170665551"/>
            <w:r w:rsidRPr="004260AC">
              <w:rPr>
                <w:rFonts w:ascii="Century" w:hAnsi="Century"/>
                <w:color w:val="000080"/>
              </w:rPr>
              <w:t xml:space="preserve">Tablo </w:t>
            </w:r>
            <w:r w:rsidR="00CF166D" w:rsidRPr="004260AC">
              <w:rPr>
                <w:rFonts w:ascii="Century" w:hAnsi="Century"/>
                <w:color w:val="000080"/>
              </w:rPr>
              <w:t>3</w:t>
            </w:r>
            <w:r w:rsidRPr="004260AC">
              <w:rPr>
                <w:rFonts w:ascii="Century" w:hAnsi="Century"/>
                <w:color w:val="000080"/>
              </w:rPr>
              <w:t>.4.</w:t>
            </w:r>
            <w:r w:rsidR="00CF166D" w:rsidRPr="004260AC">
              <w:rPr>
                <w:rFonts w:ascii="Century" w:hAnsi="Century"/>
                <w:color w:val="000080"/>
              </w:rPr>
              <w:t>1</w:t>
            </w:r>
            <w:r w:rsidRPr="004260AC">
              <w:rPr>
                <w:rFonts w:ascii="Century" w:hAnsi="Century"/>
                <w:color w:val="000080"/>
              </w:rPr>
              <w:t xml:space="preserve">: </w:t>
            </w:r>
            <w:r w:rsidRPr="004260AC">
              <w:rPr>
                <w:rFonts w:ascii="Century" w:hAnsi="Century"/>
                <w:bCs w:val="0"/>
                <w:color w:val="000080"/>
              </w:rPr>
              <w:t xml:space="preserve">Teknik Oranlar </w:t>
            </w:r>
            <w:r w:rsidRPr="004260AC">
              <w:rPr>
                <w:rFonts w:ascii="Century" w:hAnsi="Century"/>
                <w:b w:val="0"/>
                <w:bCs w:val="0"/>
                <w:color w:val="000080"/>
              </w:rPr>
              <w:t xml:space="preserve">– </w:t>
            </w:r>
            <w:r w:rsidRPr="004260AC">
              <w:rPr>
                <w:rFonts w:ascii="Century" w:hAnsi="Century"/>
                <w:b w:val="0"/>
                <w:bCs w:val="0"/>
                <w:i/>
                <w:color w:val="000080"/>
              </w:rPr>
              <w:t>Technical Ratios</w:t>
            </w:r>
            <w:bookmarkEnd w:id="211"/>
          </w:p>
          <w:p w:rsidR="00DC57F2" w:rsidRPr="004260AC" w:rsidRDefault="003838D6" w:rsidP="004F46BB">
            <w:r>
              <w:rPr>
                <w:noProof/>
              </w:rPr>
              <w:drawing>
                <wp:inline distT="0" distB="0" distL="0" distR="0" wp14:anchorId="408E0220" wp14:editId="22F44D69">
                  <wp:extent cx="6098540" cy="183705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8540" cy="1837055"/>
                          </a:xfrm>
                          <a:prstGeom prst="rect">
                            <a:avLst/>
                          </a:prstGeom>
                          <a:noFill/>
                          <a:ln>
                            <a:noFill/>
                          </a:ln>
                        </pic:spPr>
                      </pic:pic>
                    </a:graphicData>
                  </a:graphic>
                </wp:inline>
              </w:drawing>
            </w:r>
          </w:p>
          <w:p w:rsidR="00F544B8" w:rsidRPr="004260AC" w:rsidRDefault="00F544B8" w:rsidP="004F46BB">
            <w:pPr>
              <w:rPr>
                <w:rFonts w:ascii="Century" w:hAnsi="Century" w:cs="Arial TUR"/>
                <w:i/>
                <w:sz w:val="16"/>
                <w:szCs w:val="16"/>
                <w:lang w:eastAsia="tr-TR"/>
              </w:rPr>
            </w:pPr>
            <w:r w:rsidRPr="004260AC">
              <w:rPr>
                <w:rFonts w:ascii="Century" w:hAnsi="Century" w:cs="Arial TUR"/>
                <w:sz w:val="16"/>
                <w:szCs w:val="16"/>
                <w:lang w:eastAsia="tr-TR"/>
              </w:rPr>
              <w:t>(*) Bölüşmeli treteler esas alınarak hesaplanmıştır. -</w:t>
            </w:r>
            <w:r w:rsidRPr="004260AC">
              <w:rPr>
                <w:rFonts w:ascii="Century" w:hAnsi="Century" w:cs="Arial TUR"/>
                <w:i/>
                <w:sz w:val="16"/>
                <w:szCs w:val="16"/>
                <w:lang w:eastAsia="tr-TR"/>
              </w:rPr>
              <w:t xml:space="preserve"> Calculated as considering for only proportional treties.</w:t>
            </w:r>
          </w:p>
          <w:p w:rsidR="00F544B8" w:rsidRPr="004260AC" w:rsidRDefault="00F544B8" w:rsidP="004F46BB">
            <w:pPr>
              <w:rPr>
                <w:rFonts w:ascii="Century" w:hAnsi="Century"/>
                <w:sz w:val="16"/>
                <w:szCs w:val="16"/>
              </w:rPr>
            </w:pPr>
          </w:p>
        </w:tc>
      </w:tr>
      <w:tr w:rsidR="00F544B8" w:rsidRPr="00B10D90" w:rsidTr="00441D50">
        <w:trPr>
          <w:gridAfter w:val="4"/>
          <w:wAfter w:w="73" w:type="dxa"/>
          <w:trHeight w:val="181"/>
        </w:trPr>
        <w:tc>
          <w:tcPr>
            <w:tcW w:w="4817" w:type="dxa"/>
            <w:gridSpan w:val="2"/>
            <w:shd w:val="clear" w:color="auto" w:fill="auto"/>
          </w:tcPr>
          <w:p w:rsidR="006A5CFD" w:rsidRPr="00502B19" w:rsidRDefault="00E1403F" w:rsidP="009C4925">
            <w:pPr>
              <w:jc w:val="both"/>
              <w:rPr>
                <w:rFonts w:ascii="Century" w:hAnsi="Century"/>
                <w:sz w:val="22"/>
                <w:szCs w:val="22"/>
              </w:rPr>
            </w:pPr>
            <w:r w:rsidRPr="00502B19">
              <w:rPr>
                <w:rFonts w:ascii="Century" w:hAnsi="Century"/>
                <w:sz w:val="22"/>
                <w:szCs w:val="22"/>
              </w:rPr>
              <w:t>Hayat dışı ile hayat / emeklilik şirketleri ayrımında hasar, masraf ve teknik kârlılık oranları aşağıda grafikler üzerinde gösterilmiştir.</w:t>
            </w:r>
          </w:p>
          <w:p w:rsidR="009C4925" w:rsidRPr="00B10D90" w:rsidRDefault="009C4925" w:rsidP="009C4925">
            <w:pPr>
              <w:jc w:val="both"/>
              <w:rPr>
                <w:rFonts w:ascii="Century" w:hAnsi="Century"/>
                <w:sz w:val="20"/>
                <w:szCs w:val="20"/>
                <w:highlight w:val="yellow"/>
              </w:rPr>
            </w:pPr>
          </w:p>
        </w:tc>
        <w:tc>
          <w:tcPr>
            <w:tcW w:w="318" w:type="dxa"/>
            <w:gridSpan w:val="7"/>
            <w:shd w:val="clear" w:color="auto" w:fill="auto"/>
          </w:tcPr>
          <w:p w:rsidR="00F544B8" w:rsidRPr="00B10D90" w:rsidRDefault="00F544B8" w:rsidP="008D17FE">
            <w:pPr>
              <w:rPr>
                <w:rFonts w:ascii="Century" w:hAnsi="Century"/>
                <w:sz w:val="22"/>
                <w:szCs w:val="22"/>
                <w:highlight w:val="yellow"/>
              </w:rPr>
            </w:pPr>
          </w:p>
        </w:tc>
        <w:tc>
          <w:tcPr>
            <w:tcW w:w="4650" w:type="dxa"/>
            <w:gridSpan w:val="3"/>
            <w:shd w:val="clear" w:color="auto" w:fill="auto"/>
          </w:tcPr>
          <w:p w:rsidR="00F544B8" w:rsidRPr="00502B19" w:rsidRDefault="00F544B8" w:rsidP="006027FD">
            <w:pPr>
              <w:jc w:val="both"/>
              <w:rPr>
                <w:rFonts w:ascii="Century" w:hAnsi="Century"/>
                <w:color w:val="333333"/>
                <w:sz w:val="22"/>
                <w:szCs w:val="22"/>
              </w:rPr>
            </w:pPr>
            <w:r w:rsidRPr="00502B19">
              <w:rPr>
                <w:rFonts w:ascii="Century" w:hAnsi="Century"/>
                <w:color w:val="333333"/>
                <w:sz w:val="22"/>
                <w:szCs w:val="22"/>
              </w:rPr>
              <w:t>Technical ratios are show</w:t>
            </w:r>
            <w:r w:rsidR="001C316F" w:rsidRPr="00502B19">
              <w:rPr>
                <w:rFonts w:ascii="Century" w:hAnsi="Century"/>
                <w:color w:val="333333"/>
                <w:sz w:val="22"/>
                <w:szCs w:val="22"/>
              </w:rPr>
              <w:t>n</w:t>
            </w:r>
            <w:r w:rsidRPr="00502B19">
              <w:rPr>
                <w:rFonts w:ascii="Century" w:hAnsi="Century"/>
                <w:color w:val="333333"/>
                <w:sz w:val="22"/>
                <w:szCs w:val="22"/>
              </w:rPr>
              <w:t xml:space="preserve"> </w:t>
            </w:r>
            <w:r w:rsidR="001C316F" w:rsidRPr="00502B19">
              <w:rPr>
                <w:rFonts w:ascii="Century" w:hAnsi="Century"/>
                <w:color w:val="333333"/>
                <w:sz w:val="22"/>
                <w:szCs w:val="22"/>
              </w:rPr>
              <w:t>in</w:t>
            </w:r>
            <w:r w:rsidRPr="00502B19">
              <w:rPr>
                <w:rFonts w:ascii="Century" w:hAnsi="Century"/>
                <w:color w:val="333333"/>
                <w:sz w:val="22"/>
                <w:szCs w:val="22"/>
              </w:rPr>
              <w:t xml:space="preserve"> the graph </w:t>
            </w:r>
            <w:r w:rsidR="00226340" w:rsidRPr="00502B19">
              <w:rPr>
                <w:rFonts w:ascii="Century" w:hAnsi="Century"/>
                <w:color w:val="333333"/>
                <w:sz w:val="22"/>
                <w:szCs w:val="22"/>
              </w:rPr>
              <w:t xml:space="preserve">below </w:t>
            </w:r>
            <w:r w:rsidRPr="00502B19">
              <w:rPr>
                <w:rFonts w:ascii="Century" w:hAnsi="Century"/>
                <w:color w:val="333333"/>
                <w:sz w:val="22"/>
                <w:szCs w:val="22"/>
              </w:rPr>
              <w:t xml:space="preserve">for non-life </w:t>
            </w:r>
            <w:r w:rsidR="009A3B2D" w:rsidRPr="00502B19">
              <w:rPr>
                <w:rFonts w:ascii="Century" w:hAnsi="Century"/>
                <w:color w:val="333333"/>
                <w:sz w:val="22"/>
                <w:szCs w:val="22"/>
              </w:rPr>
              <w:t xml:space="preserve">and life / pension </w:t>
            </w:r>
            <w:r w:rsidRPr="00502B19">
              <w:rPr>
                <w:rFonts w:ascii="Century" w:hAnsi="Century"/>
                <w:color w:val="333333"/>
                <w:sz w:val="22"/>
                <w:szCs w:val="22"/>
              </w:rPr>
              <w:t>companies.</w:t>
            </w:r>
          </w:p>
          <w:p w:rsidR="00F544B8" w:rsidRPr="00B10D90" w:rsidRDefault="00F544B8" w:rsidP="006027FD">
            <w:pPr>
              <w:jc w:val="both"/>
              <w:rPr>
                <w:rFonts w:ascii="Century" w:hAnsi="Century"/>
                <w:color w:val="333333"/>
                <w:sz w:val="22"/>
                <w:szCs w:val="22"/>
                <w:highlight w:val="yellow"/>
              </w:rPr>
            </w:pPr>
          </w:p>
        </w:tc>
      </w:tr>
      <w:tr w:rsidR="00F544B8" w:rsidRPr="00B10D90" w:rsidTr="00441D50">
        <w:trPr>
          <w:gridAfter w:val="4"/>
          <w:wAfter w:w="73" w:type="dxa"/>
          <w:trHeight w:val="2694"/>
        </w:trPr>
        <w:tc>
          <w:tcPr>
            <w:tcW w:w="9785" w:type="dxa"/>
            <w:gridSpan w:val="12"/>
            <w:shd w:val="clear" w:color="auto" w:fill="auto"/>
          </w:tcPr>
          <w:p w:rsidR="001F0780" w:rsidRPr="00F74C8D" w:rsidRDefault="001F0780" w:rsidP="001F0780">
            <w:pPr>
              <w:rPr>
                <w:rFonts w:ascii="Century" w:hAnsi="Century"/>
                <w:i/>
                <w:color w:val="000080"/>
                <w:sz w:val="20"/>
                <w:szCs w:val="20"/>
              </w:rPr>
            </w:pPr>
            <w:r w:rsidRPr="00F74C8D">
              <w:rPr>
                <w:rFonts w:ascii="Century" w:hAnsi="Century"/>
                <w:b/>
                <w:color w:val="000080"/>
                <w:sz w:val="20"/>
                <w:szCs w:val="20"/>
              </w:rPr>
              <w:t xml:space="preserve">Grafik 3.4.1: Hayat Dışı Şirketler Teknik Oranları (Brüt) </w:t>
            </w:r>
            <w:r w:rsidRPr="00F74C8D">
              <w:rPr>
                <w:rFonts w:ascii="Century" w:hAnsi="Century"/>
                <w:i/>
                <w:color w:val="000080"/>
                <w:sz w:val="20"/>
                <w:szCs w:val="20"/>
              </w:rPr>
              <w:t>Non-Life Companies Technical Ratios (%)</w:t>
            </w:r>
          </w:p>
          <w:p w:rsidR="00F544B8" w:rsidRPr="00F74C8D" w:rsidRDefault="00F74C8D" w:rsidP="00DC57F2">
            <w:pPr>
              <w:rPr>
                <w:rFonts w:ascii="Century" w:hAnsi="Century"/>
                <w:i/>
                <w:color w:val="000080"/>
                <w:sz w:val="20"/>
                <w:szCs w:val="20"/>
              </w:rPr>
            </w:pPr>
            <w:r w:rsidRPr="00F74C8D">
              <w:rPr>
                <w:rFonts w:ascii="Century" w:hAnsi="Century"/>
                <w:i/>
                <w:noProof/>
                <w:color w:val="000080"/>
                <w:sz w:val="20"/>
                <w:szCs w:val="20"/>
              </w:rPr>
              <w:drawing>
                <wp:inline distT="0" distB="0" distL="0" distR="0" wp14:anchorId="2EBF750C" wp14:editId="01FA160B">
                  <wp:extent cx="6066845" cy="2226365"/>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66790" cy="2226345"/>
                          </a:xfrm>
                          <a:prstGeom prst="rect">
                            <a:avLst/>
                          </a:prstGeom>
                          <a:noFill/>
                          <a:ln>
                            <a:noFill/>
                          </a:ln>
                        </pic:spPr>
                      </pic:pic>
                    </a:graphicData>
                  </a:graphic>
                </wp:inline>
              </w:drawing>
            </w:r>
          </w:p>
        </w:tc>
      </w:tr>
      <w:tr w:rsidR="001E75B0" w:rsidRPr="00B10D90" w:rsidTr="00441D50">
        <w:trPr>
          <w:gridAfter w:val="4"/>
          <w:wAfter w:w="73" w:type="dxa"/>
          <w:trHeight w:val="226"/>
        </w:trPr>
        <w:tc>
          <w:tcPr>
            <w:tcW w:w="4817" w:type="dxa"/>
            <w:gridSpan w:val="2"/>
          </w:tcPr>
          <w:p w:rsidR="001E75B0" w:rsidRPr="0054321D" w:rsidRDefault="001E75B0" w:rsidP="003A7612">
            <w:pPr>
              <w:jc w:val="both"/>
              <w:rPr>
                <w:rFonts w:ascii="Century" w:hAnsi="Century"/>
                <w:sz w:val="22"/>
                <w:szCs w:val="22"/>
              </w:rPr>
            </w:pPr>
            <w:r w:rsidRPr="0054321D">
              <w:rPr>
                <w:rFonts w:ascii="Century" w:hAnsi="Century"/>
                <w:sz w:val="22"/>
                <w:szCs w:val="22"/>
              </w:rPr>
              <w:t>Hayat dışı şirketler için hasar oranı 2003 yılından it</w:t>
            </w:r>
            <w:r w:rsidR="00F74C8D" w:rsidRPr="0054321D">
              <w:rPr>
                <w:rFonts w:ascii="Century" w:hAnsi="Century"/>
                <w:sz w:val="22"/>
                <w:szCs w:val="22"/>
              </w:rPr>
              <w:t>ibaren %63</w:t>
            </w:r>
            <w:r w:rsidR="001752BF" w:rsidRPr="0054321D">
              <w:rPr>
                <w:rFonts w:ascii="Century" w:hAnsi="Century"/>
                <w:sz w:val="22"/>
                <w:szCs w:val="22"/>
              </w:rPr>
              <w:t>-</w:t>
            </w:r>
            <w:r w:rsidR="00F74C8D" w:rsidRPr="0054321D">
              <w:rPr>
                <w:rFonts w:ascii="Century" w:hAnsi="Century"/>
                <w:sz w:val="22"/>
                <w:szCs w:val="22"/>
              </w:rPr>
              <w:t>%80 aralığında seyrederken 2018 yılında %85’e yükselmiştir</w:t>
            </w:r>
            <w:r w:rsidRPr="0054321D">
              <w:rPr>
                <w:rFonts w:ascii="Century" w:hAnsi="Century"/>
                <w:sz w:val="22"/>
                <w:szCs w:val="22"/>
              </w:rPr>
              <w:t xml:space="preserve">. Muallak Tazminat Karşılıkları ile ilgili mevzuat değişikliğinin de etkisiyle hasar oranı 2008 ve 2009 yıllarında sırasıyla %75 ve %78 seviyelerine yükselmiş, sonraki yıllarda </w:t>
            </w:r>
            <w:r w:rsidR="001752BF" w:rsidRPr="0054321D">
              <w:rPr>
                <w:rFonts w:ascii="Century" w:hAnsi="Century"/>
                <w:sz w:val="22"/>
                <w:szCs w:val="22"/>
              </w:rPr>
              <w:t>dalgalı bir seyir izlemiş</w:t>
            </w:r>
            <w:r w:rsidRPr="0054321D">
              <w:rPr>
                <w:rFonts w:ascii="Century" w:hAnsi="Century"/>
                <w:sz w:val="22"/>
                <w:szCs w:val="22"/>
              </w:rPr>
              <w:t xml:space="preserve"> ve 201</w:t>
            </w:r>
            <w:r w:rsidR="009C4925" w:rsidRPr="0054321D">
              <w:rPr>
                <w:rFonts w:ascii="Century" w:hAnsi="Century"/>
                <w:sz w:val="22"/>
                <w:szCs w:val="22"/>
              </w:rPr>
              <w:t>7</w:t>
            </w:r>
            <w:r w:rsidRPr="0054321D">
              <w:rPr>
                <w:rFonts w:ascii="Century" w:hAnsi="Century"/>
                <w:sz w:val="22"/>
                <w:szCs w:val="22"/>
              </w:rPr>
              <w:t xml:space="preserve"> yılında</w:t>
            </w:r>
            <w:r w:rsidR="009C4925" w:rsidRPr="0054321D">
              <w:rPr>
                <w:rFonts w:ascii="Century" w:hAnsi="Century"/>
                <w:sz w:val="22"/>
                <w:szCs w:val="22"/>
              </w:rPr>
              <w:t xml:space="preserve"> ise</w:t>
            </w:r>
            <w:r w:rsidRPr="0054321D">
              <w:rPr>
                <w:rFonts w:ascii="Century" w:hAnsi="Century"/>
                <w:sz w:val="22"/>
                <w:szCs w:val="22"/>
              </w:rPr>
              <w:t xml:space="preserve"> 201</w:t>
            </w:r>
            <w:r w:rsidR="009C4925" w:rsidRPr="0054321D">
              <w:rPr>
                <w:rFonts w:ascii="Century" w:hAnsi="Century"/>
                <w:sz w:val="22"/>
                <w:szCs w:val="22"/>
              </w:rPr>
              <w:t>6</w:t>
            </w:r>
            <w:r w:rsidRPr="0054321D">
              <w:rPr>
                <w:rFonts w:ascii="Century" w:hAnsi="Century"/>
                <w:sz w:val="22"/>
                <w:szCs w:val="22"/>
              </w:rPr>
              <w:t xml:space="preserve"> yılına kıyasla </w:t>
            </w:r>
            <w:r w:rsidR="007F7A13" w:rsidRPr="0054321D">
              <w:rPr>
                <w:rFonts w:ascii="Century" w:hAnsi="Century"/>
                <w:sz w:val="22"/>
                <w:szCs w:val="22"/>
              </w:rPr>
              <w:t>3</w:t>
            </w:r>
            <w:r w:rsidR="009C4925" w:rsidRPr="0054321D">
              <w:rPr>
                <w:rFonts w:ascii="Century" w:hAnsi="Century"/>
                <w:sz w:val="22"/>
                <w:szCs w:val="22"/>
              </w:rPr>
              <w:t xml:space="preserve"> puan artarak </w:t>
            </w:r>
            <w:r w:rsidRPr="0054321D">
              <w:rPr>
                <w:rFonts w:ascii="Century" w:hAnsi="Century"/>
                <w:sz w:val="22"/>
                <w:szCs w:val="22"/>
              </w:rPr>
              <w:t>%7</w:t>
            </w:r>
            <w:r w:rsidR="009C4925" w:rsidRPr="0054321D">
              <w:rPr>
                <w:rFonts w:ascii="Century" w:hAnsi="Century"/>
                <w:sz w:val="22"/>
                <w:szCs w:val="22"/>
              </w:rPr>
              <w:t>7</w:t>
            </w:r>
            <w:r w:rsidRPr="0054321D">
              <w:rPr>
                <w:rFonts w:ascii="Century" w:hAnsi="Century"/>
                <w:sz w:val="22"/>
                <w:szCs w:val="22"/>
              </w:rPr>
              <w:t xml:space="preserve"> seviye</w:t>
            </w:r>
            <w:r w:rsidR="009C4925" w:rsidRPr="0054321D">
              <w:rPr>
                <w:rFonts w:ascii="Century" w:hAnsi="Century"/>
                <w:sz w:val="22"/>
                <w:szCs w:val="22"/>
              </w:rPr>
              <w:t xml:space="preserve">lerine </w:t>
            </w:r>
            <w:r w:rsidRPr="0054321D">
              <w:rPr>
                <w:rFonts w:ascii="Century" w:hAnsi="Century"/>
                <w:sz w:val="22"/>
                <w:szCs w:val="22"/>
              </w:rPr>
              <w:t>ulaşmış</w:t>
            </w:r>
            <w:r w:rsidR="00F74C8D" w:rsidRPr="0054321D">
              <w:rPr>
                <w:rFonts w:ascii="Century" w:hAnsi="Century"/>
                <w:sz w:val="22"/>
                <w:szCs w:val="22"/>
              </w:rPr>
              <w:t xml:space="preserve">, 2018 yılında ise 2017 yılına gore 8 puan artış göstermiştir. </w:t>
            </w:r>
            <w:r w:rsidRPr="0054321D">
              <w:rPr>
                <w:rFonts w:ascii="Century" w:hAnsi="Century"/>
                <w:sz w:val="22"/>
                <w:szCs w:val="22"/>
              </w:rPr>
              <w:t>Aynı dönemde masraf oranları %</w:t>
            </w:r>
            <w:r w:rsidR="001752BF" w:rsidRPr="0054321D">
              <w:rPr>
                <w:rFonts w:ascii="Century" w:hAnsi="Century"/>
                <w:sz w:val="22"/>
                <w:szCs w:val="22"/>
              </w:rPr>
              <w:t>20-</w:t>
            </w:r>
            <w:r w:rsidRPr="0054321D">
              <w:rPr>
                <w:rFonts w:ascii="Century" w:hAnsi="Century"/>
                <w:sz w:val="22"/>
                <w:szCs w:val="22"/>
              </w:rPr>
              <w:t xml:space="preserve">26 aralığındaki çizgisini korurken, teknik kârlılık oranları dalgalı bir seyir izlemiştir. </w:t>
            </w:r>
          </w:p>
          <w:p w:rsidR="001E75B0" w:rsidRPr="0054321D" w:rsidRDefault="001E75B0" w:rsidP="003A7612">
            <w:pPr>
              <w:jc w:val="both"/>
              <w:rPr>
                <w:rFonts w:ascii="Century" w:hAnsi="Century"/>
                <w:b/>
                <w:color w:val="000080"/>
                <w:sz w:val="20"/>
                <w:szCs w:val="20"/>
              </w:rPr>
            </w:pPr>
          </w:p>
        </w:tc>
        <w:tc>
          <w:tcPr>
            <w:tcW w:w="318" w:type="dxa"/>
            <w:gridSpan w:val="7"/>
          </w:tcPr>
          <w:p w:rsidR="001E75B0" w:rsidRPr="0054321D" w:rsidRDefault="001E75B0" w:rsidP="003A7612">
            <w:pPr>
              <w:rPr>
                <w:rFonts w:ascii="Century" w:hAnsi="Century"/>
                <w:sz w:val="22"/>
                <w:szCs w:val="22"/>
              </w:rPr>
            </w:pPr>
          </w:p>
        </w:tc>
        <w:tc>
          <w:tcPr>
            <w:tcW w:w="4650" w:type="dxa"/>
            <w:gridSpan w:val="3"/>
          </w:tcPr>
          <w:p w:rsidR="001E75B0" w:rsidRPr="0054321D" w:rsidRDefault="0054321D" w:rsidP="003A7612">
            <w:pPr>
              <w:jc w:val="both"/>
              <w:rPr>
                <w:rFonts w:ascii="Century" w:hAnsi="Century" w:cs="NewsGothicTTRURegular"/>
                <w:color w:val="333333"/>
                <w:sz w:val="22"/>
                <w:szCs w:val="22"/>
                <w:lang w:eastAsia="tr-TR"/>
              </w:rPr>
            </w:pPr>
            <w:r w:rsidRPr="0054321D">
              <w:rPr>
                <w:rFonts w:ascii="Century" w:hAnsi="Century"/>
                <w:color w:val="333333"/>
                <w:sz w:val="22"/>
                <w:szCs w:val="22"/>
              </w:rPr>
              <w:t xml:space="preserve">As it is seen from the graph above, while the loss / premium ratio has been between 63-80% since 2003, it has reached to 85% in 2018. Following amendments on the regulation regarding outstanding claims provision method, loss ratio increased to 75% and 78% in 2008 </w:t>
            </w:r>
            <w:r w:rsidRPr="0054321D">
              <w:rPr>
                <w:rFonts w:ascii="Century" w:hAnsi="Century" w:cs="NewsGothicTTRURegular"/>
                <w:color w:val="333333"/>
                <w:sz w:val="22"/>
                <w:szCs w:val="22"/>
                <w:lang w:eastAsia="tr-TR"/>
              </w:rPr>
              <w:t xml:space="preserve">and 2009, respectively. Afterwards, the loss / premium ratio entering into a fluctuating trend until 2017, when the ratio has risen 3 points and reached the level of 77% compared to 2016. </w:t>
            </w:r>
            <w:r w:rsidR="00177739" w:rsidRPr="0054321D">
              <w:rPr>
                <w:rFonts w:ascii="Century" w:hAnsi="Century" w:cs="NewsGothicTTRURegular"/>
                <w:color w:val="333333"/>
                <w:sz w:val="22"/>
                <w:szCs w:val="22"/>
                <w:lang w:eastAsia="tr-TR"/>
              </w:rPr>
              <w:t>E</w:t>
            </w:r>
            <w:r w:rsidR="001E75B0" w:rsidRPr="0054321D">
              <w:rPr>
                <w:rFonts w:ascii="Century" w:hAnsi="Century" w:cs="NewsGothicTTRURegular"/>
                <w:color w:val="333333"/>
                <w:sz w:val="22"/>
                <w:szCs w:val="22"/>
                <w:lang w:eastAsia="tr-TR"/>
              </w:rPr>
              <w:t xml:space="preserve">xpense ratio </w:t>
            </w:r>
            <w:r w:rsidR="00177739" w:rsidRPr="0054321D">
              <w:rPr>
                <w:rFonts w:ascii="Century" w:hAnsi="Century" w:cs="NewsGothicTTRURegular"/>
                <w:color w:val="333333"/>
                <w:sz w:val="22"/>
                <w:szCs w:val="22"/>
                <w:lang w:eastAsia="tr-TR"/>
              </w:rPr>
              <w:t>was</w:t>
            </w:r>
            <w:r w:rsidR="001E75B0" w:rsidRPr="0054321D">
              <w:rPr>
                <w:rFonts w:ascii="Century" w:hAnsi="Century" w:cs="NewsGothicTTRURegular"/>
                <w:color w:val="333333"/>
                <w:sz w:val="22"/>
                <w:szCs w:val="22"/>
                <w:lang w:eastAsia="tr-TR"/>
              </w:rPr>
              <w:t xml:space="preserve"> between </w:t>
            </w:r>
            <w:r w:rsidR="001752BF" w:rsidRPr="0054321D">
              <w:rPr>
                <w:rFonts w:ascii="Century" w:hAnsi="Century" w:cs="NewsGothicTTRURegular"/>
                <w:color w:val="333333"/>
                <w:sz w:val="22"/>
                <w:szCs w:val="22"/>
                <w:lang w:eastAsia="tr-TR"/>
              </w:rPr>
              <w:t>20</w:t>
            </w:r>
            <w:r w:rsidR="001E75B0" w:rsidRPr="0054321D">
              <w:rPr>
                <w:rFonts w:ascii="Century" w:hAnsi="Century" w:cs="NewsGothicTTRURegular"/>
                <w:color w:val="333333"/>
                <w:sz w:val="22"/>
                <w:szCs w:val="22"/>
                <w:lang w:eastAsia="tr-TR"/>
              </w:rPr>
              <w:t>-26%</w:t>
            </w:r>
            <w:r w:rsidR="00177739" w:rsidRPr="0054321D">
              <w:rPr>
                <w:rFonts w:ascii="Century" w:hAnsi="Century" w:cs="NewsGothicTTRURegular"/>
                <w:color w:val="333333"/>
                <w:sz w:val="22"/>
                <w:szCs w:val="22"/>
                <w:lang w:eastAsia="tr-TR"/>
              </w:rPr>
              <w:t xml:space="preserve"> and</w:t>
            </w:r>
            <w:r w:rsidR="001E75B0" w:rsidRPr="0054321D">
              <w:rPr>
                <w:rFonts w:ascii="Century" w:hAnsi="Century"/>
                <w:sz w:val="22"/>
                <w:szCs w:val="22"/>
              </w:rPr>
              <w:t xml:space="preserve"> </w:t>
            </w:r>
            <w:r w:rsidR="001E75B0" w:rsidRPr="0054321D">
              <w:rPr>
                <w:rFonts w:ascii="Century" w:hAnsi="Century" w:cs="NewsGothicTTRURegular"/>
                <w:color w:val="333333"/>
                <w:sz w:val="22"/>
                <w:szCs w:val="22"/>
                <w:lang w:eastAsia="tr-TR"/>
              </w:rPr>
              <w:t>technical profitability ratio has been fluctuated over time at the same period.</w:t>
            </w:r>
          </w:p>
          <w:p w:rsidR="001E75B0" w:rsidRPr="0054321D" w:rsidRDefault="001E75B0" w:rsidP="003A7612">
            <w:pPr>
              <w:jc w:val="both"/>
              <w:rPr>
                <w:rFonts w:ascii="Century" w:hAnsi="Century" w:cs="NewsGothicTTRURegular"/>
                <w:color w:val="333333"/>
                <w:sz w:val="22"/>
                <w:szCs w:val="22"/>
                <w:lang w:eastAsia="tr-TR"/>
              </w:rPr>
            </w:pPr>
          </w:p>
          <w:p w:rsidR="001E75B0" w:rsidRPr="0054321D" w:rsidRDefault="001E75B0" w:rsidP="003A7612">
            <w:pPr>
              <w:jc w:val="both"/>
              <w:rPr>
                <w:rFonts w:ascii="Century" w:hAnsi="Century"/>
                <w:color w:val="333333"/>
                <w:sz w:val="16"/>
                <w:szCs w:val="16"/>
              </w:rPr>
            </w:pPr>
            <w:r w:rsidRPr="0054321D">
              <w:rPr>
                <w:rFonts w:ascii="Century" w:hAnsi="Century"/>
                <w:color w:val="333333"/>
                <w:sz w:val="16"/>
                <w:szCs w:val="16"/>
              </w:rPr>
              <w:t xml:space="preserve"> </w:t>
            </w:r>
          </w:p>
        </w:tc>
      </w:tr>
      <w:tr w:rsidR="00F544B8" w:rsidRPr="00B10D90" w:rsidTr="00441D50">
        <w:tblPrEx>
          <w:tblCellMar>
            <w:left w:w="70" w:type="dxa"/>
            <w:right w:w="70" w:type="dxa"/>
          </w:tblCellMar>
        </w:tblPrEx>
        <w:trPr>
          <w:gridAfter w:val="2"/>
          <w:wAfter w:w="38" w:type="dxa"/>
          <w:trHeight w:val="226"/>
        </w:trPr>
        <w:tc>
          <w:tcPr>
            <w:tcW w:w="9820" w:type="dxa"/>
            <w:gridSpan w:val="14"/>
          </w:tcPr>
          <w:p w:rsidR="00F544B8" w:rsidRPr="00F74C8D" w:rsidRDefault="00F544B8" w:rsidP="003A363D">
            <w:pPr>
              <w:jc w:val="center"/>
              <w:rPr>
                <w:rFonts w:ascii="Century" w:hAnsi="Century"/>
                <w:b/>
                <w:color w:val="000080"/>
                <w:sz w:val="20"/>
                <w:szCs w:val="20"/>
              </w:rPr>
            </w:pPr>
            <w:r w:rsidRPr="00F74C8D">
              <w:rPr>
                <w:rFonts w:ascii="Century" w:hAnsi="Century"/>
                <w:b/>
                <w:color w:val="000080"/>
                <w:sz w:val="20"/>
                <w:szCs w:val="20"/>
              </w:rPr>
              <w:lastRenderedPageBreak/>
              <w:t xml:space="preserve">Grafik </w:t>
            </w:r>
            <w:r w:rsidR="00CF166D" w:rsidRPr="00F74C8D">
              <w:rPr>
                <w:rFonts w:ascii="Century" w:hAnsi="Century"/>
                <w:b/>
                <w:color w:val="000080"/>
                <w:sz w:val="20"/>
                <w:szCs w:val="20"/>
              </w:rPr>
              <w:t>3</w:t>
            </w:r>
            <w:r w:rsidRPr="00F74C8D">
              <w:rPr>
                <w:rFonts w:ascii="Century" w:hAnsi="Century"/>
                <w:b/>
                <w:color w:val="000080"/>
                <w:sz w:val="20"/>
                <w:szCs w:val="20"/>
              </w:rPr>
              <w:t>.4.</w:t>
            </w:r>
            <w:r w:rsidR="00CF166D" w:rsidRPr="00F74C8D">
              <w:rPr>
                <w:rFonts w:ascii="Century" w:hAnsi="Century"/>
                <w:b/>
                <w:color w:val="000080"/>
                <w:sz w:val="20"/>
                <w:szCs w:val="20"/>
              </w:rPr>
              <w:t>2</w:t>
            </w:r>
            <w:r w:rsidRPr="00F74C8D">
              <w:rPr>
                <w:rFonts w:ascii="Century" w:hAnsi="Century"/>
                <w:b/>
                <w:color w:val="000080"/>
                <w:sz w:val="20"/>
                <w:szCs w:val="20"/>
              </w:rPr>
              <w:t>: Hayat / Emeklilik Şirketleri Teknik Oranları (Brüt)</w:t>
            </w:r>
          </w:p>
          <w:p w:rsidR="00F544B8" w:rsidRPr="00F74C8D" w:rsidRDefault="00F544B8" w:rsidP="003A363D">
            <w:pPr>
              <w:jc w:val="center"/>
              <w:rPr>
                <w:rFonts w:ascii="Century" w:hAnsi="Century"/>
                <w:i/>
                <w:color w:val="000080"/>
                <w:sz w:val="18"/>
                <w:szCs w:val="18"/>
              </w:rPr>
            </w:pPr>
            <w:r w:rsidRPr="00F74C8D">
              <w:rPr>
                <w:rFonts w:ascii="Century" w:hAnsi="Century"/>
                <w:i/>
                <w:color w:val="000080"/>
                <w:sz w:val="18"/>
                <w:szCs w:val="18"/>
              </w:rPr>
              <w:t>Life / Pension Companies Technical Ratios (Gross) (%)</w:t>
            </w:r>
          </w:p>
          <w:p w:rsidR="00D54864" w:rsidRPr="00F74C8D" w:rsidRDefault="00F74C8D" w:rsidP="003A363D">
            <w:pPr>
              <w:jc w:val="center"/>
              <w:rPr>
                <w:rFonts w:ascii="Century" w:hAnsi="Century"/>
                <w:i/>
                <w:color w:val="000080"/>
                <w:sz w:val="18"/>
                <w:szCs w:val="18"/>
              </w:rPr>
            </w:pPr>
            <w:r w:rsidRPr="00F74C8D">
              <w:rPr>
                <w:rFonts w:ascii="Century" w:hAnsi="Century"/>
                <w:i/>
                <w:noProof/>
                <w:color w:val="000080"/>
                <w:sz w:val="18"/>
                <w:szCs w:val="18"/>
              </w:rPr>
              <w:drawing>
                <wp:inline distT="0" distB="0" distL="0" distR="0" wp14:anchorId="722C5ED0" wp14:editId="2B3E41F5">
                  <wp:extent cx="6138545" cy="1900555"/>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38545" cy="1900555"/>
                          </a:xfrm>
                          <a:prstGeom prst="rect">
                            <a:avLst/>
                          </a:prstGeom>
                          <a:noFill/>
                          <a:ln>
                            <a:noFill/>
                          </a:ln>
                        </pic:spPr>
                      </pic:pic>
                    </a:graphicData>
                  </a:graphic>
                </wp:inline>
              </w:drawing>
            </w:r>
          </w:p>
          <w:p w:rsidR="00F544B8" w:rsidRPr="00F74C8D" w:rsidRDefault="00F544B8" w:rsidP="00567389">
            <w:pPr>
              <w:jc w:val="center"/>
              <w:rPr>
                <w:rFonts w:ascii="Century" w:hAnsi="Century"/>
                <w:b/>
                <w:color w:val="000080"/>
                <w:sz w:val="20"/>
                <w:szCs w:val="20"/>
              </w:rPr>
            </w:pPr>
          </w:p>
        </w:tc>
      </w:tr>
      <w:tr w:rsidR="001E75B0" w:rsidRPr="00B10D90" w:rsidTr="00441D50">
        <w:trPr>
          <w:gridAfter w:val="4"/>
          <w:wAfter w:w="73" w:type="dxa"/>
          <w:trHeight w:val="226"/>
        </w:trPr>
        <w:tc>
          <w:tcPr>
            <w:tcW w:w="4817" w:type="dxa"/>
            <w:gridSpan w:val="2"/>
          </w:tcPr>
          <w:p w:rsidR="001E75B0" w:rsidRPr="0054321D" w:rsidRDefault="001E75B0" w:rsidP="003A7612">
            <w:pPr>
              <w:jc w:val="both"/>
              <w:rPr>
                <w:rFonts w:ascii="Century" w:hAnsi="Century"/>
                <w:sz w:val="16"/>
                <w:szCs w:val="16"/>
              </w:rPr>
            </w:pPr>
          </w:p>
          <w:p w:rsidR="001E75B0" w:rsidRPr="0054321D" w:rsidRDefault="001E75B0" w:rsidP="00115636">
            <w:pPr>
              <w:jc w:val="both"/>
              <w:rPr>
                <w:rFonts w:ascii="Century" w:hAnsi="Century"/>
                <w:b/>
                <w:color w:val="000080"/>
                <w:sz w:val="20"/>
                <w:szCs w:val="20"/>
              </w:rPr>
            </w:pPr>
            <w:r w:rsidRPr="0054321D">
              <w:rPr>
                <w:rFonts w:ascii="Century" w:hAnsi="Century"/>
                <w:sz w:val="22"/>
                <w:szCs w:val="22"/>
              </w:rPr>
              <w:t xml:space="preserve">Hayat / emeklilik şirketlerinde, birikimli hayat sigortalarından bireysel emeklilik sistemine geçişler nedeniyle artan iştiraların etkisiyle hasar oranı 2003-2006 yılları arasında yükselmiş, daha sonraki yıllarda </w:t>
            </w:r>
            <w:r w:rsidR="00115636" w:rsidRPr="0054321D">
              <w:rPr>
                <w:rFonts w:ascii="Century" w:hAnsi="Century"/>
                <w:sz w:val="22"/>
                <w:szCs w:val="22"/>
              </w:rPr>
              <w:t>dalgalı bir seyir izlemiş</w:t>
            </w:r>
            <w:r w:rsidRPr="0054321D">
              <w:rPr>
                <w:rFonts w:ascii="Century" w:hAnsi="Century"/>
                <w:sz w:val="22"/>
                <w:szCs w:val="22"/>
              </w:rPr>
              <w:t xml:space="preserve"> ve 201</w:t>
            </w:r>
            <w:r w:rsidR="00F74C8D" w:rsidRPr="0054321D">
              <w:rPr>
                <w:rFonts w:ascii="Century" w:hAnsi="Century"/>
                <w:sz w:val="22"/>
                <w:szCs w:val="22"/>
              </w:rPr>
              <w:t>8</w:t>
            </w:r>
            <w:r w:rsidR="009C4925" w:rsidRPr="0054321D">
              <w:rPr>
                <w:rFonts w:ascii="Century" w:hAnsi="Century"/>
                <w:sz w:val="22"/>
                <w:szCs w:val="22"/>
              </w:rPr>
              <w:t xml:space="preserve"> yılında %4</w:t>
            </w:r>
            <w:r w:rsidR="00F74C8D" w:rsidRPr="0054321D">
              <w:rPr>
                <w:rFonts w:ascii="Century" w:hAnsi="Century"/>
                <w:sz w:val="22"/>
                <w:szCs w:val="22"/>
              </w:rPr>
              <w:t>5</w:t>
            </w:r>
            <w:r w:rsidR="00486895" w:rsidRPr="0054321D">
              <w:rPr>
                <w:rFonts w:ascii="Century" w:hAnsi="Century"/>
                <w:sz w:val="22"/>
                <w:szCs w:val="22"/>
              </w:rPr>
              <w:t xml:space="preserve"> </w:t>
            </w:r>
            <w:r w:rsidR="00F74C8D" w:rsidRPr="0054321D">
              <w:rPr>
                <w:rFonts w:ascii="Century" w:hAnsi="Century"/>
                <w:sz w:val="22"/>
                <w:szCs w:val="22"/>
              </w:rPr>
              <w:t>olarak gerçekleşmiştir.</w:t>
            </w:r>
            <w:r w:rsidRPr="0054321D">
              <w:rPr>
                <w:rFonts w:ascii="Century" w:hAnsi="Century"/>
                <w:sz w:val="22"/>
                <w:szCs w:val="22"/>
              </w:rPr>
              <w:t xml:space="preserve"> Teknik kârlılık oranı ise 2008 yılından itibaren sürekli bir artış eğiliminde</w:t>
            </w:r>
            <w:r w:rsidR="00F74C8D" w:rsidRPr="0054321D">
              <w:rPr>
                <w:rFonts w:ascii="Century" w:hAnsi="Century"/>
                <w:sz w:val="22"/>
                <w:szCs w:val="22"/>
              </w:rPr>
              <w:t xml:space="preserve"> olup 2018 yılında %19 ile en yüksek seviyesine ulaşmıştır. </w:t>
            </w:r>
          </w:p>
        </w:tc>
        <w:tc>
          <w:tcPr>
            <w:tcW w:w="318" w:type="dxa"/>
            <w:gridSpan w:val="7"/>
          </w:tcPr>
          <w:p w:rsidR="001E75B0" w:rsidRPr="0054321D" w:rsidRDefault="001E75B0" w:rsidP="003A7612">
            <w:pPr>
              <w:rPr>
                <w:rFonts w:ascii="Century" w:hAnsi="Century"/>
                <w:sz w:val="22"/>
                <w:szCs w:val="22"/>
              </w:rPr>
            </w:pPr>
          </w:p>
        </w:tc>
        <w:tc>
          <w:tcPr>
            <w:tcW w:w="4650" w:type="dxa"/>
            <w:gridSpan w:val="3"/>
          </w:tcPr>
          <w:p w:rsidR="001E75B0" w:rsidRPr="0054321D" w:rsidRDefault="001E75B0" w:rsidP="003A7612">
            <w:pPr>
              <w:jc w:val="both"/>
              <w:rPr>
                <w:rFonts w:ascii="Century" w:hAnsi="Century"/>
                <w:color w:val="333333"/>
                <w:sz w:val="16"/>
                <w:szCs w:val="16"/>
              </w:rPr>
            </w:pPr>
          </w:p>
          <w:p w:rsidR="001E75B0" w:rsidRPr="0054321D" w:rsidRDefault="0054321D" w:rsidP="00115636">
            <w:pPr>
              <w:jc w:val="both"/>
              <w:rPr>
                <w:rFonts w:ascii="Century" w:hAnsi="Century"/>
                <w:color w:val="333333"/>
                <w:sz w:val="22"/>
                <w:szCs w:val="22"/>
              </w:rPr>
            </w:pPr>
            <w:r w:rsidRPr="0054321D">
              <w:rPr>
                <w:rFonts w:ascii="Century" w:hAnsi="Century"/>
                <w:color w:val="333333"/>
                <w:sz w:val="22"/>
                <w:szCs w:val="22"/>
              </w:rPr>
              <w:t>The loss ratio of life / pension companies increased between 2003 and 2006 because of the transfers from life annuity businesses to the pension system which increased number of surrenders. Following 2006, it showed a fluctuated trend and reached %45 in 2018. On the other side, technical profitability   ratio has had an upward trend since 2008 and reached highest level of 19% in 2018.</w:t>
            </w:r>
          </w:p>
        </w:tc>
      </w:tr>
      <w:tr w:rsidR="00834F3D" w:rsidRPr="00B10D90" w:rsidTr="00441D50">
        <w:trPr>
          <w:gridAfter w:val="1"/>
          <w:wAfter w:w="20" w:type="dxa"/>
        </w:trPr>
        <w:tc>
          <w:tcPr>
            <w:tcW w:w="4817" w:type="dxa"/>
            <w:gridSpan w:val="2"/>
          </w:tcPr>
          <w:p w:rsidR="00834F3D" w:rsidRPr="00116E73" w:rsidRDefault="00834F3D" w:rsidP="00040F7E">
            <w:pPr>
              <w:pStyle w:val="Style2"/>
              <w:numPr>
                <w:ilvl w:val="0"/>
                <w:numId w:val="1"/>
              </w:numPr>
              <w:tabs>
                <w:tab w:val="clear" w:pos="752"/>
              </w:tabs>
              <w:spacing w:before="0" w:after="0"/>
              <w:ind w:left="252" w:hanging="240"/>
              <w:jc w:val="both"/>
              <w:rPr>
                <w:i/>
                <w:color w:val="000080"/>
                <w:sz w:val="22"/>
                <w:szCs w:val="22"/>
              </w:rPr>
            </w:pPr>
            <w:bookmarkStart w:id="212" w:name="_Toc170253092"/>
            <w:bookmarkStart w:id="213" w:name="_Toc198287707"/>
            <w:r w:rsidRPr="00116E73">
              <w:rPr>
                <w:i/>
                <w:color w:val="000080"/>
                <w:sz w:val="22"/>
                <w:szCs w:val="22"/>
              </w:rPr>
              <w:lastRenderedPageBreak/>
              <w:t xml:space="preserve"> </w:t>
            </w:r>
            <w:bookmarkStart w:id="214" w:name="_Toc327793345"/>
            <w:bookmarkStart w:id="215" w:name="_Toc358380203"/>
            <w:bookmarkStart w:id="216" w:name="_Toc12957675"/>
            <w:r w:rsidRPr="00116E73">
              <w:rPr>
                <w:color w:val="000080"/>
                <w:sz w:val="22"/>
                <w:szCs w:val="22"/>
              </w:rPr>
              <w:t>BRANŞ BAZINDA DEĞERLENDİRME</w:t>
            </w:r>
            <w:bookmarkEnd w:id="214"/>
            <w:bookmarkEnd w:id="215"/>
            <w:bookmarkEnd w:id="216"/>
          </w:p>
          <w:p w:rsidR="00834F3D" w:rsidRPr="00116E73" w:rsidRDefault="00834F3D" w:rsidP="00040F7E">
            <w:pPr>
              <w:rPr>
                <w:rFonts w:ascii="Century" w:hAnsi="Century"/>
                <w:sz w:val="22"/>
                <w:szCs w:val="22"/>
              </w:rPr>
            </w:pPr>
          </w:p>
          <w:p w:rsidR="00834F3D" w:rsidRPr="00116E73" w:rsidRDefault="00834F3D" w:rsidP="007D65D8">
            <w:pPr>
              <w:pStyle w:val="Heading2"/>
              <w:keepNext w:val="0"/>
              <w:numPr>
                <w:ilvl w:val="1"/>
                <w:numId w:val="1"/>
              </w:numPr>
              <w:tabs>
                <w:tab w:val="clear" w:pos="860"/>
                <w:tab w:val="num" w:pos="394"/>
              </w:tabs>
              <w:spacing w:before="0" w:after="0"/>
              <w:ind w:left="0"/>
              <w:rPr>
                <w:rFonts w:ascii="Century" w:hAnsi="Century"/>
                <w:i w:val="0"/>
                <w:color w:val="000080"/>
                <w:sz w:val="22"/>
                <w:szCs w:val="22"/>
              </w:rPr>
            </w:pPr>
            <w:bookmarkStart w:id="217" w:name="_Toc327793346"/>
            <w:bookmarkStart w:id="218" w:name="_Toc358380204"/>
            <w:bookmarkStart w:id="219" w:name="_Toc12957676"/>
            <w:r w:rsidRPr="00116E73">
              <w:rPr>
                <w:rFonts w:ascii="Century" w:hAnsi="Century"/>
                <w:i w:val="0"/>
                <w:color w:val="000080"/>
                <w:sz w:val="22"/>
                <w:szCs w:val="22"/>
              </w:rPr>
              <w:t>Genel Değerlendirme</w:t>
            </w:r>
            <w:bookmarkEnd w:id="217"/>
            <w:bookmarkEnd w:id="218"/>
            <w:bookmarkEnd w:id="219"/>
          </w:p>
          <w:bookmarkEnd w:id="212"/>
          <w:bookmarkEnd w:id="213"/>
          <w:p w:rsidR="00834F3D" w:rsidRPr="00116E73" w:rsidRDefault="00834F3D" w:rsidP="00040F7E">
            <w:pPr>
              <w:jc w:val="both"/>
              <w:rPr>
                <w:rFonts w:ascii="Century" w:hAnsi="Century"/>
                <w:sz w:val="22"/>
                <w:szCs w:val="22"/>
              </w:rPr>
            </w:pPr>
          </w:p>
          <w:p w:rsidR="000D2B4C" w:rsidRPr="00116E73" w:rsidRDefault="000D2B4C" w:rsidP="000D2B4C">
            <w:pPr>
              <w:jc w:val="both"/>
              <w:rPr>
                <w:rFonts w:ascii="Century" w:hAnsi="Century"/>
                <w:sz w:val="22"/>
                <w:szCs w:val="22"/>
              </w:rPr>
            </w:pPr>
            <w:r w:rsidRPr="00116E73">
              <w:rPr>
                <w:rFonts w:ascii="Century" w:hAnsi="Century"/>
                <w:sz w:val="22"/>
                <w:szCs w:val="22"/>
              </w:rPr>
              <w:t xml:space="preserve">Dünya sigortacılığına paralel olarak ülkemiz mevzuatında da sigortacılık faaliyetleri hayat ve hayat dışı olmak üzere iki ana gruba ayrılmaktadır. 5684 sayılı Sigortacılık Kanunu kapsamında 2008 yılından itibaren hayat dışı sigortalar için 18, hayat sigortaları için 8 ana branş belirlenmiş ve Raporda da mevcut ayırım esas alınarak teknik veriler sunulmuştur. </w:t>
            </w:r>
          </w:p>
          <w:p w:rsidR="000D2B4C" w:rsidRPr="00B10D90" w:rsidRDefault="000D2B4C" w:rsidP="000D2B4C">
            <w:pPr>
              <w:jc w:val="both"/>
              <w:rPr>
                <w:rFonts w:ascii="Century" w:hAnsi="Century"/>
                <w:sz w:val="22"/>
                <w:szCs w:val="22"/>
                <w:highlight w:val="yellow"/>
              </w:rPr>
            </w:pPr>
          </w:p>
          <w:p w:rsidR="000D2B4C" w:rsidRPr="00116E73" w:rsidRDefault="000D2B4C" w:rsidP="000D2B4C">
            <w:pPr>
              <w:jc w:val="both"/>
              <w:rPr>
                <w:rFonts w:ascii="Century" w:hAnsi="Century"/>
                <w:sz w:val="22"/>
                <w:szCs w:val="22"/>
              </w:rPr>
            </w:pPr>
            <w:r w:rsidRPr="00116E73">
              <w:rPr>
                <w:rFonts w:ascii="Century" w:hAnsi="Century"/>
                <w:sz w:val="22"/>
                <w:szCs w:val="22"/>
              </w:rPr>
              <w:t xml:space="preserve">Şirketlerin detaylı gelir tablosu hesapları Raporun “Tablolar” bölümünde yer almaktadır. </w:t>
            </w:r>
          </w:p>
          <w:p w:rsidR="000D2B4C" w:rsidRPr="00B10D90" w:rsidRDefault="000D2B4C" w:rsidP="000D2B4C">
            <w:pPr>
              <w:jc w:val="both"/>
              <w:rPr>
                <w:rFonts w:ascii="Century" w:hAnsi="Century"/>
                <w:sz w:val="22"/>
                <w:szCs w:val="22"/>
                <w:highlight w:val="yellow"/>
              </w:rPr>
            </w:pPr>
          </w:p>
          <w:p w:rsidR="000D2B4C" w:rsidRPr="00CA1474" w:rsidRDefault="000D2B4C" w:rsidP="000D2B4C">
            <w:pPr>
              <w:jc w:val="both"/>
              <w:rPr>
                <w:rFonts w:ascii="Century" w:hAnsi="Century"/>
                <w:sz w:val="22"/>
                <w:szCs w:val="22"/>
              </w:rPr>
            </w:pPr>
            <w:r w:rsidRPr="00116E73">
              <w:rPr>
                <w:rFonts w:ascii="Century" w:hAnsi="Century"/>
                <w:sz w:val="22"/>
                <w:szCs w:val="22"/>
              </w:rPr>
              <w:t xml:space="preserve">Sigorta şirketleri 1998 yılından itibaren hayat ya da hayat dışı sigorta gruplarından sadece birinde faaliyet gösterebilmektedirler. Ancak, anılan tarihte mevcut olan hayat portföylerini hayat şirketlerine devretmeyen hayat dışı şirketler, yeni poliçe tanzim etmemekle birlikte mevcut hayat portföylerini devam </w:t>
            </w:r>
            <w:r w:rsidR="00FC78CE" w:rsidRPr="00116E73">
              <w:rPr>
                <w:rFonts w:ascii="Century" w:hAnsi="Century"/>
                <w:sz w:val="22"/>
                <w:szCs w:val="22"/>
              </w:rPr>
              <w:t xml:space="preserve">ettirebilmektedirler. </w:t>
            </w:r>
            <w:r w:rsidR="00FC78CE" w:rsidRPr="00CA1474">
              <w:rPr>
                <w:rFonts w:ascii="Century" w:hAnsi="Century"/>
                <w:sz w:val="22"/>
                <w:szCs w:val="22"/>
              </w:rPr>
              <w:t>31.12.201</w:t>
            </w:r>
            <w:r w:rsidR="00116E73" w:rsidRPr="00CA1474">
              <w:rPr>
                <w:rFonts w:ascii="Century" w:hAnsi="Century"/>
                <w:sz w:val="22"/>
                <w:szCs w:val="22"/>
              </w:rPr>
              <w:t>8</w:t>
            </w:r>
            <w:r w:rsidRPr="00CA1474">
              <w:rPr>
                <w:rFonts w:ascii="Century" w:hAnsi="Century"/>
                <w:sz w:val="22"/>
                <w:szCs w:val="22"/>
              </w:rPr>
              <w:t xml:space="preserve"> tarihi itibarıyla üç hayat dışı sigorta şirketi açıklanan şekilde hayat sigorta portföyünü devam ettirmektedir. Bunlar Aksigorta AŞ, Generali Sigorta AŞ ve Merkez Sigorta AŞ’dir. Ancak, Merkez Sigorta AŞ aktif olarak hiçbir branşta yeni sözleşme tanzim etmemektedir. </w:t>
            </w:r>
          </w:p>
          <w:p w:rsidR="000D2B4C" w:rsidRPr="00B10D90" w:rsidRDefault="000D2B4C" w:rsidP="000D2B4C">
            <w:pPr>
              <w:jc w:val="both"/>
              <w:rPr>
                <w:rFonts w:ascii="Century" w:hAnsi="Century"/>
                <w:sz w:val="22"/>
                <w:szCs w:val="22"/>
                <w:highlight w:val="yellow"/>
              </w:rPr>
            </w:pPr>
          </w:p>
          <w:p w:rsidR="000D2B4C" w:rsidRPr="00CA1474" w:rsidRDefault="000D2B4C" w:rsidP="000D2B4C">
            <w:pPr>
              <w:jc w:val="both"/>
              <w:rPr>
                <w:rFonts w:ascii="Century" w:hAnsi="Century"/>
                <w:sz w:val="22"/>
                <w:szCs w:val="22"/>
              </w:rPr>
            </w:pPr>
            <w:r w:rsidRPr="00CA1474">
              <w:rPr>
                <w:rFonts w:ascii="Century" w:hAnsi="Century"/>
                <w:sz w:val="22"/>
                <w:szCs w:val="22"/>
              </w:rPr>
              <w:t>Mevcut düzenlemelere göre hayat sigorta şirketleri</w:t>
            </w:r>
            <w:r w:rsidR="00676F28" w:rsidRPr="00CA1474">
              <w:rPr>
                <w:rFonts w:ascii="Century" w:hAnsi="Century"/>
                <w:sz w:val="22"/>
                <w:szCs w:val="22"/>
              </w:rPr>
              <w:t xml:space="preserve"> ve emeklilik şirketleri </w:t>
            </w:r>
            <w:r w:rsidRPr="00CA1474">
              <w:rPr>
                <w:rFonts w:ascii="Century" w:hAnsi="Century"/>
                <w:sz w:val="22"/>
                <w:szCs w:val="22"/>
              </w:rPr>
              <w:t>hayat sigorta branşl</w:t>
            </w:r>
            <w:r w:rsidR="00676F28" w:rsidRPr="00CA1474">
              <w:rPr>
                <w:rFonts w:ascii="Century" w:hAnsi="Century"/>
                <w:sz w:val="22"/>
                <w:szCs w:val="22"/>
              </w:rPr>
              <w:t>arının tamamında</w:t>
            </w:r>
            <w:r w:rsidRPr="00CA1474">
              <w:rPr>
                <w:rFonts w:ascii="Century" w:hAnsi="Century"/>
                <w:sz w:val="22"/>
                <w:szCs w:val="22"/>
              </w:rPr>
              <w:t xml:space="preserve"> ruhsat alabilmektedir.</w:t>
            </w:r>
          </w:p>
          <w:p w:rsidR="000D2B4C" w:rsidRPr="00B10D90" w:rsidRDefault="000D2B4C" w:rsidP="000D2B4C">
            <w:pPr>
              <w:jc w:val="both"/>
              <w:rPr>
                <w:rFonts w:ascii="Century" w:hAnsi="Century"/>
                <w:sz w:val="22"/>
                <w:szCs w:val="22"/>
                <w:highlight w:val="yellow"/>
              </w:rPr>
            </w:pPr>
          </w:p>
          <w:p w:rsidR="00834F3D" w:rsidRPr="00B10D90" w:rsidRDefault="000D2B4C" w:rsidP="00CA1474">
            <w:pPr>
              <w:jc w:val="both"/>
              <w:rPr>
                <w:rFonts w:ascii="Century" w:hAnsi="Century"/>
                <w:sz w:val="22"/>
                <w:szCs w:val="22"/>
                <w:highlight w:val="yellow"/>
              </w:rPr>
            </w:pPr>
            <w:r w:rsidRPr="00CA1474">
              <w:rPr>
                <w:rFonts w:ascii="Century" w:hAnsi="Century"/>
                <w:sz w:val="22"/>
                <w:szCs w:val="22"/>
              </w:rPr>
              <w:t>Yukarıda açıklan</w:t>
            </w:r>
            <w:r w:rsidR="00FC78CE" w:rsidRPr="00CA1474">
              <w:rPr>
                <w:rFonts w:ascii="Century" w:hAnsi="Century"/>
                <w:sz w:val="22"/>
                <w:szCs w:val="22"/>
              </w:rPr>
              <w:t>an branş düzenlemesine göre 201</w:t>
            </w:r>
            <w:r w:rsidR="00CA1474" w:rsidRPr="00CA1474">
              <w:rPr>
                <w:rFonts w:ascii="Century" w:hAnsi="Century"/>
                <w:sz w:val="22"/>
                <w:szCs w:val="22"/>
              </w:rPr>
              <w:t>8</w:t>
            </w:r>
            <w:r w:rsidRPr="00CA1474">
              <w:rPr>
                <w:rFonts w:ascii="Century" w:hAnsi="Century"/>
                <w:sz w:val="22"/>
                <w:szCs w:val="22"/>
              </w:rPr>
              <w:t xml:space="preserve"> yıl sonu itibarıyla her bir branşta ruhsat sahibi sigorta ve emeklilik şirketi sayısı aşağıdaki tabloda verilmiştir. Hayat grubu sigortaları içinde yer alan Fonların Yönetimi İşlemi ve Tontin branşlarında henüz hiçbir şirket ruhsat almamıştır.</w:t>
            </w:r>
          </w:p>
        </w:tc>
        <w:tc>
          <w:tcPr>
            <w:tcW w:w="318" w:type="dxa"/>
            <w:gridSpan w:val="7"/>
          </w:tcPr>
          <w:p w:rsidR="00834F3D" w:rsidRPr="00B10D90" w:rsidRDefault="00834F3D" w:rsidP="00040F7E">
            <w:pPr>
              <w:rPr>
                <w:rFonts w:ascii="Century" w:hAnsi="Century"/>
                <w:sz w:val="22"/>
                <w:szCs w:val="22"/>
                <w:highlight w:val="yellow"/>
              </w:rPr>
            </w:pPr>
          </w:p>
        </w:tc>
        <w:tc>
          <w:tcPr>
            <w:tcW w:w="4703" w:type="dxa"/>
            <w:gridSpan w:val="6"/>
          </w:tcPr>
          <w:p w:rsidR="00834F3D" w:rsidRPr="00116E73" w:rsidRDefault="00834F3D" w:rsidP="00040F7E">
            <w:pPr>
              <w:jc w:val="both"/>
              <w:rPr>
                <w:rFonts w:ascii="Century" w:hAnsi="Century"/>
                <w:b/>
                <w:color w:val="003366"/>
                <w:sz w:val="22"/>
                <w:szCs w:val="22"/>
              </w:rPr>
            </w:pPr>
            <w:r w:rsidRPr="00116E73">
              <w:rPr>
                <w:rFonts w:ascii="Century" w:hAnsi="Century"/>
                <w:b/>
                <w:color w:val="003366"/>
                <w:sz w:val="22"/>
                <w:szCs w:val="22"/>
              </w:rPr>
              <w:t>4. INCOME STATEMENT OF INSURANCE TYPES</w:t>
            </w:r>
          </w:p>
          <w:p w:rsidR="00834F3D" w:rsidRPr="00116E73" w:rsidRDefault="00834F3D" w:rsidP="00040F7E">
            <w:pPr>
              <w:ind w:left="476" w:hanging="476"/>
              <w:rPr>
                <w:rFonts w:ascii="Century" w:hAnsi="Century"/>
                <w:color w:val="003366"/>
                <w:sz w:val="22"/>
                <w:szCs w:val="22"/>
              </w:rPr>
            </w:pPr>
          </w:p>
          <w:p w:rsidR="00834F3D" w:rsidRPr="00116E73" w:rsidRDefault="00834F3D" w:rsidP="00040F7E">
            <w:pPr>
              <w:ind w:left="476" w:hanging="476"/>
              <w:rPr>
                <w:rFonts w:ascii="Century" w:hAnsi="Century"/>
                <w:b/>
                <w:color w:val="003366"/>
                <w:sz w:val="22"/>
                <w:szCs w:val="22"/>
              </w:rPr>
            </w:pPr>
            <w:r w:rsidRPr="00116E73">
              <w:rPr>
                <w:rFonts w:ascii="Century" w:hAnsi="Century"/>
                <w:b/>
                <w:color w:val="003366"/>
                <w:sz w:val="22"/>
                <w:szCs w:val="22"/>
              </w:rPr>
              <w:t>4.1. General Overview</w:t>
            </w:r>
          </w:p>
          <w:p w:rsidR="00834F3D" w:rsidRPr="00116E73" w:rsidRDefault="00834F3D" w:rsidP="00040F7E">
            <w:pPr>
              <w:ind w:left="476" w:hanging="476"/>
              <w:rPr>
                <w:rFonts w:ascii="Century" w:hAnsi="Century"/>
                <w:color w:val="333333"/>
                <w:sz w:val="22"/>
                <w:szCs w:val="22"/>
              </w:rPr>
            </w:pPr>
          </w:p>
          <w:p w:rsidR="000D2B4C" w:rsidRPr="00116E73" w:rsidRDefault="000D2B4C" w:rsidP="000D2B4C">
            <w:pPr>
              <w:jc w:val="both"/>
              <w:rPr>
                <w:rFonts w:ascii="Century" w:hAnsi="Century" w:cs="Arial"/>
                <w:color w:val="333333"/>
                <w:sz w:val="22"/>
                <w:szCs w:val="22"/>
              </w:rPr>
            </w:pPr>
            <w:r w:rsidRPr="00116E73">
              <w:rPr>
                <w:rFonts w:ascii="Century" w:hAnsi="Century" w:cs="Arial"/>
                <w:color w:val="333333"/>
                <w:sz w:val="22"/>
                <w:szCs w:val="22"/>
              </w:rPr>
              <w:t xml:space="preserve">In line with the global insurance market, </w:t>
            </w:r>
            <w:r w:rsidR="009F54CC" w:rsidRPr="00116E73">
              <w:rPr>
                <w:rFonts w:ascii="Century" w:hAnsi="Century" w:cs="Arial"/>
                <w:color w:val="333333"/>
                <w:sz w:val="22"/>
                <w:szCs w:val="22"/>
              </w:rPr>
              <w:t xml:space="preserve">the two major </w:t>
            </w:r>
            <w:r w:rsidR="008400A9" w:rsidRPr="00116E73">
              <w:rPr>
                <w:rFonts w:ascii="Century" w:hAnsi="Century" w:cs="Arial"/>
                <w:color w:val="333333"/>
                <w:sz w:val="22"/>
                <w:szCs w:val="22"/>
              </w:rPr>
              <w:t>categort</w:t>
            </w:r>
            <w:r w:rsidR="009F54CC" w:rsidRPr="00116E73">
              <w:rPr>
                <w:rFonts w:ascii="Century" w:hAnsi="Century" w:cs="Arial"/>
                <w:color w:val="333333"/>
                <w:sz w:val="22"/>
                <w:szCs w:val="22"/>
              </w:rPr>
              <w:t xml:space="preserve"> for insurers are</w:t>
            </w:r>
            <w:r w:rsidRPr="00116E73">
              <w:rPr>
                <w:rFonts w:ascii="Century" w:hAnsi="Century" w:cs="Arial"/>
                <w:color w:val="333333"/>
                <w:sz w:val="22"/>
                <w:szCs w:val="22"/>
              </w:rPr>
              <w:t xml:space="preserve"> life or non-life according to Turkish Insurance Regulation. Insurance Law (no: 5684) </w:t>
            </w:r>
            <w:r w:rsidR="00770BAA" w:rsidRPr="00116E73">
              <w:rPr>
                <w:rFonts w:ascii="Century" w:hAnsi="Century" w:cs="Arial"/>
                <w:color w:val="333333"/>
                <w:sz w:val="22"/>
                <w:szCs w:val="22"/>
              </w:rPr>
              <w:t xml:space="preserve">which </w:t>
            </w:r>
            <w:r w:rsidRPr="00116E73">
              <w:rPr>
                <w:rFonts w:ascii="Century" w:hAnsi="Century" w:cs="Arial"/>
                <w:color w:val="333333"/>
                <w:sz w:val="22"/>
                <w:szCs w:val="22"/>
              </w:rPr>
              <w:t>has</w:t>
            </w:r>
            <w:r w:rsidR="008400A9" w:rsidRPr="00116E73">
              <w:rPr>
                <w:rFonts w:ascii="Century" w:hAnsi="Century" w:cs="Arial"/>
                <w:color w:val="333333"/>
                <w:sz w:val="22"/>
                <w:szCs w:val="22"/>
              </w:rPr>
              <w:t xml:space="preserve"> been taking effect since 2008 defines</w:t>
            </w:r>
            <w:r w:rsidRPr="00116E73">
              <w:rPr>
                <w:rFonts w:ascii="Century" w:hAnsi="Century" w:cs="Arial"/>
                <w:color w:val="333333"/>
                <w:sz w:val="22"/>
                <w:szCs w:val="22"/>
              </w:rPr>
              <w:t xml:space="preserve"> 18 non-life insurance and 8 life insurance lines of business</w:t>
            </w:r>
            <w:r w:rsidR="008400A9" w:rsidRPr="00116E73">
              <w:rPr>
                <w:rFonts w:ascii="Century" w:hAnsi="Century" w:cs="Arial"/>
                <w:color w:val="333333"/>
                <w:sz w:val="22"/>
                <w:szCs w:val="22"/>
              </w:rPr>
              <w:t>. This</w:t>
            </w:r>
            <w:r w:rsidRPr="00116E73">
              <w:rPr>
                <w:rFonts w:ascii="Century" w:hAnsi="Century" w:cs="Arial"/>
                <w:color w:val="333333"/>
                <w:sz w:val="22"/>
                <w:szCs w:val="22"/>
              </w:rPr>
              <w:t xml:space="preserve"> report has been prepared according</w:t>
            </w:r>
            <w:r w:rsidR="008400A9" w:rsidRPr="00116E73">
              <w:rPr>
                <w:rFonts w:ascii="Century" w:hAnsi="Century" w:cs="Arial"/>
                <w:color w:val="333333"/>
                <w:sz w:val="22"/>
                <w:szCs w:val="22"/>
              </w:rPr>
              <w:t>ly</w:t>
            </w:r>
            <w:r w:rsidRPr="00116E73">
              <w:rPr>
                <w:rFonts w:ascii="Century" w:hAnsi="Century" w:cs="Arial"/>
                <w:color w:val="333333"/>
                <w:sz w:val="22"/>
                <w:szCs w:val="22"/>
              </w:rPr>
              <w:t xml:space="preserve">. </w:t>
            </w:r>
            <w:r w:rsidR="00770BAA" w:rsidRPr="00116E73">
              <w:rPr>
                <w:rFonts w:ascii="Century" w:hAnsi="Century" w:cs="Arial"/>
                <w:color w:val="333333"/>
                <w:sz w:val="22"/>
                <w:szCs w:val="22"/>
              </w:rPr>
              <w:t>D</w:t>
            </w:r>
            <w:r w:rsidRPr="00116E73">
              <w:rPr>
                <w:rFonts w:ascii="Century" w:hAnsi="Century" w:cs="Arial"/>
                <w:color w:val="333333"/>
                <w:sz w:val="22"/>
                <w:szCs w:val="22"/>
              </w:rPr>
              <w:t>etailed income statements of the companies have been submitted at the section of Tables of the Report.</w:t>
            </w:r>
          </w:p>
          <w:p w:rsidR="000D2B4C" w:rsidRDefault="000D2B4C" w:rsidP="000D2B4C">
            <w:pPr>
              <w:jc w:val="both"/>
              <w:rPr>
                <w:rFonts w:ascii="Century" w:hAnsi="Century" w:cs="Arial"/>
                <w:color w:val="333333"/>
                <w:sz w:val="22"/>
                <w:szCs w:val="22"/>
                <w:highlight w:val="yellow"/>
              </w:rPr>
            </w:pPr>
          </w:p>
          <w:p w:rsidR="00745DEB" w:rsidRPr="00B10D90" w:rsidRDefault="00745DEB" w:rsidP="000D2B4C">
            <w:pPr>
              <w:jc w:val="both"/>
              <w:rPr>
                <w:rFonts w:ascii="Century" w:hAnsi="Century" w:cs="Arial"/>
                <w:color w:val="333333"/>
                <w:sz w:val="22"/>
                <w:szCs w:val="22"/>
                <w:highlight w:val="yellow"/>
              </w:rPr>
            </w:pPr>
          </w:p>
          <w:p w:rsidR="000D2B4C" w:rsidRPr="00B10D90" w:rsidRDefault="000D2B4C" w:rsidP="000D2B4C">
            <w:pPr>
              <w:jc w:val="both"/>
              <w:rPr>
                <w:rFonts w:ascii="Century" w:hAnsi="Century" w:cs="Arial"/>
                <w:color w:val="333333"/>
                <w:sz w:val="22"/>
                <w:szCs w:val="22"/>
                <w:highlight w:val="yellow"/>
              </w:rPr>
            </w:pPr>
            <w:r w:rsidRPr="00116E73">
              <w:rPr>
                <w:rFonts w:ascii="Century" w:hAnsi="Century" w:cs="Arial"/>
                <w:color w:val="333333"/>
                <w:sz w:val="22"/>
                <w:szCs w:val="22"/>
              </w:rPr>
              <w:t>Since 1998, insurance companies have been obliged to act either in life or non-life insurance groups. Even though non-life insurance companies cannot issue any new policy in life business, they are allowed to keep the existing life portfolio issued before the re</w:t>
            </w:r>
            <w:r w:rsidR="00FC78CE" w:rsidRPr="00116E73">
              <w:rPr>
                <w:rFonts w:ascii="Century" w:hAnsi="Century" w:cs="Arial"/>
                <w:color w:val="333333"/>
                <w:sz w:val="22"/>
                <w:szCs w:val="22"/>
              </w:rPr>
              <w:t>gulation</w:t>
            </w:r>
            <w:r w:rsidR="00FC78CE" w:rsidRPr="00CA1474">
              <w:rPr>
                <w:rFonts w:ascii="Century" w:hAnsi="Century" w:cs="Arial"/>
                <w:color w:val="333333"/>
                <w:sz w:val="22"/>
                <w:szCs w:val="22"/>
              </w:rPr>
              <w:t>. As of the end of 201</w:t>
            </w:r>
            <w:r w:rsidR="00CA1474" w:rsidRPr="00CA1474">
              <w:rPr>
                <w:rFonts w:ascii="Century" w:hAnsi="Century" w:cs="Arial"/>
                <w:color w:val="333333"/>
                <w:sz w:val="22"/>
                <w:szCs w:val="22"/>
              </w:rPr>
              <w:t>8</w:t>
            </w:r>
            <w:r w:rsidRPr="00CA1474">
              <w:rPr>
                <w:rFonts w:ascii="Century" w:hAnsi="Century" w:cs="Arial"/>
                <w:color w:val="333333"/>
                <w:sz w:val="22"/>
                <w:szCs w:val="22"/>
              </w:rPr>
              <w:t xml:space="preserve">, </w:t>
            </w:r>
            <w:r w:rsidRPr="00CA1474">
              <w:rPr>
                <w:rFonts w:ascii="Century" w:hAnsi="Century"/>
                <w:color w:val="333333"/>
                <w:sz w:val="22"/>
                <w:szCs w:val="22"/>
              </w:rPr>
              <w:t>Aksigorta AŞ, Generali Sigorta AŞ and Merkez Sigorta AŞ</w:t>
            </w:r>
            <w:r w:rsidRPr="00CA1474">
              <w:rPr>
                <w:rFonts w:ascii="Century" w:hAnsi="Century" w:cs="Arial"/>
                <w:color w:val="333333"/>
                <w:sz w:val="22"/>
                <w:szCs w:val="22"/>
              </w:rPr>
              <w:t xml:space="preserve"> are three licensed non-life insurance companies having life portfolio as well</w:t>
            </w:r>
            <w:r w:rsidRPr="00CA1474">
              <w:rPr>
                <w:rFonts w:ascii="Century" w:hAnsi="Century"/>
                <w:color w:val="333333"/>
                <w:sz w:val="22"/>
                <w:szCs w:val="22"/>
              </w:rPr>
              <w:t>. However, Merkez Sigorta AŞ does not issue any new policy on any line of business.</w:t>
            </w:r>
          </w:p>
          <w:p w:rsidR="000D2B4C" w:rsidRDefault="000D2B4C" w:rsidP="000D2B4C">
            <w:pPr>
              <w:jc w:val="both"/>
              <w:rPr>
                <w:rFonts w:ascii="Century" w:hAnsi="Century" w:cs="Arial"/>
                <w:color w:val="333333"/>
                <w:sz w:val="22"/>
                <w:szCs w:val="22"/>
                <w:highlight w:val="yellow"/>
              </w:rPr>
            </w:pPr>
          </w:p>
          <w:p w:rsidR="00745DEB" w:rsidRPr="00B10D90" w:rsidRDefault="00745DEB" w:rsidP="000D2B4C">
            <w:pPr>
              <w:jc w:val="both"/>
              <w:rPr>
                <w:rFonts w:ascii="Century" w:hAnsi="Century" w:cs="Arial"/>
                <w:color w:val="333333"/>
                <w:sz w:val="22"/>
                <w:szCs w:val="22"/>
                <w:highlight w:val="yellow"/>
              </w:rPr>
            </w:pPr>
          </w:p>
          <w:p w:rsidR="000D2B4C" w:rsidRPr="00CA1474" w:rsidRDefault="000D2B4C" w:rsidP="000D2B4C">
            <w:pPr>
              <w:jc w:val="both"/>
              <w:rPr>
                <w:rFonts w:ascii="Century" w:hAnsi="Century" w:cs="Arial"/>
                <w:color w:val="333333"/>
                <w:sz w:val="22"/>
                <w:szCs w:val="22"/>
              </w:rPr>
            </w:pPr>
            <w:r w:rsidRPr="00CA1474">
              <w:rPr>
                <w:rFonts w:ascii="Century" w:hAnsi="Century" w:cs="Arial"/>
                <w:color w:val="333333"/>
                <w:sz w:val="22"/>
                <w:szCs w:val="22"/>
              </w:rPr>
              <w:t xml:space="preserve">In </w:t>
            </w:r>
            <w:r w:rsidR="00770BAA" w:rsidRPr="00CA1474">
              <w:rPr>
                <w:rFonts w:ascii="Century" w:hAnsi="Century" w:cs="Arial"/>
                <w:color w:val="333333"/>
                <w:sz w:val="22"/>
                <w:szCs w:val="22"/>
              </w:rPr>
              <w:t xml:space="preserve">the </w:t>
            </w:r>
            <w:r w:rsidRPr="00CA1474">
              <w:rPr>
                <w:rFonts w:ascii="Century" w:hAnsi="Century" w:cs="Arial"/>
                <w:color w:val="333333"/>
                <w:sz w:val="22"/>
                <w:szCs w:val="22"/>
              </w:rPr>
              <w:t xml:space="preserve">current system, life insurance companies </w:t>
            </w:r>
            <w:r w:rsidR="00DF2BEE" w:rsidRPr="00CA1474">
              <w:rPr>
                <w:rFonts w:ascii="Century" w:hAnsi="Century" w:cs="Arial"/>
                <w:color w:val="333333"/>
                <w:sz w:val="22"/>
                <w:szCs w:val="22"/>
              </w:rPr>
              <w:t xml:space="preserve">and pension companies could get licence in all life insurance lines. </w:t>
            </w:r>
          </w:p>
          <w:p w:rsidR="00DF2BEE" w:rsidRDefault="00DF2BEE" w:rsidP="000D2B4C">
            <w:pPr>
              <w:jc w:val="both"/>
              <w:rPr>
                <w:rFonts w:ascii="Century" w:hAnsi="Century" w:cs="Arial"/>
                <w:color w:val="333333"/>
                <w:sz w:val="22"/>
                <w:szCs w:val="22"/>
                <w:highlight w:val="yellow"/>
              </w:rPr>
            </w:pPr>
          </w:p>
          <w:p w:rsidR="00745DEB" w:rsidRPr="00B10D90" w:rsidRDefault="00745DEB" w:rsidP="000D2B4C">
            <w:pPr>
              <w:jc w:val="both"/>
              <w:rPr>
                <w:rFonts w:ascii="Century" w:hAnsi="Century" w:cs="Arial"/>
                <w:color w:val="333333"/>
                <w:sz w:val="22"/>
                <w:szCs w:val="22"/>
                <w:highlight w:val="yellow"/>
              </w:rPr>
            </w:pPr>
          </w:p>
          <w:p w:rsidR="00834F3D" w:rsidRPr="00B10D90" w:rsidRDefault="000D2B4C" w:rsidP="00CA1474">
            <w:pPr>
              <w:jc w:val="both"/>
              <w:rPr>
                <w:rFonts w:ascii="Century" w:hAnsi="Century" w:cs="Arial"/>
                <w:color w:val="333333"/>
                <w:sz w:val="22"/>
                <w:szCs w:val="22"/>
                <w:highlight w:val="yellow"/>
              </w:rPr>
            </w:pPr>
            <w:r w:rsidRPr="00CA1474">
              <w:rPr>
                <w:rFonts w:ascii="Century" w:hAnsi="Century" w:cs="Arial"/>
                <w:color w:val="333333"/>
                <w:sz w:val="22"/>
                <w:szCs w:val="22"/>
              </w:rPr>
              <w:t xml:space="preserve">The following table </w:t>
            </w:r>
            <w:r w:rsidR="008400A9" w:rsidRPr="00CA1474">
              <w:rPr>
                <w:rFonts w:ascii="Century" w:hAnsi="Century" w:cs="Arial"/>
                <w:color w:val="333333"/>
                <w:sz w:val="22"/>
                <w:szCs w:val="22"/>
              </w:rPr>
              <w:t>re</w:t>
            </w:r>
            <w:r w:rsidRPr="00CA1474">
              <w:rPr>
                <w:rFonts w:ascii="Century" w:hAnsi="Century" w:cs="Arial"/>
                <w:color w:val="333333"/>
                <w:sz w:val="22"/>
                <w:szCs w:val="22"/>
              </w:rPr>
              <w:t>presents the number of insurance and pension companies operating i</w:t>
            </w:r>
            <w:r w:rsidR="00FC78CE" w:rsidRPr="00CA1474">
              <w:rPr>
                <w:rFonts w:ascii="Century" w:hAnsi="Century" w:cs="Arial"/>
                <w:color w:val="333333"/>
                <w:sz w:val="22"/>
                <w:szCs w:val="22"/>
              </w:rPr>
              <w:t>n Turkey in 201</w:t>
            </w:r>
            <w:r w:rsidR="00CA1474" w:rsidRPr="00CA1474">
              <w:rPr>
                <w:rFonts w:ascii="Century" w:hAnsi="Century" w:cs="Arial"/>
                <w:color w:val="333333"/>
                <w:sz w:val="22"/>
                <w:szCs w:val="22"/>
              </w:rPr>
              <w:t>8</w:t>
            </w:r>
            <w:r w:rsidRPr="00CA1474">
              <w:rPr>
                <w:rFonts w:ascii="Century" w:hAnsi="Century" w:cs="Arial"/>
                <w:color w:val="333333"/>
                <w:sz w:val="22"/>
                <w:szCs w:val="22"/>
              </w:rPr>
              <w:t xml:space="preserve"> according to the licenses they hold. There </w:t>
            </w:r>
            <w:r w:rsidR="008400A9" w:rsidRPr="00CA1474">
              <w:rPr>
                <w:rFonts w:ascii="Century" w:hAnsi="Century" w:cs="Arial"/>
                <w:color w:val="333333"/>
                <w:sz w:val="22"/>
                <w:szCs w:val="22"/>
              </w:rPr>
              <w:t>has been</w:t>
            </w:r>
            <w:r w:rsidRPr="00CA1474">
              <w:rPr>
                <w:rFonts w:ascii="Century" w:hAnsi="Century" w:cs="Arial"/>
                <w:color w:val="333333"/>
                <w:sz w:val="22"/>
                <w:szCs w:val="22"/>
              </w:rPr>
              <w:t xml:space="preserve"> no company that has any license for Management of Funds and Tontine insurance in life group so far.</w:t>
            </w:r>
          </w:p>
        </w:tc>
      </w:tr>
      <w:tr w:rsidR="00F544B8" w:rsidRPr="00B10D90" w:rsidTr="00441D50">
        <w:trPr>
          <w:gridAfter w:val="1"/>
          <w:wAfter w:w="20" w:type="dxa"/>
        </w:trPr>
        <w:tc>
          <w:tcPr>
            <w:tcW w:w="4817" w:type="dxa"/>
            <w:gridSpan w:val="2"/>
          </w:tcPr>
          <w:p w:rsidR="00F544B8" w:rsidRPr="00B10D90" w:rsidRDefault="00F544B8" w:rsidP="00E86E2F">
            <w:pPr>
              <w:pStyle w:val="Heading2"/>
              <w:keepNext w:val="0"/>
              <w:numPr>
                <w:ilvl w:val="0"/>
                <w:numId w:val="0"/>
              </w:numPr>
              <w:spacing w:before="0" w:after="0"/>
              <w:ind w:left="179"/>
              <w:jc w:val="both"/>
              <w:rPr>
                <w:rFonts w:ascii="Century" w:hAnsi="Century"/>
                <w:i w:val="0"/>
                <w:color w:val="000080"/>
                <w:sz w:val="22"/>
                <w:szCs w:val="22"/>
                <w:highlight w:val="yellow"/>
              </w:rPr>
            </w:pPr>
          </w:p>
        </w:tc>
        <w:tc>
          <w:tcPr>
            <w:tcW w:w="318" w:type="dxa"/>
            <w:gridSpan w:val="7"/>
          </w:tcPr>
          <w:p w:rsidR="00F544B8" w:rsidRPr="00B10D90" w:rsidRDefault="00F544B8" w:rsidP="00700CE3">
            <w:pPr>
              <w:rPr>
                <w:rFonts w:ascii="Century" w:hAnsi="Century"/>
                <w:sz w:val="22"/>
                <w:szCs w:val="22"/>
                <w:highlight w:val="yellow"/>
              </w:rPr>
            </w:pPr>
          </w:p>
        </w:tc>
        <w:tc>
          <w:tcPr>
            <w:tcW w:w="4703" w:type="dxa"/>
            <w:gridSpan w:val="6"/>
          </w:tcPr>
          <w:p w:rsidR="00F544B8" w:rsidRPr="00B10D90" w:rsidRDefault="00F544B8" w:rsidP="00700CE3">
            <w:pPr>
              <w:ind w:left="476" w:hanging="476"/>
              <w:jc w:val="both"/>
              <w:rPr>
                <w:rFonts w:ascii="Century" w:hAnsi="Century"/>
                <w:b/>
                <w:color w:val="003366"/>
                <w:sz w:val="22"/>
                <w:szCs w:val="22"/>
                <w:highlight w:val="yellow"/>
              </w:rPr>
            </w:pPr>
          </w:p>
        </w:tc>
      </w:tr>
      <w:tr w:rsidR="00F544B8" w:rsidRPr="00B10D90" w:rsidTr="00441D50">
        <w:trPr>
          <w:gridAfter w:val="1"/>
          <w:wAfter w:w="20" w:type="dxa"/>
          <w:trHeight w:val="9214"/>
        </w:trPr>
        <w:tc>
          <w:tcPr>
            <w:tcW w:w="9838" w:type="dxa"/>
            <w:gridSpan w:val="15"/>
          </w:tcPr>
          <w:p w:rsidR="00F544B8" w:rsidRPr="00FD4407" w:rsidRDefault="00F544B8" w:rsidP="00FC5CCD">
            <w:pPr>
              <w:pStyle w:val="Caption"/>
              <w:jc w:val="center"/>
              <w:rPr>
                <w:rFonts w:ascii="Century" w:hAnsi="Century"/>
                <w:bCs w:val="0"/>
                <w:color w:val="000080"/>
              </w:rPr>
            </w:pPr>
            <w:bookmarkStart w:id="220" w:name="_Toc170665555"/>
            <w:r w:rsidRPr="00FD4407">
              <w:rPr>
                <w:rFonts w:ascii="Century" w:hAnsi="Century"/>
                <w:color w:val="000080"/>
              </w:rPr>
              <w:lastRenderedPageBreak/>
              <w:t>Tablo 4.1.</w:t>
            </w:r>
            <w:r w:rsidR="009E73C3" w:rsidRPr="00FD4407">
              <w:rPr>
                <w:rFonts w:ascii="Century" w:hAnsi="Century"/>
                <w:color w:val="000080"/>
              </w:rPr>
              <w:fldChar w:fldCharType="begin"/>
            </w:r>
            <w:r w:rsidRPr="00FD4407">
              <w:rPr>
                <w:rFonts w:ascii="Century" w:hAnsi="Century"/>
                <w:color w:val="000080"/>
              </w:rPr>
              <w:instrText xml:space="preserve"> SEQ Tablo \* ARABIC \s 2 </w:instrText>
            </w:r>
            <w:r w:rsidR="009E73C3" w:rsidRPr="00FD4407">
              <w:rPr>
                <w:rFonts w:ascii="Century" w:hAnsi="Century"/>
                <w:color w:val="000080"/>
              </w:rPr>
              <w:fldChar w:fldCharType="separate"/>
            </w:r>
            <w:r w:rsidR="00F57699">
              <w:rPr>
                <w:rFonts w:ascii="Century" w:hAnsi="Century"/>
                <w:noProof/>
                <w:color w:val="000080"/>
              </w:rPr>
              <w:t>1</w:t>
            </w:r>
            <w:r w:rsidR="009E73C3" w:rsidRPr="00FD4407">
              <w:rPr>
                <w:rFonts w:ascii="Century" w:hAnsi="Century"/>
                <w:color w:val="000080"/>
              </w:rPr>
              <w:fldChar w:fldCharType="end"/>
            </w:r>
            <w:r w:rsidRPr="00FD4407">
              <w:rPr>
                <w:rFonts w:ascii="Century" w:hAnsi="Century"/>
                <w:color w:val="000080"/>
              </w:rPr>
              <w:t xml:space="preserve">: </w:t>
            </w:r>
            <w:r w:rsidR="00FB7FB3" w:rsidRPr="00FD4407">
              <w:rPr>
                <w:rFonts w:ascii="Century" w:hAnsi="Century"/>
                <w:color w:val="000080"/>
              </w:rPr>
              <w:t xml:space="preserve">Sigorta Branşları İtibariyle </w:t>
            </w:r>
            <w:r w:rsidRPr="00FD4407">
              <w:rPr>
                <w:rFonts w:ascii="Century" w:hAnsi="Century"/>
                <w:color w:val="000080"/>
              </w:rPr>
              <w:t>Faal Sigorta ve Emeklilik Şirket</w:t>
            </w:r>
            <w:r w:rsidR="00FB7FB3" w:rsidRPr="00FD4407">
              <w:rPr>
                <w:rFonts w:ascii="Century" w:hAnsi="Century"/>
                <w:color w:val="000080"/>
              </w:rPr>
              <w:t>i Sayısı</w:t>
            </w:r>
          </w:p>
          <w:p w:rsidR="00F544B8" w:rsidRDefault="00352F56" w:rsidP="00FC5CCD">
            <w:pPr>
              <w:pStyle w:val="Caption"/>
              <w:jc w:val="center"/>
              <w:rPr>
                <w:rFonts w:ascii="Century" w:hAnsi="Century"/>
                <w:b w:val="0"/>
                <w:i/>
                <w:iCs/>
                <w:color w:val="000080"/>
              </w:rPr>
            </w:pPr>
            <w:r w:rsidRPr="00FD4407">
              <w:rPr>
                <w:rFonts w:ascii="Century" w:hAnsi="Century"/>
                <w:b w:val="0"/>
                <w:i/>
                <w:iCs/>
                <w:color w:val="000080"/>
              </w:rPr>
              <w:t xml:space="preserve">Active </w:t>
            </w:r>
            <w:r w:rsidR="00F544B8" w:rsidRPr="00FD4407">
              <w:rPr>
                <w:rFonts w:ascii="Century" w:hAnsi="Century"/>
                <w:b w:val="0"/>
                <w:i/>
                <w:iCs/>
                <w:color w:val="000080"/>
              </w:rPr>
              <w:t>Insurance and Pensions</w:t>
            </w:r>
            <w:bookmarkEnd w:id="220"/>
            <w:r w:rsidR="00F544B8" w:rsidRPr="00FD4407">
              <w:rPr>
                <w:rFonts w:ascii="Century" w:hAnsi="Century"/>
                <w:b w:val="0"/>
                <w:i/>
                <w:iCs/>
                <w:color w:val="000080"/>
              </w:rPr>
              <w:t xml:space="preserve"> Companies</w:t>
            </w:r>
            <w:r w:rsidR="00FB7FB3" w:rsidRPr="00FD4407">
              <w:rPr>
                <w:rFonts w:ascii="Century" w:hAnsi="Century"/>
                <w:b w:val="0"/>
                <w:i/>
                <w:iCs/>
                <w:color w:val="000080"/>
              </w:rPr>
              <w:t xml:space="preserve"> Per Line of Business</w:t>
            </w:r>
          </w:p>
          <w:p w:rsidR="004004AD" w:rsidRDefault="00F434F6" w:rsidP="004004AD">
            <w:r>
              <w:rPr>
                <w:noProof/>
              </w:rPr>
              <w:drawing>
                <wp:inline distT="0" distB="0" distL="0" distR="0" wp14:anchorId="0E75303E" wp14:editId="40C88501">
                  <wp:extent cx="5972175" cy="6515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175" cy="6515100"/>
                          </a:xfrm>
                          <a:prstGeom prst="rect">
                            <a:avLst/>
                          </a:prstGeom>
                          <a:noFill/>
                          <a:ln>
                            <a:noFill/>
                          </a:ln>
                        </pic:spPr>
                      </pic:pic>
                    </a:graphicData>
                  </a:graphic>
                </wp:inline>
              </w:drawing>
            </w:r>
          </w:p>
          <w:p w:rsidR="00FC5CCD" w:rsidRPr="00FD4407" w:rsidRDefault="00FC5CCD" w:rsidP="00FC5CCD">
            <w:pPr>
              <w:jc w:val="center"/>
            </w:pPr>
          </w:p>
          <w:p w:rsidR="00BC08DF" w:rsidRPr="00FD4407" w:rsidRDefault="00BC08DF" w:rsidP="00F652DE">
            <w:pPr>
              <w:ind w:left="252"/>
              <w:rPr>
                <w:rFonts w:ascii="Century" w:hAnsi="Century"/>
                <w:sz w:val="18"/>
                <w:szCs w:val="18"/>
              </w:rPr>
            </w:pPr>
          </w:p>
        </w:tc>
      </w:tr>
      <w:tr w:rsidR="00F544B8" w:rsidRPr="00B10D90" w:rsidTr="00441D50">
        <w:trPr>
          <w:gridAfter w:val="1"/>
          <w:wAfter w:w="20" w:type="dxa"/>
          <w:trHeight w:val="607"/>
        </w:trPr>
        <w:tc>
          <w:tcPr>
            <w:tcW w:w="4817" w:type="dxa"/>
            <w:gridSpan w:val="2"/>
          </w:tcPr>
          <w:p w:rsidR="00A83E4A" w:rsidRPr="00B10D90" w:rsidRDefault="00A83E4A" w:rsidP="00E11E58">
            <w:pPr>
              <w:jc w:val="both"/>
              <w:rPr>
                <w:rFonts w:ascii="Century" w:hAnsi="Century"/>
                <w:sz w:val="20"/>
                <w:szCs w:val="20"/>
                <w:highlight w:val="yellow"/>
              </w:rPr>
            </w:pPr>
          </w:p>
          <w:p w:rsidR="00181BE3" w:rsidRPr="00DE7DE0" w:rsidRDefault="00013E79" w:rsidP="00E11E58">
            <w:pPr>
              <w:jc w:val="both"/>
              <w:rPr>
                <w:rFonts w:ascii="Century" w:hAnsi="Century"/>
                <w:sz w:val="22"/>
                <w:szCs w:val="22"/>
              </w:rPr>
            </w:pPr>
            <w:r w:rsidRPr="00DE7DE0">
              <w:rPr>
                <w:rFonts w:ascii="Century" w:hAnsi="Century"/>
                <w:sz w:val="22"/>
                <w:szCs w:val="22"/>
              </w:rPr>
              <w:t>Sektörde sigorta ve emek</w:t>
            </w:r>
            <w:r w:rsidR="003A36C5" w:rsidRPr="00DE7DE0">
              <w:rPr>
                <w:rFonts w:ascii="Century" w:hAnsi="Century"/>
                <w:sz w:val="22"/>
                <w:szCs w:val="22"/>
              </w:rPr>
              <w:t>lilik şirketleri tarafından 201</w:t>
            </w:r>
            <w:r w:rsidR="00DE7DE0" w:rsidRPr="00DE7DE0">
              <w:rPr>
                <w:rFonts w:ascii="Century" w:hAnsi="Century"/>
                <w:sz w:val="22"/>
                <w:szCs w:val="22"/>
              </w:rPr>
              <w:t xml:space="preserve">8 yılında toplam </w:t>
            </w:r>
            <w:r w:rsidR="00303A16">
              <w:rPr>
                <w:rFonts w:ascii="Century" w:hAnsi="Century"/>
                <w:sz w:val="22"/>
                <w:szCs w:val="22"/>
              </w:rPr>
              <w:t xml:space="preserve">                </w:t>
            </w:r>
            <w:r w:rsidR="00DE7DE0" w:rsidRPr="00DE7DE0">
              <w:rPr>
                <w:rFonts w:ascii="Century" w:hAnsi="Century"/>
                <w:sz w:val="22"/>
                <w:szCs w:val="22"/>
              </w:rPr>
              <w:t>54</w:t>
            </w:r>
            <w:proofErr w:type="gramStart"/>
            <w:r w:rsidR="00CB4EC1" w:rsidRPr="00DE7DE0">
              <w:rPr>
                <w:rFonts w:ascii="Century" w:hAnsi="Century"/>
                <w:sz w:val="22"/>
                <w:szCs w:val="22"/>
              </w:rPr>
              <w:t>,</w:t>
            </w:r>
            <w:r w:rsidR="003A36C5" w:rsidRPr="00DE7DE0">
              <w:rPr>
                <w:rFonts w:ascii="Century" w:hAnsi="Century"/>
                <w:sz w:val="22"/>
                <w:szCs w:val="22"/>
              </w:rPr>
              <w:t>6</w:t>
            </w:r>
            <w:proofErr w:type="gramEnd"/>
            <w:r w:rsidRPr="00DE7DE0">
              <w:rPr>
                <w:rFonts w:ascii="Century" w:hAnsi="Century"/>
                <w:sz w:val="22"/>
                <w:szCs w:val="22"/>
              </w:rPr>
              <w:t xml:space="preserve"> milyar TL prim üretimi gerçekleştirilmiştir. Aşağıdaki tabloda son dört yıla ilişkin toplam prim üretimleri branşlar bazında verilmiştir.</w:t>
            </w:r>
          </w:p>
          <w:p w:rsidR="00406098" w:rsidRPr="00B10D90" w:rsidRDefault="00406098" w:rsidP="00E11E58">
            <w:pPr>
              <w:jc w:val="both"/>
              <w:rPr>
                <w:rFonts w:ascii="Century" w:hAnsi="Century"/>
                <w:sz w:val="22"/>
                <w:szCs w:val="22"/>
                <w:highlight w:val="yellow"/>
              </w:rPr>
            </w:pPr>
          </w:p>
          <w:p w:rsidR="003A36C5" w:rsidRDefault="003A36C5" w:rsidP="00E11E58">
            <w:pPr>
              <w:jc w:val="both"/>
              <w:rPr>
                <w:rFonts w:ascii="Century" w:hAnsi="Century"/>
                <w:sz w:val="22"/>
                <w:szCs w:val="22"/>
                <w:highlight w:val="yellow"/>
              </w:rPr>
            </w:pPr>
          </w:p>
          <w:p w:rsidR="00181BE3" w:rsidRPr="00B10D90" w:rsidRDefault="00181BE3" w:rsidP="00E11E58">
            <w:pPr>
              <w:jc w:val="both"/>
              <w:rPr>
                <w:rFonts w:ascii="Century" w:hAnsi="Century"/>
                <w:sz w:val="22"/>
                <w:szCs w:val="22"/>
                <w:highlight w:val="yellow"/>
              </w:rPr>
            </w:pPr>
          </w:p>
        </w:tc>
        <w:tc>
          <w:tcPr>
            <w:tcW w:w="318" w:type="dxa"/>
            <w:gridSpan w:val="7"/>
          </w:tcPr>
          <w:p w:rsidR="00F544B8" w:rsidRPr="00B10D90" w:rsidRDefault="00F544B8" w:rsidP="000811E0">
            <w:pPr>
              <w:rPr>
                <w:rFonts w:ascii="Century" w:hAnsi="Century"/>
                <w:sz w:val="22"/>
                <w:szCs w:val="22"/>
                <w:highlight w:val="yellow"/>
              </w:rPr>
            </w:pPr>
          </w:p>
        </w:tc>
        <w:tc>
          <w:tcPr>
            <w:tcW w:w="4703" w:type="dxa"/>
            <w:gridSpan w:val="6"/>
          </w:tcPr>
          <w:p w:rsidR="00181BE3" w:rsidRPr="00B10D90" w:rsidRDefault="00181BE3" w:rsidP="001A7C03">
            <w:pPr>
              <w:jc w:val="both"/>
              <w:rPr>
                <w:rFonts w:ascii="Century" w:hAnsi="Century"/>
                <w:color w:val="333333"/>
                <w:sz w:val="20"/>
                <w:szCs w:val="20"/>
                <w:highlight w:val="yellow"/>
              </w:rPr>
            </w:pPr>
          </w:p>
          <w:p w:rsidR="001A7C03" w:rsidRPr="00B10D90" w:rsidRDefault="00013E79" w:rsidP="003A36C5">
            <w:pPr>
              <w:jc w:val="both"/>
              <w:rPr>
                <w:rFonts w:ascii="Century" w:hAnsi="Century"/>
                <w:color w:val="333333"/>
                <w:sz w:val="22"/>
                <w:szCs w:val="22"/>
                <w:highlight w:val="yellow"/>
              </w:rPr>
            </w:pPr>
            <w:r w:rsidRPr="00DE7DE0">
              <w:rPr>
                <w:rFonts w:ascii="Century" w:hAnsi="Century"/>
                <w:color w:val="333333"/>
                <w:sz w:val="22"/>
                <w:szCs w:val="22"/>
              </w:rPr>
              <w:t xml:space="preserve">Insurance and pension companies generated </w:t>
            </w:r>
            <w:r w:rsidRPr="00DE7DE0">
              <w:rPr>
                <w:rFonts w:ascii="AbakuTLSymSans" w:hAnsi="AbakuTLSymSans" w:cs="Arial"/>
                <w:bCs/>
                <w:color w:val="333333"/>
                <w:sz w:val="20"/>
                <w:szCs w:val="20"/>
              </w:rPr>
              <w:t>¨</w:t>
            </w:r>
            <w:r w:rsidR="00DE7DE0" w:rsidRPr="00DE7DE0">
              <w:rPr>
                <w:rFonts w:ascii="Century" w:hAnsi="Century"/>
                <w:color w:val="333333"/>
                <w:sz w:val="22"/>
                <w:szCs w:val="22"/>
              </w:rPr>
              <w:t>54.6 billion gross premium in 2018</w:t>
            </w:r>
            <w:r w:rsidRPr="00DE7DE0">
              <w:rPr>
                <w:rFonts w:ascii="Century" w:hAnsi="Century"/>
                <w:color w:val="333333"/>
                <w:sz w:val="22"/>
                <w:szCs w:val="22"/>
              </w:rPr>
              <w:t xml:space="preserve"> in Turkey. The following table shows the composition of gross premium production per </w:t>
            </w:r>
            <w:r w:rsidR="00CB4EC1" w:rsidRPr="00DE7DE0">
              <w:rPr>
                <w:rFonts w:ascii="Century" w:hAnsi="Century"/>
                <w:color w:val="333333"/>
                <w:sz w:val="22"/>
                <w:szCs w:val="22"/>
              </w:rPr>
              <w:t xml:space="preserve">line of business </w:t>
            </w:r>
            <w:r w:rsidRPr="00DE7DE0">
              <w:rPr>
                <w:rFonts w:ascii="Century" w:hAnsi="Century"/>
                <w:color w:val="333333"/>
                <w:sz w:val="22"/>
                <w:szCs w:val="22"/>
              </w:rPr>
              <w:t>for the last four years.</w:t>
            </w:r>
          </w:p>
        </w:tc>
      </w:tr>
      <w:tr w:rsidR="00F544B8" w:rsidRPr="00B10D90" w:rsidTr="00441D50">
        <w:trPr>
          <w:gridAfter w:val="1"/>
          <w:wAfter w:w="20" w:type="dxa"/>
          <w:trHeight w:val="227"/>
        </w:trPr>
        <w:tc>
          <w:tcPr>
            <w:tcW w:w="9838" w:type="dxa"/>
            <w:gridSpan w:val="15"/>
          </w:tcPr>
          <w:p w:rsidR="00F544B8" w:rsidRDefault="00F544B8" w:rsidP="004F17C4">
            <w:pPr>
              <w:pStyle w:val="Caption"/>
              <w:jc w:val="center"/>
              <w:rPr>
                <w:rFonts w:ascii="Century" w:hAnsi="Century"/>
                <w:b w:val="0"/>
                <w:i/>
                <w:iCs/>
                <w:color w:val="000080"/>
              </w:rPr>
            </w:pPr>
            <w:r w:rsidRPr="00DE7DE0">
              <w:rPr>
                <w:rFonts w:ascii="Century" w:hAnsi="Century"/>
                <w:color w:val="000080"/>
              </w:rPr>
              <w:lastRenderedPageBreak/>
              <w:t xml:space="preserve">Tablo 4.1.2: Branş Bazında Toplam </w:t>
            </w:r>
            <w:r w:rsidRPr="00DE7DE0">
              <w:rPr>
                <w:rFonts w:ascii="Century" w:hAnsi="Century"/>
                <w:bCs w:val="0"/>
                <w:color w:val="000080"/>
              </w:rPr>
              <w:t xml:space="preserve">Prim Üretimi – </w:t>
            </w:r>
            <w:r w:rsidRPr="00DE7DE0">
              <w:rPr>
                <w:rFonts w:ascii="Century" w:hAnsi="Century"/>
                <w:b w:val="0"/>
                <w:bCs w:val="0"/>
                <w:i/>
                <w:color w:val="000080"/>
              </w:rPr>
              <w:t xml:space="preserve">Gross </w:t>
            </w:r>
            <w:r w:rsidRPr="00DE7DE0">
              <w:rPr>
                <w:rFonts w:ascii="Century" w:hAnsi="Century"/>
                <w:b w:val="0"/>
                <w:i/>
                <w:iCs/>
                <w:color w:val="000080"/>
              </w:rPr>
              <w:t xml:space="preserve">Premium Production per </w:t>
            </w:r>
            <w:r w:rsidR="00833000" w:rsidRPr="00DE7DE0">
              <w:rPr>
                <w:rFonts w:ascii="Century" w:hAnsi="Century"/>
                <w:b w:val="0"/>
                <w:i/>
                <w:iCs/>
                <w:color w:val="000080"/>
              </w:rPr>
              <w:t>LoB</w:t>
            </w:r>
          </w:p>
          <w:p w:rsidR="00F434F6" w:rsidRDefault="00F434F6" w:rsidP="00F434F6">
            <w:r>
              <w:rPr>
                <w:noProof/>
              </w:rPr>
              <w:drawing>
                <wp:inline distT="0" distB="0" distL="0" distR="0" wp14:anchorId="67A33FF7" wp14:editId="7CD9E74E">
                  <wp:extent cx="6105525" cy="3771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5525" cy="3771900"/>
                          </a:xfrm>
                          <a:prstGeom prst="rect">
                            <a:avLst/>
                          </a:prstGeom>
                          <a:noFill/>
                          <a:ln>
                            <a:noFill/>
                          </a:ln>
                        </pic:spPr>
                      </pic:pic>
                    </a:graphicData>
                  </a:graphic>
                </wp:inline>
              </w:drawing>
            </w:r>
          </w:p>
          <w:p w:rsidR="00406098" w:rsidRPr="00DE7DE0" w:rsidRDefault="00F544B8" w:rsidP="00406098">
            <w:pPr>
              <w:jc w:val="both"/>
              <w:rPr>
                <w:rFonts w:ascii="Century" w:hAnsi="Century"/>
                <w:i/>
                <w:sz w:val="16"/>
                <w:szCs w:val="16"/>
              </w:rPr>
            </w:pPr>
            <w:r w:rsidRPr="00DE7DE0">
              <w:rPr>
                <w:rFonts w:ascii="Century" w:hAnsi="Century"/>
                <w:sz w:val="16"/>
                <w:szCs w:val="16"/>
              </w:rPr>
              <w:t>(*)</w:t>
            </w:r>
            <w:r w:rsidR="003A36C5" w:rsidRPr="00DE7DE0">
              <w:rPr>
                <w:rFonts w:ascii="Century" w:hAnsi="Century"/>
                <w:sz w:val="16"/>
                <w:szCs w:val="16"/>
              </w:rPr>
              <w:t xml:space="preserve"> Sosyal Güvenlik Kurumuna Aktarılmak Üzere Yazılan Prim Tutarları, Riskli Sigortalılar Havuzu Dahil, Yeşil Kart Hariçtir.</w:t>
            </w:r>
            <w:r w:rsidRPr="00DE7DE0">
              <w:rPr>
                <w:rFonts w:ascii="Century" w:hAnsi="Century"/>
                <w:sz w:val="16"/>
                <w:szCs w:val="16"/>
              </w:rPr>
              <w:t xml:space="preserve"> </w:t>
            </w:r>
            <w:r w:rsidR="00406098" w:rsidRPr="00DE7DE0">
              <w:rPr>
                <w:rFonts w:ascii="Century" w:hAnsi="Century"/>
                <w:sz w:val="16"/>
                <w:szCs w:val="16"/>
              </w:rPr>
              <w:t xml:space="preserve">.. – </w:t>
            </w:r>
            <w:r w:rsidR="00406098" w:rsidRPr="00DE7DE0">
              <w:rPr>
                <w:rFonts w:ascii="Century" w:hAnsi="Century"/>
                <w:i/>
                <w:sz w:val="16"/>
                <w:szCs w:val="16"/>
              </w:rPr>
              <w:t>The premium ceded to the Social Security Administration is included</w:t>
            </w:r>
            <w:proofErr w:type="gramStart"/>
            <w:r w:rsidR="00406098" w:rsidRPr="00DE7DE0">
              <w:rPr>
                <w:rFonts w:ascii="Century" w:hAnsi="Century"/>
                <w:i/>
                <w:sz w:val="16"/>
                <w:szCs w:val="16"/>
              </w:rPr>
              <w:t>,High</w:t>
            </w:r>
            <w:proofErr w:type="gramEnd"/>
            <w:r w:rsidR="00406098" w:rsidRPr="00DE7DE0">
              <w:rPr>
                <w:rFonts w:ascii="Century" w:hAnsi="Century"/>
                <w:i/>
                <w:sz w:val="16"/>
                <w:szCs w:val="16"/>
              </w:rPr>
              <w:t xml:space="preserve"> Risk Insurance Pool and Green Card Insurance </w:t>
            </w:r>
            <w:r w:rsidR="008400A9" w:rsidRPr="00DE7DE0">
              <w:rPr>
                <w:rFonts w:ascii="Century" w:hAnsi="Century"/>
                <w:i/>
                <w:sz w:val="16"/>
                <w:szCs w:val="16"/>
              </w:rPr>
              <w:t>is e</w:t>
            </w:r>
            <w:r w:rsidR="00406098" w:rsidRPr="00DE7DE0">
              <w:rPr>
                <w:rFonts w:ascii="Century" w:hAnsi="Century"/>
                <w:i/>
                <w:sz w:val="16"/>
                <w:szCs w:val="16"/>
              </w:rPr>
              <w:t>xcluded .</w:t>
            </w:r>
          </w:p>
          <w:p w:rsidR="006B5CAA" w:rsidRDefault="00406098" w:rsidP="00DE7DE0">
            <w:pPr>
              <w:jc w:val="both"/>
              <w:rPr>
                <w:rFonts w:ascii="Century" w:hAnsi="Century"/>
                <w:i/>
                <w:sz w:val="16"/>
                <w:szCs w:val="16"/>
              </w:rPr>
            </w:pPr>
            <w:r w:rsidRPr="00DE7DE0">
              <w:rPr>
                <w:rFonts w:ascii="Century" w:hAnsi="Century"/>
                <w:sz w:val="16"/>
                <w:szCs w:val="16"/>
              </w:rPr>
              <w:t xml:space="preserve"> </w:t>
            </w:r>
            <w:r w:rsidR="00F544B8" w:rsidRPr="00DE7DE0">
              <w:rPr>
                <w:rFonts w:ascii="Century" w:hAnsi="Century"/>
                <w:sz w:val="16"/>
                <w:szCs w:val="16"/>
              </w:rPr>
              <w:t>(**) Hayat dışı şirketlerin devam ed</w:t>
            </w:r>
            <w:r w:rsidR="002D2486" w:rsidRPr="00DE7DE0">
              <w:rPr>
                <w:rFonts w:ascii="Century" w:hAnsi="Century"/>
                <w:sz w:val="16"/>
                <w:szCs w:val="16"/>
              </w:rPr>
              <w:t>en hayat portföylerine ilişkin </w:t>
            </w:r>
            <w:r w:rsidR="00F544B8" w:rsidRPr="00DE7DE0">
              <w:rPr>
                <w:rFonts w:ascii="Century" w:hAnsi="Century"/>
                <w:sz w:val="16"/>
                <w:szCs w:val="16"/>
              </w:rPr>
              <w:t xml:space="preserve">üretim dahildir. – </w:t>
            </w:r>
            <w:r w:rsidR="00072078" w:rsidRPr="00DE7DE0">
              <w:rPr>
                <w:rFonts w:ascii="Century" w:hAnsi="Century"/>
                <w:i/>
                <w:sz w:val="16"/>
                <w:szCs w:val="16"/>
              </w:rPr>
              <w:t xml:space="preserve">Non-life insurance companies’ </w:t>
            </w:r>
            <w:r w:rsidR="001A7C03" w:rsidRPr="00DE7DE0">
              <w:rPr>
                <w:rFonts w:ascii="Century" w:hAnsi="Century"/>
                <w:i/>
                <w:sz w:val="16"/>
                <w:szCs w:val="16"/>
              </w:rPr>
              <w:t xml:space="preserve">life portfolio </w:t>
            </w:r>
            <w:r w:rsidR="00F544B8" w:rsidRPr="00DE7DE0">
              <w:rPr>
                <w:rFonts w:ascii="Century" w:hAnsi="Century"/>
                <w:i/>
                <w:sz w:val="16"/>
                <w:szCs w:val="16"/>
              </w:rPr>
              <w:t xml:space="preserve">is included. </w:t>
            </w:r>
          </w:p>
          <w:p w:rsidR="00DE7DE0" w:rsidRPr="00DE7DE0" w:rsidRDefault="00DE7DE0" w:rsidP="00DE7DE0">
            <w:pPr>
              <w:jc w:val="both"/>
              <w:rPr>
                <w:rFonts w:ascii="Century" w:hAnsi="Century"/>
                <w:sz w:val="18"/>
                <w:szCs w:val="18"/>
              </w:rPr>
            </w:pPr>
          </w:p>
        </w:tc>
      </w:tr>
      <w:tr w:rsidR="007909D7" w:rsidRPr="00B10D90" w:rsidTr="00441D50">
        <w:trPr>
          <w:gridAfter w:val="1"/>
          <w:wAfter w:w="20" w:type="dxa"/>
          <w:trHeight w:val="4253"/>
        </w:trPr>
        <w:tc>
          <w:tcPr>
            <w:tcW w:w="4817" w:type="dxa"/>
            <w:gridSpan w:val="2"/>
            <w:vMerge w:val="restart"/>
          </w:tcPr>
          <w:p w:rsidR="007909D7" w:rsidRPr="007909D7" w:rsidRDefault="007909D7" w:rsidP="00013E79">
            <w:pPr>
              <w:jc w:val="both"/>
              <w:rPr>
                <w:rFonts w:ascii="Century" w:hAnsi="Century"/>
                <w:sz w:val="22"/>
                <w:szCs w:val="22"/>
              </w:rPr>
            </w:pPr>
            <w:r w:rsidRPr="007909D7">
              <w:rPr>
                <w:rFonts w:ascii="Century" w:hAnsi="Century"/>
                <w:sz w:val="22"/>
                <w:szCs w:val="22"/>
              </w:rPr>
              <w:t xml:space="preserve">Branşların toplam prim üretimi içindeki payları incelendiğinde, hayat dışı branşlarda Hastalık/Sağlık, Kara Araçları, Kara Araçları Sorumluluk, Genel Zararlar ile Yangın ve Doğal Afetler Branşlarının her birinin payının 2018 yılında %10’un üzerinde olduğu görülmektedir. </w:t>
            </w:r>
          </w:p>
          <w:p w:rsidR="007909D7" w:rsidRPr="007909D7" w:rsidRDefault="007909D7" w:rsidP="00013E79">
            <w:pPr>
              <w:jc w:val="both"/>
              <w:rPr>
                <w:rFonts w:ascii="Century" w:hAnsi="Century"/>
                <w:sz w:val="22"/>
                <w:szCs w:val="22"/>
              </w:rPr>
            </w:pPr>
          </w:p>
          <w:p w:rsidR="007909D7" w:rsidRPr="007909D7" w:rsidRDefault="007909D7" w:rsidP="00013E79">
            <w:pPr>
              <w:jc w:val="both"/>
              <w:rPr>
                <w:rFonts w:ascii="Century" w:hAnsi="Century"/>
                <w:color w:val="000000"/>
                <w:sz w:val="22"/>
                <w:szCs w:val="22"/>
              </w:rPr>
            </w:pPr>
            <w:r w:rsidRPr="007909D7">
              <w:rPr>
                <w:rFonts w:ascii="Century" w:hAnsi="Century"/>
                <w:color w:val="000000"/>
                <w:sz w:val="22"/>
                <w:szCs w:val="22"/>
              </w:rPr>
              <w:t>2018 yılında hayat dışı sigortalar prim üretiminin yaklaşık yarısı oto sigortalarında (kara araçları ve kara araçları sorumluluk) gerçekleştirilmiştir. 2017 yılı ile karşılaştırıldığında, Kara Araçları Branşının payı ile Kara Araçları Sorumluluk Branşının payı hemen hemen aynı kalmıştır.</w:t>
            </w:r>
          </w:p>
          <w:p w:rsidR="007909D7" w:rsidRPr="007909D7" w:rsidRDefault="007909D7" w:rsidP="00013E79">
            <w:pPr>
              <w:jc w:val="both"/>
              <w:rPr>
                <w:rFonts w:ascii="Century" w:hAnsi="Century"/>
                <w:sz w:val="22"/>
                <w:szCs w:val="22"/>
              </w:rPr>
            </w:pPr>
          </w:p>
          <w:p w:rsidR="007909D7" w:rsidRPr="007909D7" w:rsidRDefault="007909D7" w:rsidP="00013E79">
            <w:pPr>
              <w:jc w:val="both"/>
              <w:rPr>
                <w:rFonts w:ascii="Century" w:hAnsi="Century"/>
                <w:color w:val="000000"/>
                <w:sz w:val="22"/>
                <w:szCs w:val="22"/>
              </w:rPr>
            </w:pPr>
            <w:r w:rsidRPr="007909D7">
              <w:rPr>
                <w:rFonts w:ascii="Century" w:hAnsi="Century"/>
                <w:color w:val="000000"/>
                <w:sz w:val="22"/>
                <w:szCs w:val="22"/>
              </w:rPr>
              <w:t>2017 yılında Hayat Branşının toplam prim üretimi içindeki payı %15 ve ödenen tazminatlardaki payı %12 iken, 2018 yılında prim üretimindeki ve ödenen tazminat payında yaklaşık 2 puanlık bir azalış meydana gelmiştir.</w:t>
            </w:r>
          </w:p>
          <w:p w:rsidR="007909D7" w:rsidRPr="00B10D90" w:rsidRDefault="007909D7" w:rsidP="00013E79">
            <w:pPr>
              <w:jc w:val="both"/>
              <w:rPr>
                <w:rFonts w:ascii="Century" w:hAnsi="Century"/>
                <w:color w:val="000000"/>
                <w:sz w:val="22"/>
                <w:szCs w:val="22"/>
                <w:highlight w:val="yellow"/>
              </w:rPr>
            </w:pPr>
          </w:p>
          <w:p w:rsidR="007909D7" w:rsidRPr="00B10D90" w:rsidRDefault="007909D7" w:rsidP="000811E0">
            <w:pPr>
              <w:jc w:val="both"/>
              <w:rPr>
                <w:rFonts w:ascii="Century" w:hAnsi="Century"/>
                <w:color w:val="000000"/>
                <w:sz w:val="22"/>
                <w:szCs w:val="22"/>
                <w:highlight w:val="yellow"/>
              </w:rPr>
            </w:pPr>
          </w:p>
          <w:p w:rsidR="007909D7" w:rsidRPr="00B10D90" w:rsidRDefault="007909D7" w:rsidP="00013E79">
            <w:pPr>
              <w:jc w:val="both"/>
              <w:rPr>
                <w:rFonts w:ascii="Century" w:hAnsi="Century"/>
                <w:sz w:val="22"/>
                <w:szCs w:val="22"/>
                <w:highlight w:val="yellow"/>
              </w:rPr>
            </w:pPr>
            <w:r w:rsidRPr="00905D88">
              <w:rPr>
                <w:rFonts w:ascii="Century" w:hAnsi="Century"/>
                <w:sz w:val="22"/>
                <w:szCs w:val="22"/>
              </w:rPr>
              <w:lastRenderedPageBreak/>
              <w:t xml:space="preserve">Şirketler tarafından 2018 yılında </w:t>
            </w:r>
            <w:r>
              <w:rPr>
                <w:rFonts w:ascii="Century" w:hAnsi="Century"/>
                <w:sz w:val="22"/>
                <w:szCs w:val="22"/>
              </w:rPr>
              <w:t xml:space="preserve">            </w:t>
            </w:r>
            <w:r w:rsidRPr="00905D88">
              <w:rPr>
                <w:rFonts w:ascii="Century" w:hAnsi="Century"/>
                <w:sz w:val="22"/>
                <w:szCs w:val="22"/>
              </w:rPr>
              <w:t>24</w:t>
            </w:r>
            <w:proofErr w:type="gramStart"/>
            <w:r w:rsidRPr="00905D88">
              <w:rPr>
                <w:rFonts w:ascii="Century" w:hAnsi="Century"/>
                <w:sz w:val="22"/>
                <w:szCs w:val="22"/>
              </w:rPr>
              <w:t>,1</w:t>
            </w:r>
            <w:proofErr w:type="gramEnd"/>
            <w:r w:rsidRPr="00905D88">
              <w:rPr>
                <w:rFonts w:ascii="Century" w:hAnsi="Century"/>
                <w:sz w:val="22"/>
                <w:szCs w:val="22"/>
              </w:rPr>
              <w:t xml:space="preserve"> milyar TL’lik kısmı hayat dışı branşlarda olmak üzere toplam </w:t>
            </w:r>
            <w:r>
              <w:rPr>
                <w:rFonts w:ascii="Century" w:hAnsi="Century"/>
                <w:sz w:val="22"/>
                <w:szCs w:val="22"/>
              </w:rPr>
              <w:t xml:space="preserve">                </w:t>
            </w:r>
            <w:r w:rsidRPr="00905D88">
              <w:rPr>
                <w:rFonts w:ascii="Century" w:hAnsi="Century"/>
                <w:sz w:val="22"/>
                <w:szCs w:val="22"/>
              </w:rPr>
              <w:t xml:space="preserve">26,8 milyar TL tazminat ödemesi gerçekleştirilmiştir. Ödenen tazminatlar bir önceki yıla göre %23 oranında artmıştır. Söz konusu artışta ödenen tazminat içinde %60’lık paya sahip </w:t>
            </w:r>
            <w:r w:rsidRPr="00905D88">
              <w:rPr>
                <w:rFonts w:ascii="Century" w:hAnsi="Century"/>
                <w:color w:val="000000"/>
                <w:sz w:val="22"/>
                <w:szCs w:val="22"/>
              </w:rPr>
              <w:t xml:space="preserve">oto sigortalarında (kara araçları ve kara araçları sorumluluk) ödenen tazminatlarda yaşanan </w:t>
            </w:r>
            <w:r w:rsidRPr="00905D88">
              <w:rPr>
                <w:rFonts w:ascii="Century" w:hAnsi="Century"/>
                <w:sz w:val="22"/>
                <w:szCs w:val="22"/>
              </w:rPr>
              <w:t xml:space="preserve">artış etkili olmuştur. </w:t>
            </w:r>
          </w:p>
          <w:p w:rsidR="007909D7" w:rsidRPr="00905D88" w:rsidRDefault="007909D7" w:rsidP="00013E79">
            <w:pPr>
              <w:jc w:val="both"/>
              <w:rPr>
                <w:rFonts w:ascii="Century" w:hAnsi="Century"/>
                <w:sz w:val="22"/>
                <w:szCs w:val="22"/>
              </w:rPr>
            </w:pPr>
          </w:p>
          <w:p w:rsidR="007909D7" w:rsidRPr="00905D88" w:rsidRDefault="007909D7" w:rsidP="00013E79">
            <w:pPr>
              <w:jc w:val="both"/>
              <w:rPr>
                <w:rFonts w:ascii="Century" w:hAnsi="Century"/>
                <w:sz w:val="22"/>
                <w:szCs w:val="22"/>
              </w:rPr>
            </w:pPr>
            <w:r w:rsidRPr="00905D88">
              <w:rPr>
                <w:rFonts w:ascii="Century" w:hAnsi="Century"/>
                <w:sz w:val="22"/>
                <w:szCs w:val="22"/>
              </w:rPr>
              <w:t>Aşağıdaki tabloda son dört yıla ilişkin olarak branş bazında şirketler tarafından ödenen tazminat tutarları verilmiştir.</w:t>
            </w:r>
          </w:p>
          <w:p w:rsidR="007909D7" w:rsidRPr="00B10D90" w:rsidRDefault="007909D7" w:rsidP="000811E0">
            <w:pPr>
              <w:jc w:val="both"/>
              <w:rPr>
                <w:rFonts w:ascii="Century" w:hAnsi="Century"/>
                <w:sz w:val="22"/>
                <w:szCs w:val="22"/>
                <w:highlight w:val="yellow"/>
              </w:rPr>
            </w:pPr>
          </w:p>
        </w:tc>
        <w:tc>
          <w:tcPr>
            <w:tcW w:w="318" w:type="dxa"/>
            <w:gridSpan w:val="7"/>
          </w:tcPr>
          <w:p w:rsidR="007909D7" w:rsidRPr="00B10D90" w:rsidRDefault="007909D7" w:rsidP="000811E0">
            <w:pPr>
              <w:rPr>
                <w:rFonts w:ascii="Century" w:hAnsi="Century"/>
                <w:sz w:val="22"/>
                <w:szCs w:val="22"/>
                <w:highlight w:val="yellow"/>
              </w:rPr>
            </w:pPr>
          </w:p>
        </w:tc>
        <w:tc>
          <w:tcPr>
            <w:tcW w:w="4703" w:type="dxa"/>
            <w:gridSpan w:val="6"/>
            <w:vMerge w:val="restart"/>
          </w:tcPr>
          <w:p w:rsidR="007909D7" w:rsidRPr="007909D7" w:rsidRDefault="007909D7" w:rsidP="007D72DE">
            <w:pPr>
              <w:shd w:val="clear" w:color="auto" w:fill="FFFFFF" w:themeFill="background1"/>
              <w:jc w:val="both"/>
              <w:rPr>
                <w:rFonts w:ascii="Century" w:hAnsi="Century"/>
                <w:color w:val="333333"/>
                <w:sz w:val="22"/>
                <w:szCs w:val="22"/>
              </w:rPr>
            </w:pPr>
            <w:r w:rsidRPr="007909D7">
              <w:rPr>
                <w:rFonts w:ascii="Century" w:hAnsi="Century"/>
                <w:color w:val="333333"/>
                <w:sz w:val="22"/>
                <w:szCs w:val="22"/>
              </w:rPr>
              <w:t>Analysis of the industry's gross premium shows that health / sickness, motor, motor liability, general damages and fire and natural disasters insurance’s premium volume exceeds 10% of gross non-life insurance premium generated in 2018.</w:t>
            </w:r>
          </w:p>
          <w:p w:rsidR="007909D7" w:rsidRDefault="007909D7" w:rsidP="007D72DE">
            <w:pPr>
              <w:shd w:val="clear" w:color="auto" w:fill="FFFFFF" w:themeFill="background1"/>
              <w:textAlignment w:val="top"/>
              <w:rPr>
                <w:rFonts w:ascii="Century" w:hAnsi="Century" w:cs="Arial"/>
                <w:color w:val="333333"/>
                <w:sz w:val="22"/>
                <w:szCs w:val="22"/>
                <w:lang w:eastAsia="tr-TR"/>
              </w:rPr>
            </w:pPr>
          </w:p>
          <w:p w:rsidR="00084B04" w:rsidRDefault="00084B04" w:rsidP="007D72DE">
            <w:pPr>
              <w:shd w:val="clear" w:color="auto" w:fill="FFFFFF" w:themeFill="background1"/>
              <w:textAlignment w:val="top"/>
              <w:rPr>
                <w:rFonts w:ascii="Century" w:hAnsi="Century" w:cs="Arial"/>
                <w:color w:val="333333"/>
                <w:sz w:val="22"/>
                <w:szCs w:val="22"/>
                <w:lang w:eastAsia="tr-TR"/>
              </w:rPr>
            </w:pPr>
          </w:p>
          <w:p w:rsidR="007909D7" w:rsidRPr="007909D7" w:rsidRDefault="007909D7" w:rsidP="007D72DE">
            <w:pPr>
              <w:shd w:val="clear" w:color="auto" w:fill="FFFFFF" w:themeFill="background1"/>
              <w:jc w:val="both"/>
              <w:rPr>
                <w:rFonts w:ascii="Century" w:hAnsi="Century"/>
                <w:color w:val="333333"/>
                <w:sz w:val="22"/>
                <w:szCs w:val="22"/>
              </w:rPr>
            </w:pPr>
            <w:r w:rsidRPr="007909D7">
              <w:rPr>
                <w:rFonts w:ascii="Century" w:hAnsi="Century"/>
                <w:color w:val="333333"/>
                <w:sz w:val="22"/>
                <w:szCs w:val="22"/>
              </w:rPr>
              <w:t>Approximately half of the premium production in non-life business realized in motor insurance (motor and motor liability insurance) in 2018. Compared to the previous year, the weight of motor vehicle and motor liability insurance remains almost at the same level.</w:t>
            </w:r>
          </w:p>
          <w:p w:rsidR="007909D7" w:rsidRPr="007909D7" w:rsidRDefault="007909D7" w:rsidP="007D72DE">
            <w:pPr>
              <w:shd w:val="clear" w:color="auto" w:fill="FFFFFF" w:themeFill="background1"/>
              <w:jc w:val="both"/>
              <w:textAlignment w:val="top"/>
              <w:rPr>
                <w:rFonts w:ascii="Century" w:hAnsi="Century"/>
                <w:color w:val="333333"/>
                <w:sz w:val="22"/>
                <w:szCs w:val="22"/>
              </w:rPr>
            </w:pPr>
          </w:p>
          <w:p w:rsidR="007909D7" w:rsidRPr="007909D7" w:rsidRDefault="007909D7" w:rsidP="007D72DE">
            <w:pPr>
              <w:shd w:val="clear" w:color="auto" w:fill="FFFFFF" w:themeFill="background1"/>
              <w:jc w:val="both"/>
              <w:textAlignment w:val="top"/>
              <w:rPr>
                <w:rFonts w:ascii="Century" w:hAnsi="Century"/>
                <w:color w:val="333333"/>
                <w:sz w:val="22"/>
                <w:szCs w:val="22"/>
              </w:rPr>
            </w:pPr>
            <w:r w:rsidRPr="007909D7">
              <w:rPr>
                <w:rFonts w:ascii="Century" w:hAnsi="Century"/>
                <w:color w:val="333333"/>
                <w:sz w:val="22"/>
                <w:szCs w:val="22"/>
              </w:rPr>
              <w:t>While the share of life insurance was 15% in gross premiums and 12% in paid losses in 2017, it decreased by 2% in gross premiums and paid losses in 2018.</w:t>
            </w:r>
          </w:p>
          <w:p w:rsidR="007909D7" w:rsidRDefault="007909D7" w:rsidP="007D72DE">
            <w:pPr>
              <w:shd w:val="clear" w:color="auto" w:fill="FFFFFF" w:themeFill="background1"/>
              <w:jc w:val="both"/>
              <w:textAlignment w:val="top"/>
              <w:rPr>
                <w:rFonts w:ascii="Century" w:hAnsi="Century"/>
                <w:color w:val="333333"/>
                <w:sz w:val="22"/>
                <w:szCs w:val="22"/>
                <w:highlight w:val="yellow"/>
              </w:rPr>
            </w:pPr>
          </w:p>
          <w:p w:rsidR="007909D7" w:rsidRPr="00B10D90" w:rsidRDefault="007909D7" w:rsidP="007D72DE">
            <w:pPr>
              <w:shd w:val="clear" w:color="auto" w:fill="FFFFFF" w:themeFill="background1"/>
              <w:jc w:val="both"/>
              <w:textAlignment w:val="top"/>
              <w:rPr>
                <w:rFonts w:ascii="Century" w:hAnsi="Century"/>
                <w:color w:val="333333"/>
                <w:sz w:val="22"/>
                <w:szCs w:val="22"/>
                <w:highlight w:val="yellow"/>
              </w:rPr>
            </w:pPr>
          </w:p>
          <w:p w:rsidR="007909D7" w:rsidRPr="00B10D90" w:rsidRDefault="007909D7" w:rsidP="007D72DE">
            <w:pPr>
              <w:shd w:val="clear" w:color="auto" w:fill="FFFFFF" w:themeFill="background1"/>
              <w:jc w:val="both"/>
              <w:textAlignment w:val="top"/>
              <w:rPr>
                <w:rFonts w:ascii="Century" w:hAnsi="Century"/>
                <w:color w:val="333333"/>
                <w:sz w:val="22"/>
                <w:szCs w:val="22"/>
                <w:highlight w:val="yellow"/>
              </w:rPr>
            </w:pPr>
          </w:p>
          <w:p w:rsidR="00202AAD" w:rsidRDefault="00202AAD" w:rsidP="007D72DE">
            <w:pPr>
              <w:jc w:val="both"/>
              <w:rPr>
                <w:rFonts w:ascii="Century" w:hAnsi="Century"/>
                <w:color w:val="333333"/>
                <w:sz w:val="22"/>
                <w:szCs w:val="22"/>
              </w:rPr>
            </w:pPr>
          </w:p>
          <w:p w:rsidR="007909D7" w:rsidRPr="00905D88" w:rsidRDefault="007909D7" w:rsidP="007D72DE">
            <w:pPr>
              <w:jc w:val="both"/>
              <w:rPr>
                <w:rFonts w:ascii="Century" w:hAnsi="Century"/>
                <w:color w:val="333333"/>
                <w:sz w:val="22"/>
                <w:szCs w:val="22"/>
              </w:rPr>
            </w:pPr>
            <w:r w:rsidRPr="00905D88">
              <w:rPr>
                <w:rFonts w:ascii="Century" w:hAnsi="Century"/>
                <w:color w:val="333333"/>
                <w:sz w:val="22"/>
                <w:szCs w:val="22"/>
              </w:rPr>
              <w:lastRenderedPageBreak/>
              <w:t xml:space="preserve">Total claim payments amounted to </w:t>
            </w:r>
            <w:r w:rsidRPr="00905D88">
              <w:rPr>
                <w:rFonts w:ascii="AbakuTLSymSans" w:hAnsi="AbakuTLSymSans" w:cs="Arial"/>
                <w:bCs/>
                <w:color w:val="333333"/>
                <w:sz w:val="22"/>
                <w:szCs w:val="22"/>
              </w:rPr>
              <w:t>¨</w:t>
            </w:r>
            <w:r w:rsidRPr="00905D88">
              <w:rPr>
                <w:rFonts w:ascii="Century" w:hAnsi="Century"/>
                <w:color w:val="333333"/>
                <w:sz w:val="22"/>
                <w:szCs w:val="22"/>
              </w:rPr>
              <w:t xml:space="preserve">26.8 billion in 2018. </w:t>
            </w:r>
            <w:r w:rsidRPr="00905D88">
              <w:rPr>
                <w:rFonts w:ascii="AbakuTLSymSans" w:hAnsi="AbakuTLSymSans" w:cs="Arial"/>
                <w:bCs/>
                <w:color w:val="333333"/>
                <w:sz w:val="22"/>
                <w:szCs w:val="22"/>
              </w:rPr>
              <w:t>¨</w:t>
            </w:r>
            <w:r w:rsidRPr="00905D88">
              <w:rPr>
                <w:rFonts w:ascii="Century" w:hAnsi="Century"/>
                <w:color w:val="333333"/>
                <w:sz w:val="22"/>
                <w:szCs w:val="22"/>
              </w:rPr>
              <w:t>24.1 billion of this amount was made by companies in non-life insurance and the remaining part was in life insurance.</w:t>
            </w:r>
            <w:r w:rsidRPr="00905D88" w:rsidDel="00CE4074">
              <w:rPr>
                <w:rFonts w:ascii="Century" w:hAnsi="Century"/>
                <w:color w:val="333333"/>
                <w:sz w:val="22"/>
                <w:szCs w:val="22"/>
              </w:rPr>
              <w:t xml:space="preserve"> </w:t>
            </w:r>
            <w:r w:rsidRPr="00905D88">
              <w:rPr>
                <w:rFonts w:ascii="Century" w:hAnsi="Century"/>
                <w:color w:val="333333"/>
                <w:sz w:val="22"/>
                <w:szCs w:val="22"/>
              </w:rPr>
              <w:t>Paid claims have increased by 23% compared to the previous year. This revision is a result of increased rates of auto insurance (motor and motor liability insurance) claim payments which have a 60% share overall.</w:t>
            </w:r>
          </w:p>
          <w:p w:rsidR="007909D7" w:rsidRPr="00B10D90" w:rsidRDefault="007909D7" w:rsidP="007D72DE">
            <w:pPr>
              <w:jc w:val="both"/>
              <w:rPr>
                <w:rFonts w:ascii="Century" w:hAnsi="Century"/>
                <w:color w:val="333333"/>
                <w:sz w:val="22"/>
                <w:szCs w:val="22"/>
                <w:highlight w:val="yellow"/>
              </w:rPr>
            </w:pPr>
          </w:p>
          <w:p w:rsidR="007909D7" w:rsidRPr="00905D88" w:rsidRDefault="007909D7" w:rsidP="007D72DE">
            <w:pPr>
              <w:jc w:val="both"/>
              <w:rPr>
                <w:rFonts w:ascii="Century" w:hAnsi="Century" w:cs="NewsGothicTTRURegular"/>
                <w:color w:val="333333"/>
                <w:sz w:val="22"/>
                <w:szCs w:val="22"/>
                <w:lang w:eastAsia="tr-TR"/>
              </w:rPr>
            </w:pPr>
            <w:r w:rsidRPr="00905D88">
              <w:rPr>
                <w:rFonts w:ascii="Century" w:hAnsi="Century"/>
                <w:color w:val="333333"/>
                <w:sz w:val="22"/>
                <w:szCs w:val="22"/>
              </w:rPr>
              <w:t>The following table shows the composition of claim payments by companies per LoB for the last four years.</w:t>
            </w:r>
          </w:p>
          <w:p w:rsidR="007909D7" w:rsidRPr="00B10D90" w:rsidRDefault="007909D7" w:rsidP="007D72DE">
            <w:pPr>
              <w:jc w:val="both"/>
              <w:rPr>
                <w:rFonts w:ascii="Century" w:hAnsi="Century"/>
                <w:color w:val="404040"/>
                <w:sz w:val="22"/>
                <w:szCs w:val="22"/>
                <w:highlight w:val="yellow"/>
              </w:rPr>
            </w:pPr>
          </w:p>
        </w:tc>
      </w:tr>
      <w:tr w:rsidR="007909D7" w:rsidRPr="00B10D90" w:rsidTr="00441D50">
        <w:trPr>
          <w:gridAfter w:val="1"/>
          <w:wAfter w:w="20" w:type="dxa"/>
        </w:trPr>
        <w:tc>
          <w:tcPr>
            <w:tcW w:w="4817" w:type="dxa"/>
            <w:gridSpan w:val="2"/>
            <w:vMerge/>
          </w:tcPr>
          <w:p w:rsidR="007909D7" w:rsidRPr="00B10D90" w:rsidRDefault="007909D7" w:rsidP="00054169">
            <w:pPr>
              <w:jc w:val="both"/>
              <w:rPr>
                <w:rFonts w:ascii="Century" w:hAnsi="Century"/>
                <w:sz w:val="22"/>
                <w:szCs w:val="22"/>
                <w:highlight w:val="yellow"/>
              </w:rPr>
            </w:pPr>
          </w:p>
        </w:tc>
        <w:tc>
          <w:tcPr>
            <w:tcW w:w="318" w:type="dxa"/>
            <w:gridSpan w:val="7"/>
          </w:tcPr>
          <w:p w:rsidR="007909D7" w:rsidRPr="00B10D90" w:rsidRDefault="007909D7" w:rsidP="008D17FE">
            <w:pPr>
              <w:rPr>
                <w:rFonts w:ascii="Century" w:hAnsi="Century"/>
                <w:sz w:val="22"/>
                <w:szCs w:val="22"/>
                <w:highlight w:val="yellow"/>
              </w:rPr>
            </w:pPr>
          </w:p>
        </w:tc>
        <w:tc>
          <w:tcPr>
            <w:tcW w:w="4703" w:type="dxa"/>
            <w:gridSpan w:val="6"/>
            <w:vMerge/>
          </w:tcPr>
          <w:p w:rsidR="007909D7" w:rsidRPr="00B10D90" w:rsidRDefault="007909D7" w:rsidP="00D64027">
            <w:pPr>
              <w:jc w:val="both"/>
              <w:rPr>
                <w:rFonts w:ascii="Century" w:hAnsi="Century"/>
                <w:sz w:val="22"/>
                <w:szCs w:val="22"/>
                <w:highlight w:val="yellow"/>
              </w:rPr>
            </w:pPr>
          </w:p>
        </w:tc>
      </w:tr>
      <w:tr w:rsidR="007909D7" w:rsidRPr="00B10D90" w:rsidTr="00441D50">
        <w:trPr>
          <w:gridAfter w:val="1"/>
          <w:wAfter w:w="20" w:type="dxa"/>
          <w:trHeight w:val="690"/>
        </w:trPr>
        <w:tc>
          <w:tcPr>
            <w:tcW w:w="9838" w:type="dxa"/>
            <w:gridSpan w:val="15"/>
          </w:tcPr>
          <w:p w:rsidR="007909D7" w:rsidRDefault="007909D7" w:rsidP="004F17C4">
            <w:pPr>
              <w:pStyle w:val="Caption"/>
              <w:jc w:val="center"/>
              <w:rPr>
                <w:rFonts w:ascii="Century" w:hAnsi="Century"/>
                <w:b w:val="0"/>
                <w:i/>
                <w:iCs/>
                <w:color w:val="000080"/>
              </w:rPr>
            </w:pPr>
            <w:r w:rsidRPr="00905D88">
              <w:rPr>
                <w:rFonts w:ascii="Century" w:hAnsi="Century"/>
                <w:color w:val="000080"/>
              </w:rPr>
              <w:lastRenderedPageBreak/>
              <w:t>Tablo 4.1.3:</w:t>
            </w:r>
            <w:r w:rsidRPr="00905D88">
              <w:rPr>
                <w:rFonts w:ascii="Century" w:hAnsi="Century"/>
                <w:bCs w:val="0"/>
                <w:color w:val="000080"/>
              </w:rPr>
              <w:t xml:space="preserve"> Branş Bazında Ödenen Tazminat - </w:t>
            </w:r>
            <w:r w:rsidRPr="00905D88">
              <w:rPr>
                <w:rFonts w:ascii="Century" w:hAnsi="Century"/>
                <w:b w:val="0"/>
                <w:i/>
                <w:iCs/>
                <w:color w:val="000080"/>
              </w:rPr>
              <w:t>Loss Payments per LoB</w:t>
            </w:r>
          </w:p>
          <w:p w:rsidR="0045442B" w:rsidRDefault="009C0DDD" w:rsidP="0045442B">
            <w:r>
              <w:rPr>
                <w:noProof/>
              </w:rPr>
              <w:drawing>
                <wp:inline distT="0" distB="0" distL="0" distR="0" wp14:anchorId="4E8B8FD9" wp14:editId="5B1A630E">
                  <wp:extent cx="6105525" cy="3867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5525" cy="3867150"/>
                          </a:xfrm>
                          <a:prstGeom prst="rect">
                            <a:avLst/>
                          </a:prstGeom>
                          <a:noFill/>
                          <a:ln>
                            <a:noFill/>
                          </a:ln>
                        </pic:spPr>
                      </pic:pic>
                    </a:graphicData>
                  </a:graphic>
                </wp:inline>
              </w:drawing>
            </w:r>
          </w:p>
          <w:p w:rsidR="007909D7" w:rsidRPr="00905D88" w:rsidRDefault="007909D7" w:rsidP="008409DE">
            <w:pPr>
              <w:jc w:val="center"/>
              <w:rPr>
                <w:rFonts w:ascii="Century" w:hAnsi="Century"/>
                <w:sz w:val="20"/>
                <w:szCs w:val="20"/>
              </w:rPr>
            </w:pPr>
          </w:p>
        </w:tc>
      </w:tr>
      <w:tr w:rsidR="007909D7" w:rsidRPr="00B10D90" w:rsidTr="00441D50">
        <w:trPr>
          <w:gridAfter w:val="1"/>
          <w:wAfter w:w="20" w:type="dxa"/>
          <w:trHeight w:val="2076"/>
        </w:trPr>
        <w:tc>
          <w:tcPr>
            <w:tcW w:w="4760" w:type="dxa"/>
          </w:tcPr>
          <w:p w:rsidR="007909D7" w:rsidRPr="00B10D90" w:rsidRDefault="007909D7" w:rsidP="00BD46E0">
            <w:pPr>
              <w:jc w:val="both"/>
              <w:rPr>
                <w:rFonts w:ascii="Century" w:hAnsi="Century"/>
                <w:sz w:val="22"/>
                <w:szCs w:val="22"/>
                <w:highlight w:val="yellow"/>
              </w:rPr>
            </w:pPr>
            <w:r w:rsidRPr="00474313">
              <w:rPr>
                <w:rFonts w:ascii="Century" w:hAnsi="Century"/>
                <w:sz w:val="22"/>
                <w:szCs w:val="22"/>
              </w:rPr>
              <w:t xml:space="preserve">Prim üretimindeki dağılıma paralel şekilde, hayat dışı branşlardan Hastalık / Sağlık, Kara Araçları ve Kara Araçları Sorumluluk Branşlarının her birinin toplam ödenen tazminatlar içindeki ağırlığı son dört yılda %10’un üzerinde gerçekleşmiştir. </w:t>
            </w:r>
            <w:r w:rsidRPr="00BD46E0">
              <w:rPr>
                <w:rFonts w:ascii="Century" w:hAnsi="Century"/>
                <w:sz w:val="22"/>
                <w:szCs w:val="22"/>
              </w:rPr>
              <w:t>Buna karşılık, oto kaza sigortalarının hayat dışı branşlar prim üretimindeki payı 2018 yılında %50 iken, ödenen tazminatlar içindeki payı %60’dır.</w:t>
            </w:r>
          </w:p>
        </w:tc>
        <w:tc>
          <w:tcPr>
            <w:tcW w:w="273" w:type="dxa"/>
            <w:gridSpan w:val="6"/>
          </w:tcPr>
          <w:p w:rsidR="007909D7" w:rsidRPr="00B10D90" w:rsidRDefault="007909D7" w:rsidP="000811E0">
            <w:pPr>
              <w:rPr>
                <w:rFonts w:ascii="Century" w:hAnsi="Century"/>
                <w:sz w:val="22"/>
                <w:szCs w:val="22"/>
                <w:highlight w:val="yellow"/>
              </w:rPr>
            </w:pPr>
          </w:p>
          <w:p w:rsidR="007909D7" w:rsidRPr="00B10D90" w:rsidRDefault="007909D7" w:rsidP="000811E0">
            <w:pPr>
              <w:rPr>
                <w:rFonts w:ascii="Century" w:hAnsi="Century"/>
                <w:sz w:val="22"/>
                <w:szCs w:val="22"/>
                <w:highlight w:val="yellow"/>
              </w:rPr>
            </w:pPr>
          </w:p>
          <w:p w:rsidR="007909D7" w:rsidRPr="00B10D90" w:rsidRDefault="007909D7" w:rsidP="000811E0">
            <w:pPr>
              <w:rPr>
                <w:rFonts w:ascii="Century" w:hAnsi="Century"/>
                <w:sz w:val="22"/>
                <w:szCs w:val="22"/>
                <w:highlight w:val="yellow"/>
              </w:rPr>
            </w:pPr>
          </w:p>
          <w:p w:rsidR="007909D7" w:rsidRPr="00B10D90" w:rsidRDefault="007909D7" w:rsidP="000811E0">
            <w:pPr>
              <w:rPr>
                <w:rFonts w:ascii="Century" w:hAnsi="Century"/>
                <w:sz w:val="22"/>
                <w:szCs w:val="22"/>
                <w:highlight w:val="yellow"/>
              </w:rPr>
            </w:pPr>
          </w:p>
          <w:p w:rsidR="007909D7" w:rsidRPr="00B10D90" w:rsidRDefault="007909D7" w:rsidP="000811E0">
            <w:pPr>
              <w:rPr>
                <w:rFonts w:ascii="Century" w:hAnsi="Century"/>
                <w:sz w:val="22"/>
                <w:szCs w:val="22"/>
                <w:highlight w:val="yellow"/>
              </w:rPr>
            </w:pPr>
          </w:p>
          <w:p w:rsidR="007909D7" w:rsidRPr="00B10D90" w:rsidRDefault="007909D7" w:rsidP="000811E0">
            <w:pPr>
              <w:jc w:val="both"/>
              <w:rPr>
                <w:rFonts w:ascii="Century" w:hAnsi="Century"/>
                <w:sz w:val="22"/>
                <w:szCs w:val="22"/>
                <w:highlight w:val="yellow"/>
              </w:rPr>
            </w:pPr>
          </w:p>
        </w:tc>
        <w:tc>
          <w:tcPr>
            <w:tcW w:w="4805" w:type="dxa"/>
            <w:gridSpan w:val="8"/>
          </w:tcPr>
          <w:p w:rsidR="007909D7" w:rsidRPr="00B10D90" w:rsidRDefault="007909D7" w:rsidP="00084B04">
            <w:pPr>
              <w:jc w:val="both"/>
              <w:rPr>
                <w:rFonts w:ascii="Century" w:hAnsi="Century"/>
                <w:color w:val="333333"/>
                <w:sz w:val="22"/>
                <w:szCs w:val="22"/>
                <w:highlight w:val="yellow"/>
              </w:rPr>
            </w:pPr>
            <w:r w:rsidRPr="00474313">
              <w:rPr>
                <w:rFonts w:ascii="Century" w:hAnsi="Century"/>
                <w:color w:val="333333"/>
                <w:sz w:val="22"/>
                <w:szCs w:val="22"/>
              </w:rPr>
              <w:t xml:space="preserve">In parallel with their share in gross premium, health, </w:t>
            </w:r>
            <w:r w:rsidR="009C0DDD">
              <w:rPr>
                <w:rFonts w:ascii="Century" w:hAnsi="Century"/>
                <w:color w:val="333333"/>
                <w:sz w:val="22"/>
                <w:szCs w:val="22"/>
              </w:rPr>
              <w:t>motor, and motor liability</w:t>
            </w:r>
            <w:r w:rsidRPr="00474313">
              <w:rPr>
                <w:rFonts w:ascii="Century" w:hAnsi="Century"/>
                <w:color w:val="333333"/>
                <w:sz w:val="22"/>
                <w:szCs w:val="22"/>
              </w:rPr>
              <w:t xml:space="preserve"> LoBs have each share of over 10% in total claim payments for the last four years. </w:t>
            </w:r>
            <w:r w:rsidRPr="00BD46E0">
              <w:rPr>
                <w:rFonts w:ascii="Century" w:hAnsi="Century"/>
                <w:color w:val="333333"/>
                <w:sz w:val="22"/>
                <w:szCs w:val="22"/>
              </w:rPr>
              <w:t>On the other hand, despite their share of 50% in gross written premium, auto insurance (motor and motor liability) constituted approximately 60% of total claim payments of non-life business in 2018.</w:t>
            </w:r>
          </w:p>
        </w:tc>
      </w:tr>
      <w:tr w:rsidR="007909D7" w:rsidRPr="00B10D90" w:rsidTr="00441D50">
        <w:trPr>
          <w:gridAfter w:val="1"/>
          <w:wAfter w:w="20" w:type="dxa"/>
          <w:trHeight w:val="3119"/>
        </w:trPr>
        <w:tc>
          <w:tcPr>
            <w:tcW w:w="4760" w:type="dxa"/>
          </w:tcPr>
          <w:p w:rsidR="007909D7" w:rsidRPr="007909D7" w:rsidRDefault="007909D7" w:rsidP="007D65D8">
            <w:pPr>
              <w:pStyle w:val="Heading2"/>
              <w:keepNext w:val="0"/>
              <w:tabs>
                <w:tab w:val="clear" w:pos="717"/>
                <w:tab w:val="num" w:pos="252"/>
                <w:tab w:val="left" w:pos="402"/>
                <w:tab w:val="left" w:pos="564"/>
              </w:tabs>
              <w:spacing w:before="0" w:after="0"/>
              <w:ind w:left="0"/>
              <w:rPr>
                <w:rFonts w:ascii="Century" w:hAnsi="Century"/>
                <w:i w:val="0"/>
                <w:color w:val="000080"/>
                <w:sz w:val="22"/>
                <w:szCs w:val="22"/>
              </w:rPr>
            </w:pPr>
            <w:bookmarkStart w:id="221" w:name="_Toc327793347"/>
            <w:bookmarkStart w:id="222" w:name="_Toc358380205"/>
            <w:bookmarkStart w:id="223" w:name="_Toc12957677"/>
            <w:r w:rsidRPr="007909D7">
              <w:rPr>
                <w:rFonts w:ascii="Century" w:hAnsi="Century"/>
                <w:i w:val="0"/>
                <w:color w:val="000080"/>
                <w:sz w:val="22"/>
                <w:szCs w:val="22"/>
              </w:rPr>
              <w:lastRenderedPageBreak/>
              <w:t>Hayat Dışı Sigorta Branşları</w:t>
            </w:r>
            <w:bookmarkEnd w:id="221"/>
            <w:bookmarkEnd w:id="222"/>
            <w:bookmarkEnd w:id="223"/>
          </w:p>
          <w:p w:rsidR="007909D7" w:rsidRPr="007909D7" w:rsidRDefault="007909D7" w:rsidP="000811E0">
            <w:pPr>
              <w:jc w:val="both"/>
              <w:rPr>
                <w:rFonts w:ascii="Century" w:hAnsi="Century"/>
                <w:sz w:val="22"/>
                <w:szCs w:val="22"/>
              </w:rPr>
            </w:pPr>
          </w:p>
          <w:p w:rsidR="007909D7" w:rsidRPr="007909D7" w:rsidRDefault="007909D7" w:rsidP="00013E79">
            <w:pPr>
              <w:jc w:val="both"/>
              <w:rPr>
                <w:rFonts w:ascii="Century" w:hAnsi="Century"/>
                <w:sz w:val="22"/>
                <w:szCs w:val="22"/>
              </w:rPr>
            </w:pPr>
            <w:r w:rsidRPr="007909D7">
              <w:rPr>
                <w:rFonts w:ascii="Century" w:hAnsi="Century"/>
                <w:sz w:val="22"/>
                <w:szCs w:val="22"/>
              </w:rPr>
              <w:t xml:space="preserve">5684 sayılı Sigortacılık Kanununun yürürlüğe girmesinden sonra yeniden düzenlenen 18 hayat dışı branşından Raylı Araçlar branşı hariç olmak üzere diğer tüm branşlarda 2018 yılında prim üretimi gerçekleştirilmiştir. </w:t>
            </w:r>
          </w:p>
          <w:p w:rsidR="007909D7" w:rsidRPr="007909D7" w:rsidRDefault="007909D7" w:rsidP="00013E79">
            <w:pPr>
              <w:jc w:val="both"/>
              <w:rPr>
                <w:rFonts w:ascii="Century" w:hAnsi="Century"/>
                <w:sz w:val="22"/>
                <w:szCs w:val="22"/>
              </w:rPr>
            </w:pPr>
          </w:p>
          <w:p w:rsidR="007909D7" w:rsidRPr="007909D7" w:rsidRDefault="007909D7" w:rsidP="00013E79">
            <w:pPr>
              <w:jc w:val="both"/>
              <w:rPr>
                <w:rFonts w:ascii="Century" w:hAnsi="Century"/>
                <w:sz w:val="22"/>
                <w:szCs w:val="22"/>
              </w:rPr>
            </w:pPr>
            <w:r w:rsidRPr="007909D7">
              <w:rPr>
                <w:rFonts w:ascii="Century" w:hAnsi="Century"/>
                <w:sz w:val="22"/>
                <w:szCs w:val="22"/>
              </w:rPr>
              <w:t>2018 yılında hayat dışı sigorta branşlarında prim üretiminde bulunan şirket sayısı ile branş bazında tanzim edilen poliçe sayısı ve prim üretimi tutarları aşağıdaki tabloda gösterilmiştir.</w:t>
            </w:r>
          </w:p>
          <w:p w:rsidR="007909D7" w:rsidRPr="007909D7" w:rsidRDefault="007909D7" w:rsidP="008B654F">
            <w:pPr>
              <w:jc w:val="both"/>
              <w:rPr>
                <w:rFonts w:ascii="Century" w:hAnsi="Century"/>
                <w:sz w:val="22"/>
                <w:szCs w:val="22"/>
              </w:rPr>
            </w:pPr>
          </w:p>
        </w:tc>
        <w:tc>
          <w:tcPr>
            <w:tcW w:w="273" w:type="dxa"/>
            <w:gridSpan w:val="6"/>
            <w:shd w:val="clear" w:color="auto" w:fill="auto"/>
          </w:tcPr>
          <w:p w:rsidR="007909D7" w:rsidRPr="007909D7" w:rsidRDefault="007909D7" w:rsidP="000811E0">
            <w:pPr>
              <w:rPr>
                <w:rFonts w:ascii="Century" w:hAnsi="Century"/>
              </w:rPr>
            </w:pPr>
          </w:p>
        </w:tc>
        <w:tc>
          <w:tcPr>
            <w:tcW w:w="4805" w:type="dxa"/>
            <w:gridSpan w:val="8"/>
            <w:shd w:val="clear" w:color="auto" w:fill="auto"/>
          </w:tcPr>
          <w:p w:rsidR="007909D7" w:rsidRPr="007909D7" w:rsidRDefault="007909D7" w:rsidP="000811E0">
            <w:pPr>
              <w:ind w:left="476" w:hanging="476"/>
              <w:rPr>
                <w:rFonts w:ascii="Century" w:hAnsi="Century"/>
                <w:b/>
                <w:color w:val="003366"/>
                <w:sz w:val="22"/>
                <w:szCs w:val="22"/>
              </w:rPr>
            </w:pPr>
            <w:r w:rsidRPr="007909D7">
              <w:rPr>
                <w:rFonts w:ascii="Century" w:hAnsi="Century"/>
                <w:b/>
                <w:color w:val="003366"/>
                <w:sz w:val="22"/>
                <w:szCs w:val="22"/>
              </w:rPr>
              <w:t>4.2. Non-Life Insurance</w:t>
            </w:r>
          </w:p>
          <w:p w:rsidR="007909D7" w:rsidRPr="007909D7" w:rsidRDefault="007909D7" w:rsidP="000811E0">
            <w:pPr>
              <w:jc w:val="both"/>
              <w:rPr>
                <w:rFonts w:ascii="Century" w:hAnsi="Century"/>
                <w:color w:val="333333"/>
                <w:sz w:val="22"/>
                <w:szCs w:val="22"/>
              </w:rPr>
            </w:pPr>
          </w:p>
          <w:p w:rsidR="007909D7" w:rsidRPr="007909D7" w:rsidRDefault="007909D7" w:rsidP="007909D7">
            <w:pPr>
              <w:jc w:val="both"/>
              <w:rPr>
                <w:rFonts w:ascii="Century" w:hAnsi="Century"/>
                <w:color w:val="333333"/>
                <w:sz w:val="22"/>
                <w:szCs w:val="22"/>
              </w:rPr>
            </w:pPr>
            <w:r w:rsidRPr="007909D7">
              <w:rPr>
                <w:rFonts w:ascii="Century" w:hAnsi="Century"/>
                <w:color w:val="333333"/>
                <w:sz w:val="22"/>
                <w:szCs w:val="22"/>
              </w:rPr>
              <w:t xml:space="preserve">As 5684 Insurance Law has become effective, all 18 non-life insurance branches was redetermined and Insurance companies generated premium in all of 18 non-life insurance LoB in 2018 except Railed Vehicles. </w:t>
            </w:r>
          </w:p>
          <w:p w:rsidR="007909D7" w:rsidRPr="007909D7" w:rsidRDefault="007909D7" w:rsidP="009F5CCD">
            <w:pPr>
              <w:jc w:val="both"/>
              <w:rPr>
                <w:rFonts w:ascii="Century" w:hAnsi="Century"/>
                <w:color w:val="333333"/>
                <w:sz w:val="22"/>
                <w:szCs w:val="22"/>
              </w:rPr>
            </w:pPr>
          </w:p>
          <w:p w:rsidR="007909D7" w:rsidRPr="007909D7" w:rsidRDefault="007909D7" w:rsidP="009F5CCD">
            <w:pPr>
              <w:jc w:val="both"/>
              <w:rPr>
                <w:rFonts w:ascii="Century" w:hAnsi="Century"/>
                <w:color w:val="333333"/>
                <w:sz w:val="22"/>
                <w:szCs w:val="22"/>
              </w:rPr>
            </w:pPr>
            <w:r w:rsidRPr="007909D7">
              <w:rPr>
                <w:rFonts w:ascii="Century" w:hAnsi="Century"/>
                <w:color w:val="333333"/>
                <w:sz w:val="22"/>
                <w:szCs w:val="22"/>
              </w:rPr>
              <w:t xml:space="preserve">The number of companies generating premium during the year, and the number of policies they issued per LoB and gross premium amount in non-life insurance are given in the Table 4.2.1. </w:t>
            </w:r>
            <w:proofErr w:type="gramStart"/>
            <w:r w:rsidRPr="007909D7">
              <w:rPr>
                <w:rFonts w:ascii="Century" w:hAnsi="Century"/>
                <w:color w:val="333333"/>
                <w:sz w:val="22"/>
                <w:szCs w:val="22"/>
              </w:rPr>
              <w:t>below</w:t>
            </w:r>
            <w:proofErr w:type="gramEnd"/>
            <w:r w:rsidRPr="007909D7">
              <w:rPr>
                <w:rFonts w:ascii="Century" w:hAnsi="Century"/>
                <w:color w:val="333333"/>
                <w:sz w:val="22"/>
                <w:szCs w:val="22"/>
              </w:rPr>
              <w:t>.</w:t>
            </w:r>
          </w:p>
        </w:tc>
      </w:tr>
      <w:tr w:rsidR="007909D7" w:rsidRPr="00B10D90" w:rsidTr="00441D50">
        <w:tblPrEx>
          <w:tblCellMar>
            <w:left w:w="70" w:type="dxa"/>
            <w:right w:w="70" w:type="dxa"/>
          </w:tblCellMar>
        </w:tblPrEx>
        <w:trPr>
          <w:gridAfter w:val="1"/>
          <w:wAfter w:w="20" w:type="dxa"/>
          <w:trHeight w:val="58"/>
        </w:trPr>
        <w:tc>
          <w:tcPr>
            <w:tcW w:w="9838" w:type="dxa"/>
            <w:gridSpan w:val="15"/>
          </w:tcPr>
          <w:p w:rsidR="007909D7" w:rsidRPr="00FD4407" w:rsidRDefault="007909D7" w:rsidP="00C0722B">
            <w:pPr>
              <w:pStyle w:val="Caption"/>
              <w:jc w:val="center"/>
              <w:rPr>
                <w:rFonts w:ascii="Century" w:hAnsi="Century"/>
                <w:b w:val="0"/>
                <w:bCs w:val="0"/>
                <w:color w:val="000080"/>
              </w:rPr>
            </w:pPr>
            <w:r w:rsidRPr="00FD4407">
              <w:rPr>
                <w:rFonts w:ascii="Century" w:hAnsi="Century"/>
                <w:color w:val="000080"/>
              </w:rPr>
              <w:t>Tablo 4.2.1:</w:t>
            </w:r>
            <w:r w:rsidRPr="00FD4407">
              <w:rPr>
                <w:rFonts w:ascii="Century" w:hAnsi="Century"/>
                <w:bCs w:val="0"/>
                <w:color w:val="000080"/>
              </w:rPr>
              <w:t xml:space="preserve"> Branş Bazında Direkt Prim Üretim Bilgileri</w:t>
            </w:r>
            <w:r w:rsidRPr="00FD4407">
              <w:rPr>
                <w:rFonts w:ascii="Century" w:hAnsi="Century"/>
                <w:b w:val="0"/>
                <w:bCs w:val="0"/>
                <w:color w:val="000080"/>
              </w:rPr>
              <w:t xml:space="preserve"> </w:t>
            </w:r>
          </w:p>
          <w:p w:rsidR="007909D7" w:rsidRDefault="007909D7" w:rsidP="00C0722B">
            <w:pPr>
              <w:pStyle w:val="Caption"/>
              <w:jc w:val="center"/>
              <w:rPr>
                <w:rFonts w:ascii="Century" w:hAnsi="Century"/>
                <w:b w:val="0"/>
                <w:i/>
                <w:iCs/>
                <w:color w:val="000080"/>
              </w:rPr>
            </w:pPr>
            <w:r w:rsidRPr="00FD4407">
              <w:rPr>
                <w:rFonts w:ascii="Century" w:hAnsi="Century"/>
                <w:b w:val="0"/>
                <w:bCs w:val="0"/>
                <w:i/>
                <w:color w:val="000080"/>
              </w:rPr>
              <w:t>Premium Income and</w:t>
            </w:r>
            <w:r w:rsidRPr="00FD4407">
              <w:rPr>
                <w:rFonts w:ascii="Century" w:hAnsi="Century"/>
                <w:b w:val="0"/>
                <w:bCs w:val="0"/>
                <w:color w:val="000080"/>
              </w:rPr>
              <w:t xml:space="preserve"> </w:t>
            </w:r>
            <w:r w:rsidRPr="00FD4407">
              <w:rPr>
                <w:rFonts w:ascii="Century" w:hAnsi="Century"/>
                <w:b w:val="0"/>
                <w:i/>
                <w:iCs/>
                <w:color w:val="000080"/>
              </w:rPr>
              <w:t>No. of Policies Per LoB</w:t>
            </w:r>
          </w:p>
          <w:p w:rsidR="009C0DDD" w:rsidRDefault="009C0DDD" w:rsidP="009C0DDD">
            <w:r>
              <w:rPr>
                <w:noProof/>
              </w:rPr>
              <w:drawing>
                <wp:inline distT="0" distB="0" distL="0" distR="0" wp14:anchorId="1E56E728" wp14:editId="06EE9F8F">
                  <wp:extent cx="6153150" cy="3448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3150" cy="3448050"/>
                          </a:xfrm>
                          <a:prstGeom prst="rect">
                            <a:avLst/>
                          </a:prstGeom>
                          <a:noFill/>
                          <a:ln>
                            <a:noFill/>
                          </a:ln>
                        </pic:spPr>
                      </pic:pic>
                    </a:graphicData>
                  </a:graphic>
                </wp:inline>
              </w:drawing>
            </w:r>
          </w:p>
          <w:p w:rsidR="007909D7" w:rsidRPr="00FD4407" w:rsidRDefault="007909D7" w:rsidP="00F9622F">
            <w:pPr>
              <w:jc w:val="both"/>
              <w:rPr>
                <w:rFonts w:ascii="Century" w:hAnsi="Century"/>
                <w:i/>
                <w:sz w:val="16"/>
                <w:szCs w:val="16"/>
              </w:rPr>
            </w:pPr>
            <w:r w:rsidRPr="00FD4407">
              <w:rPr>
                <w:rFonts w:ascii="Century" w:hAnsi="Century"/>
                <w:sz w:val="16"/>
                <w:szCs w:val="16"/>
              </w:rPr>
              <w:t>(*)Sosyal Güvenlik Kurumuna devredilmek üzere alınan primler ile Riskli Sigortalılar Havuzu Primleri dahil, Yeşil Kart Hariçtir. –</w:t>
            </w:r>
            <w:r w:rsidRPr="00FD4407">
              <w:rPr>
                <w:rFonts w:ascii="Century" w:hAnsi="Century"/>
                <w:i/>
                <w:sz w:val="16"/>
                <w:szCs w:val="16"/>
              </w:rPr>
              <w:t xml:space="preserve">The premium ceded to the Social Security Administration and High Risk Insurance Pool are included, Green Card Insurance is </w:t>
            </w:r>
            <w:proofErr w:type="gramStart"/>
            <w:r w:rsidRPr="00FD4407">
              <w:rPr>
                <w:rFonts w:ascii="Century" w:hAnsi="Century"/>
                <w:i/>
                <w:sz w:val="16"/>
                <w:szCs w:val="16"/>
              </w:rPr>
              <w:t>excluded .</w:t>
            </w:r>
            <w:proofErr w:type="gramEnd"/>
          </w:p>
          <w:p w:rsidR="007909D7" w:rsidRPr="00327B97" w:rsidRDefault="007909D7" w:rsidP="00001569">
            <w:pPr>
              <w:jc w:val="both"/>
              <w:rPr>
                <w:rFonts w:ascii="Century" w:hAnsi="Century"/>
                <w:color w:val="003366"/>
              </w:rPr>
            </w:pPr>
          </w:p>
          <w:p w:rsidR="007909D7" w:rsidRPr="00FD4407" w:rsidRDefault="007909D7" w:rsidP="00001569">
            <w:pPr>
              <w:jc w:val="both"/>
              <w:rPr>
                <w:rFonts w:ascii="Century" w:hAnsi="Century"/>
                <w:b/>
                <w:color w:val="003366"/>
                <w:sz w:val="16"/>
                <w:szCs w:val="16"/>
              </w:rPr>
            </w:pPr>
          </w:p>
        </w:tc>
      </w:tr>
      <w:tr w:rsidR="007909D7" w:rsidRPr="00B10D90" w:rsidTr="00441D50">
        <w:trPr>
          <w:gridAfter w:val="1"/>
          <w:wAfter w:w="20" w:type="dxa"/>
        </w:trPr>
        <w:tc>
          <w:tcPr>
            <w:tcW w:w="4760" w:type="dxa"/>
          </w:tcPr>
          <w:p w:rsidR="007909D7" w:rsidRDefault="007909D7" w:rsidP="008C05F8">
            <w:pPr>
              <w:jc w:val="both"/>
              <w:rPr>
                <w:rFonts w:ascii="Century" w:hAnsi="Century"/>
                <w:sz w:val="22"/>
                <w:szCs w:val="22"/>
              </w:rPr>
            </w:pPr>
            <w:r w:rsidRPr="006867B8">
              <w:rPr>
                <w:rFonts w:ascii="Century" w:hAnsi="Century"/>
                <w:sz w:val="22"/>
                <w:szCs w:val="22"/>
              </w:rPr>
              <w:t>2018 yılında hayat dışı dallarda düzenlenen poliçelerin %26’sı KMA Zorunlu Mali Sorumluluk (Trafik) Sigortasında, %9’u ise Motorlu Kara Taşıtları Kasko Sigortasında gerçekleştirilmiştir. Buna karşın, Kasko Sigortasındaki prim üretimi hayat dışı toplam prim üretiminin %18’ini teşkil etmektedir.</w:t>
            </w:r>
            <w:r w:rsidRPr="009F5CCD">
              <w:rPr>
                <w:rFonts w:ascii="Century" w:hAnsi="Century"/>
                <w:sz w:val="22"/>
                <w:szCs w:val="22"/>
              </w:rPr>
              <w:t xml:space="preserve"> </w:t>
            </w:r>
          </w:p>
          <w:p w:rsidR="007909D7" w:rsidRDefault="007909D7" w:rsidP="008C05F8">
            <w:pPr>
              <w:jc w:val="both"/>
              <w:rPr>
                <w:rFonts w:ascii="Century" w:hAnsi="Century"/>
                <w:sz w:val="22"/>
                <w:szCs w:val="22"/>
              </w:rPr>
            </w:pPr>
          </w:p>
          <w:p w:rsidR="009C0DDD" w:rsidRDefault="009C0DDD" w:rsidP="008C05F8">
            <w:pPr>
              <w:jc w:val="both"/>
              <w:rPr>
                <w:rFonts w:ascii="Century" w:hAnsi="Century"/>
                <w:sz w:val="22"/>
                <w:szCs w:val="22"/>
              </w:rPr>
            </w:pPr>
          </w:p>
          <w:p w:rsidR="007909D7" w:rsidRPr="00B10D90" w:rsidRDefault="007909D7" w:rsidP="008C05F8">
            <w:pPr>
              <w:jc w:val="both"/>
              <w:rPr>
                <w:rFonts w:ascii="Century" w:hAnsi="Century"/>
                <w:sz w:val="22"/>
                <w:szCs w:val="22"/>
                <w:highlight w:val="yellow"/>
              </w:rPr>
            </w:pPr>
          </w:p>
          <w:p w:rsidR="007909D7" w:rsidRPr="009F5CCD" w:rsidRDefault="007909D7" w:rsidP="00013E79">
            <w:pPr>
              <w:jc w:val="both"/>
              <w:rPr>
                <w:rFonts w:ascii="Century" w:hAnsi="Century"/>
                <w:sz w:val="22"/>
                <w:szCs w:val="22"/>
              </w:rPr>
            </w:pPr>
            <w:r w:rsidRPr="009F5CCD">
              <w:rPr>
                <w:rFonts w:ascii="Century" w:hAnsi="Century"/>
                <w:sz w:val="22"/>
                <w:szCs w:val="22"/>
              </w:rPr>
              <w:lastRenderedPageBreak/>
              <w:t>Hayat dışı branşlar dikkate alındığında, düzenlenen poliçelerin %83’ünün, prim üretiminin ise %88’inin beş branşta (Kara Araçları, Kara Araçları Sorumluluk, Hastalık / Sağlık, Yangın ve Doğal Afetler ile Genel Zararlar) gerçekleştirildiği görülmektedir.</w:t>
            </w:r>
          </w:p>
          <w:p w:rsidR="007909D7" w:rsidRPr="00B10D90" w:rsidRDefault="007909D7" w:rsidP="001F429A">
            <w:pPr>
              <w:jc w:val="both"/>
              <w:rPr>
                <w:rFonts w:ascii="Century" w:hAnsi="Century"/>
                <w:sz w:val="22"/>
                <w:szCs w:val="22"/>
                <w:highlight w:val="yellow"/>
              </w:rPr>
            </w:pPr>
          </w:p>
          <w:p w:rsidR="007909D7" w:rsidRPr="009F5CCD" w:rsidRDefault="007909D7" w:rsidP="001F429A">
            <w:pPr>
              <w:jc w:val="both"/>
              <w:rPr>
                <w:rFonts w:ascii="Century" w:hAnsi="Century"/>
                <w:sz w:val="22"/>
                <w:szCs w:val="22"/>
              </w:rPr>
            </w:pPr>
            <w:r w:rsidRPr="009F5CCD">
              <w:rPr>
                <w:rFonts w:ascii="Century" w:hAnsi="Century"/>
                <w:sz w:val="22"/>
                <w:szCs w:val="22"/>
              </w:rPr>
              <w:t xml:space="preserve">Hayat dışı dallar direkt prim üretiminde branşların payı aşağıdaki grafikte yüzde oran olarak gösterilmiştir. </w:t>
            </w:r>
          </w:p>
          <w:p w:rsidR="007909D7" w:rsidRPr="00B10D90" w:rsidRDefault="007909D7" w:rsidP="00326EEA">
            <w:pPr>
              <w:jc w:val="both"/>
              <w:rPr>
                <w:rFonts w:ascii="Century" w:hAnsi="Century"/>
                <w:sz w:val="22"/>
                <w:szCs w:val="22"/>
                <w:highlight w:val="yellow"/>
              </w:rPr>
            </w:pPr>
          </w:p>
          <w:p w:rsidR="007909D7" w:rsidRPr="00B10D90" w:rsidRDefault="007909D7" w:rsidP="00326EEA">
            <w:pPr>
              <w:jc w:val="both"/>
              <w:rPr>
                <w:rFonts w:ascii="Century" w:hAnsi="Century"/>
                <w:sz w:val="22"/>
                <w:szCs w:val="22"/>
                <w:highlight w:val="yellow"/>
              </w:rPr>
            </w:pPr>
          </w:p>
        </w:tc>
        <w:tc>
          <w:tcPr>
            <w:tcW w:w="273" w:type="dxa"/>
            <w:gridSpan w:val="6"/>
          </w:tcPr>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p w:rsidR="007909D7" w:rsidRPr="00B10D90" w:rsidRDefault="007909D7" w:rsidP="008C05F8">
            <w:pPr>
              <w:jc w:val="both"/>
              <w:rPr>
                <w:rFonts w:ascii="Century" w:hAnsi="Century"/>
                <w:highlight w:val="yellow"/>
              </w:rPr>
            </w:pPr>
          </w:p>
        </w:tc>
        <w:tc>
          <w:tcPr>
            <w:tcW w:w="4805" w:type="dxa"/>
            <w:gridSpan w:val="8"/>
          </w:tcPr>
          <w:p w:rsidR="007909D7" w:rsidRDefault="007909D7" w:rsidP="008C05F8">
            <w:pPr>
              <w:jc w:val="both"/>
              <w:rPr>
                <w:rFonts w:ascii="Century" w:hAnsi="Century"/>
                <w:color w:val="333333"/>
                <w:sz w:val="22"/>
                <w:szCs w:val="22"/>
              </w:rPr>
            </w:pPr>
            <w:r w:rsidRPr="009F5CCD">
              <w:rPr>
                <w:rFonts w:ascii="Century" w:hAnsi="Century"/>
                <w:color w:val="333333"/>
                <w:sz w:val="22"/>
                <w:szCs w:val="22"/>
              </w:rPr>
              <w:lastRenderedPageBreak/>
              <w:t xml:space="preserve">26% of the number of insurance policies issued by the companies in non-life insurance in 2018 belongs to </w:t>
            </w:r>
            <w:r w:rsidR="00AD277F">
              <w:rPr>
                <w:rFonts w:ascii="Century" w:hAnsi="Century"/>
                <w:color w:val="333333"/>
                <w:sz w:val="22"/>
                <w:szCs w:val="22"/>
              </w:rPr>
              <w:t xml:space="preserve">compulsory </w:t>
            </w:r>
            <w:r w:rsidRPr="009F5CCD">
              <w:rPr>
                <w:rFonts w:ascii="Century" w:hAnsi="Century"/>
                <w:color w:val="333333"/>
                <w:sz w:val="22"/>
                <w:szCs w:val="22"/>
              </w:rPr>
              <w:t>motor liability</w:t>
            </w:r>
            <w:r w:rsidRPr="009F5CCD">
              <w:rPr>
                <w:rFonts w:ascii="Century" w:hAnsi="Century"/>
                <w:color w:val="333333"/>
                <w:sz w:val="22"/>
              </w:rPr>
              <w:t xml:space="preserve"> insurance</w:t>
            </w:r>
            <w:r w:rsidRPr="009F5CCD">
              <w:rPr>
                <w:rFonts w:ascii="Century" w:hAnsi="Century"/>
                <w:color w:val="333333"/>
                <w:sz w:val="22"/>
                <w:szCs w:val="22"/>
              </w:rPr>
              <w:t xml:space="preserve"> and 9% of them </w:t>
            </w:r>
            <w:proofErr w:type="gramStart"/>
            <w:r w:rsidRPr="009F5CCD">
              <w:rPr>
                <w:rFonts w:ascii="Century" w:hAnsi="Century"/>
                <w:color w:val="333333"/>
                <w:sz w:val="22"/>
                <w:szCs w:val="22"/>
              </w:rPr>
              <w:t>is</w:t>
            </w:r>
            <w:proofErr w:type="gramEnd"/>
            <w:r w:rsidRPr="009F5CCD">
              <w:rPr>
                <w:rFonts w:ascii="Century" w:hAnsi="Century"/>
                <w:color w:val="333333"/>
                <w:sz w:val="22"/>
                <w:szCs w:val="22"/>
              </w:rPr>
              <w:t xml:space="preserve"> issued</w:t>
            </w:r>
            <w:r w:rsidRPr="009F5CCD">
              <w:rPr>
                <w:rFonts w:ascii="Century" w:hAnsi="Century"/>
                <w:color w:val="333333"/>
                <w:sz w:val="22"/>
              </w:rPr>
              <w:t xml:space="preserve"> in motor insurance</w:t>
            </w:r>
            <w:r w:rsidRPr="009F5CCD">
              <w:rPr>
                <w:rFonts w:ascii="Century" w:hAnsi="Century"/>
                <w:color w:val="333333"/>
                <w:sz w:val="22"/>
                <w:szCs w:val="22"/>
              </w:rPr>
              <w:t xml:space="preserve">. On the other hand, gross premium of motor vehicle insurance has 18% share of the gross </w:t>
            </w:r>
            <w:r w:rsidRPr="009F5CCD">
              <w:rPr>
                <w:rFonts w:ascii="Century" w:hAnsi="Century"/>
                <w:color w:val="333333"/>
                <w:sz w:val="22"/>
              </w:rPr>
              <w:t xml:space="preserve">non-life </w:t>
            </w:r>
            <w:r w:rsidRPr="009F5CCD">
              <w:rPr>
                <w:rFonts w:ascii="Century" w:hAnsi="Century"/>
                <w:color w:val="333333"/>
                <w:sz w:val="22"/>
                <w:szCs w:val="22"/>
              </w:rPr>
              <w:t>premium.</w:t>
            </w:r>
          </w:p>
          <w:p w:rsidR="007909D7" w:rsidRDefault="007909D7" w:rsidP="008C05F8">
            <w:pPr>
              <w:jc w:val="both"/>
              <w:rPr>
                <w:rFonts w:ascii="Century" w:hAnsi="Century"/>
                <w:color w:val="333333"/>
                <w:sz w:val="22"/>
                <w:szCs w:val="22"/>
              </w:rPr>
            </w:pPr>
          </w:p>
          <w:p w:rsidR="009C0DDD" w:rsidRDefault="009C0DDD" w:rsidP="008C05F8">
            <w:pPr>
              <w:jc w:val="both"/>
              <w:rPr>
                <w:rFonts w:ascii="Century" w:hAnsi="Century"/>
                <w:color w:val="333333"/>
                <w:sz w:val="22"/>
                <w:szCs w:val="22"/>
              </w:rPr>
            </w:pPr>
          </w:p>
          <w:p w:rsidR="007909D7" w:rsidRPr="00B10D90" w:rsidRDefault="007909D7" w:rsidP="008C05F8">
            <w:pPr>
              <w:jc w:val="both"/>
              <w:rPr>
                <w:rFonts w:ascii="Century" w:hAnsi="Century"/>
                <w:color w:val="333333"/>
                <w:sz w:val="22"/>
                <w:szCs w:val="22"/>
                <w:highlight w:val="yellow"/>
              </w:rPr>
            </w:pPr>
          </w:p>
          <w:p w:rsidR="007909D7" w:rsidRPr="009F5CCD" w:rsidRDefault="007909D7" w:rsidP="00013E79">
            <w:pPr>
              <w:jc w:val="both"/>
              <w:rPr>
                <w:rFonts w:ascii="Century" w:hAnsi="Century"/>
                <w:color w:val="333333"/>
                <w:sz w:val="22"/>
                <w:szCs w:val="22"/>
              </w:rPr>
            </w:pPr>
            <w:r w:rsidRPr="009F5CCD">
              <w:rPr>
                <w:rFonts w:ascii="Century" w:hAnsi="Century"/>
                <w:color w:val="333333"/>
                <w:sz w:val="22"/>
                <w:szCs w:val="22"/>
              </w:rPr>
              <w:lastRenderedPageBreak/>
              <w:t>Given the non-life insurance LoB, 83% of the issued policies and 88% of gross premium have b</w:t>
            </w:r>
            <w:r w:rsidR="00084B04">
              <w:rPr>
                <w:rFonts w:ascii="Century" w:hAnsi="Century"/>
                <w:color w:val="333333"/>
                <w:sz w:val="22"/>
                <w:szCs w:val="22"/>
              </w:rPr>
              <w:t xml:space="preserve">een achieved by five </w:t>
            </w:r>
            <w:proofErr w:type="gramStart"/>
            <w:r w:rsidR="00084B04">
              <w:rPr>
                <w:rFonts w:ascii="Century" w:hAnsi="Century"/>
                <w:color w:val="333333"/>
                <w:sz w:val="22"/>
                <w:szCs w:val="22"/>
              </w:rPr>
              <w:t>LoB</w:t>
            </w:r>
            <w:proofErr w:type="gramEnd"/>
            <w:r w:rsidR="00084B04">
              <w:rPr>
                <w:rFonts w:ascii="Century" w:hAnsi="Century"/>
                <w:color w:val="333333"/>
                <w:sz w:val="22"/>
                <w:szCs w:val="22"/>
              </w:rPr>
              <w:t xml:space="preserve"> (motor</w:t>
            </w:r>
            <w:r w:rsidRPr="009F5CCD">
              <w:rPr>
                <w:rFonts w:ascii="Century" w:hAnsi="Century"/>
                <w:color w:val="333333"/>
                <w:sz w:val="22"/>
                <w:szCs w:val="22"/>
              </w:rPr>
              <w:t xml:space="preserve">, motor liability, illness / health, fire and natural disasters, general damages). </w:t>
            </w:r>
          </w:p>
          <w:p w:rsidR="007909D7" w:rsidRDefault="007909D7" w:rsidP="00326EEA">
            <w:pPr>
              <w:jc w:val="both"/>
              <w:rPr>
                <w:rFonts w:ascii="Century" w:hAnsi="Century"/>
                <w:color w:val="333333"/>
                <w:sz w:val="22"/>
                <w:szCs w:val="22"/>
              </w:rPr>
            </w:pPr>
          </w:p>
          <w:p w:rsidR="00084B04" w:rsidRDefault="00084B04" w:rsidP="00326EEA">
            <w:pPr>
              <w:jc w:val="both"/>
              <w:rPr>
                <w:rFonts w:ascii="Century" w:hAnsi="Century"/>
                <w:color w:val="333333"/>
                <w:sz w:val="22"/>
                <w:szCs w:val="22"/>
              </w:rPr>
            </w:pPr>
          </w:p>
          <w:p w:rsidR="00084B04" w:rsidRPr="009F5CCD" w:rsidRDefault="00084B04" w:rsidP="00326EEA">
            <w:pPr>
              <w:jc w:val="both"/>
              <w:rPr>
                <w:rFonts w:ascii="Century" w:hAnsi="Century"/>
                <w:color w:val="333333"/>
                <w:sz w:val="22"/>
                <w:szCs w:val="22"/>
              </w:rPr>
            </w:pPr>
          </w:p>
          <w:p w:rsidR="007909D7" w:rsidRPr="009F5CCD" w:rsidRDefault="007909D7" w:rsidP="00326EEA">
            <w:pPr>
              <w:jc w:val="both"/>
              <w:rPr>
                <w:rFonts w:ascii="Century" w:hAnsi="Century"/>
                <w:color w:val="333333"/>
                <w:sz w:val="22"/>
                <w:szCs w:val="22"/>
              </w:rPr>
            </w:pPr>
            <w:r w:rsidRPr="009F5CCD">
              <w:rPr>
                <w:rFonts w:ascii="Century" w:hAnsi="Century"/>
                <w:color w:val="333333"/>
                <w:sz w:val="22"/>
                <w:szCs w:val="22"/>
              </w:rPr>
              <w:t xml:space="preserve">The following graph shows the share of non-life gross premium per each line of business. </w:t>
            </w:r>
          </w:p>
          <w:p w:rsidR="007909D7" w:rsidRPr="00B10D90" w:rsidRDefault="007909D7" w:rsidP="00326EEA">
            <w:pPr>
              <w:jc w:val="both"/>
              <w:rPr>
                <w:rFonts w:ascii="Century" w:hAnsi="Century"/>
                <w:b/>
                <w:highlight w:val="yellow"/>
              </w:rPr>
            </w:pPr>
          </w:p>
        </w:tc>
      </w:tr>
      <w:tr w:rsidR="007909D7" w:rsidRPr="00B10D90" w:rsidTr="00441D50">
        <w:tblPrEx>
          <w:tblCellMar>
            <w:left w:w="70" w:type="dxa"/>
            <w:right w:w="70" w:type="dxa"/>
          </w:tblCellMar>
        </w:tblPrEx>
        <w:trPr>
          <w:gridAfter w:val="1"/>
          <w:wAfter w:w="20" w:type="dxa"/>
          <w:trHeight w:val="330"/>
        </w:trPr>
        <w:tc>
          <w:tcPr>
            <w:tcW w:w="9838" w:type="dxa"/>
            <w:gridSpan w:val="15"/>
          </w:tcPr>
          <w:p w:rsidR="007909D7" w:rsidRPr="009F5CCD" w:rsidRDefault="007909D7" w:rsidP="00700CE3">
            <w:pPr>
              <w:pStyle w:val="Caption"/>
              <w:jc w:val="center"/>
              <w:rPr>
                <w:rFonts w:ascii="Century" w:hAnsi="Century"/>
                <w:bCs w:val="0"/>
                <w:color w:val="000080"/>
              </w:rPr>
            </w:pPr>
            <w:bookmarkStart w:id="224" w:name="_Toc170665558"/>
            <w:r w:rsidRPr="009F5CCD">
              <w:rPr>
                <w:rFonts w:ascii="Century" w:hAnsi="Century"/>
                <w:color w:val="000080"/>
              </w:rPr>
              <w:lastRenderedPageBreak/>
              <w:t xml:space="preserve">Grafik 4.2.1: Hayat Dışı Branşlar </w:t>
            </w:r>
            <w:r w:rsidRPr="009F5CCD">
              <w:rPr>
                <w:rFonts w:ascii="Century" w:hAnsi="Century"/>
                <w:bCs w:val="0"/>
                <w:color w:val="000080"/>
              </w:rPr>
              <w:t>Direkt Primlerinin Branş Bazında Dağılımı (%)</w:t>
            </w:r>
          </w:p>
          <w:p w:rsidR="007909D7" w:rsidRDefault="007909D7" w:rsidP="00700CE3">
            <w:pPr>
              <w:pStyle w:val="Caption"/>
              <w:jc w:val="center"/>
              <w:rPr>
                <w:rFonts w:ascii="Century" w:hAnsi="Century"/>
                <w:b w:val="0"/>
                <w:i/>
                <w:iCs/>
                <w:color w:val="000080"/>
              </w:rPr>
            </w:pPr>
            <w:r w:rsidRPr="009F5CCD">
              <w:rPr>
                <w:rFonts w:ascii="Century" w:hAnsi="Century"/>
                <w:b w:val="0"/>
                <w:i/>
                <w:iCs/>
                <w:color w:val="000080"/>
              </w:rPr>
              <w:t>Direct Premium Division</w:t>
            </w:r>
            <w:bookmarkEnd w:id="224"/>
            <w:r w:rsidRPr="009F5CCD">
              <w:rPr>
                <w:rFonts w:ascii="Century" w:hAnsi="Century"/>
                <w:b w:val="0"/>
                <w:i/>
                <w:iCs/>
                <w:color w:val="000080"/>
              </w:rPr>
              <w:t xml:space="preserve"> for Non-Life Insurance (%)</w:t>
            </w:r>
          </w:p>
          <w:p w:rsidR="00840393" w:rsidRDefault="00840393" w:rsidP="00840393">
            <w:r>
              <w:rPr>
                <w:noProof/>
              </w:rPr>
              <w:drawing>
                <wp:inline distT="0" distB="0" distL="0" distR="0" wp14:anchorId="0B6BE301" wp14:editId="44F05DBA">
                  <wp:extent cx="6153150"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3150" cy="2514600"/>
                          </a:xfrm>
                          <a:prstGeom prst="rect">
                            <a:avLst/>
                          </a:prstGeom>
                          <a:noFill/>
                          <a:ln>
                            <a:noFill/>
                          </a:ln>
                        </pic:spPr>
                      </pic:pic>
                    </a:graphicData>
                  </a:graphic>
                </wp:inline>
              </w:drawing>
            </w:r>
          </w:p>
          <w:p w:rsidR="00840393" w:rsidRPr="00840393" w:rsidRDefault="00840393" w:rsidP="00840393"/>
          <w:p w:rsidR="007909D7" w:rsidRPr="009F5CCD" w:rsidRDefault="007909D7" w:rsidP="00514B68"/>
          <w:p w:rsidR="007909D7" w:rsidRPr="009F5CCD" w:rsidRDefault="007909D7" w:rsidP="00576F13"/>
          <w:p w:rsidR="007909D7" w:rsidRPr="009F5CCD" w:rsidRDefault="007909D7" w:rsidP="00576F13"/>
          <w:p w:rsidR="007909D7" w:rsidRPr="009F5CCD" w:rsidRDefault="007909D7" w:rsidP="00576F13"/>
          <w:p w:rsidR="007909D7" w:rsidRPr="009F5CCD" w:rsidRDefault="007909D7" w:rsidP="00576F13"/>
          <w:p w:rsidR="007909D7" w:rsidRPr="009F5CCD" w:rsidRDefault="007909D7" w:rsidP="00576F13"/>
          <w:p w:rsidR="007909D7" w:rsidRPr="009F5CCD" w:rsidRDefault="007909D7" w:rsidP="00700CE3">
            <w:pPr>
              <w:jc w:val="center"/>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p w:rsidR="007909D7" w:rsidRPr="009F5CCD" w:rsidRDefault="007909D7" w:rsidP="00700CE3">
            <w:pPr>
              <w:jc w:val="both"/>
              <w:rPr>
                <w:rFonts w:ascii="Century" w:hAnsi="Century"/>
              </w:rPr>
            </w:pPr>
          </w:p>
        </w:tc>
      </w:tr>
      <w:tr w:rsidR="007909D7" w:rsidRPr="00B10D90" w:rsidTr="00441D50">
        <w:trPr>
          <w:gridAfter w:val="1"/>
          <w:wAfter w:w="20" w:type="dxa"/>
          <w:trHeight w:val="3686"/>
        </w:trPr>
        <w:tc>
          <w:tcPr>
            <w:tcW w:w="4760" w:type="dxa"/>
          </w:tcPr>
          <w:p w:rsidR="007909D7" w:rsidRPr="00F74BB9" w:rsidRDefault="007909D7" w:rsidP="0064291B">
            <w:pPr>
              <w:pStyle w:val="Heading3"/>
              <w:keepNext w:val="0"/>
              <w:spacing w:before="0" w:after="0"/>
              <w:ind w:left="110" w:hanging="110"/>
              <w:jc w:val="both"/>
              <w:rPr>
                <w:rFonts w:ascii="Century" w:hAnsi="Century"/>
                <w:color w:val="000080"/>
                <w:sz w:val="22"/>
                <w:szCs w:val="22"/>
              </w:rPr>
            </w:pPr>
            <w:bookmarkStart w:id="225" w:name="_Toc327793348"/>
            <w:bookmarkStart w:id="226" w:name="_Toc358380206"/>
            <w:bookmarkStart w:id="227" w:name="_Toc12957678"/>
            <w:r w:rsidRPr="00F74BB9">
              <w:rPr>
                <w:rFonts w:ascii="Century" w:hAnsi="Century"/>
                <w:color w:val="000080"/>
                <w:sz w:val="22"/>
                <w:szCs w:val="22"/>
              </w:rPr>
              <w:lastRenderedPageBreak/>
              <w:t>Hastalık / Sağlık Branşı</w:t>
            </w:r>
            <w:bookmarkEnd w:id="225"/>
            <w:bookmarkEnd w:id="226"/>
            <w:bookmarkEnd w:id="227"/>
          </w:p>
          <w:p w:rsidR="007909D7" w:rsidRPr="002C62B0" w:rsidRDefault="007909D7" w:rsidP="000811E0">
            <w:pPr>
              <w:jc w:val="both"/>
              <w:rPr>
                <w:rFonts w:ascii="Century" w:hAnsi="Century"/>
                <w:sz w:val="22"/>
                <w:szCs w:val="22"/>
              </w:rPr>
            </w:pPr>
          </w:p>
          <w:p w:rsidR="007909D7" w:rsidRPr="00B10D90" w:rsidRDefault="007909D7" w:rsidP="00B43BB6">
            <w:pPr>
              <w:jc w:val="both"/>
              <w:rPr>
                <w:rFonts w:ascii="Century" w:hAnsi="Century"/>
                <w:sz w:val="22"/>
                <w:szCs w:val="22"/>
                <w:highlight w:val="yellow"/>
              </w:rPr>
            </w:pPr>
            <w:r w:rsidRPr="002C62B0">
              <w:rPr>
                <w:rFonts w:ascii="Century" w:hAnsi="Century"/>
                <w:sz w:val="22"/>
                <w:szCs w:val="22"/>
              </w:rPr>
              <w:t xml:space="preserve">Hayat dışı direkt prim üretiminde %14  oranında paya sahip olan Hastalık / Sağlık Branşında 2018 yılında </w:t>
            </w:r>
            <w:r w:rsidRPr="00A13665">
              <w:rPr>
                <w:rFonts w:ascii="Century" w:hAnsi="Century"/>
                <w:sz w:val="22"/>
                <w:szCs w:val="22"/>
              </w:rPr>
              <w:t>üçü hayat, beşi  hayat / emeklilik şirketi olmak üzere toplam 41 şirket faaliyette bulunmuş ve toplam 5.414.823 adet hastalık/sağlık teminatı içeren sözleşme düzenlemiştir. Düzenlenen sözleşmelerin 933.446 adedi grup sigorta sözleşmesi niteliğinde olup, toplam 1.884.287 adet sigortalıyı kapsamaktadır. Düzenlenen poliçelerden yenileme garantisi verilen sözleşme / sertifika sayısı 86</w:t>
            </w:r>
            <w:r>
              <w:rPr>
                <w:rFonts w:ascii="Century" w:hAnsi="Century"/>
                <w:sz w:val="22"/>
                <w:szCs w:val="22"/>
              </w:rPr>
              <w:t>5</w:t>
            </w:r>
            <w:r w:rsidRPr="00A13665">
              <w:rPr>
                <w:rFonts w:ascii="Century" w:hAnsi="Century"/>
                <w:sz w:val="22"/>
                <w:szCs w:val="22"/>
              </w:rPr>
              <w:t xml:space="preserve">.022’dir. </w:t>
            </w:r>
          </w:p>
        </w:tc>
        <w:tc>
          <w:tcPr>
            <w:tcW w:w="273" w:type="dxa"/>
            <w:gridSpan w:val="6"/>
          </w:tcPr>
          <w:p w:rsidR="007909D7" w:rsidRPr="00B10D90" w:rsidRDefault="007909D7" w:rsidP="000811E0">
            <w:pPr>
              <w:jc w:val="both"/>
              <w:rPr>
                <w:rFonts w:ascii="Century" w:hAnsi="Century"/>
                <w:highlight w:val="yellow"/>
              </w:rPr>
            </w:pPr>
          </w:p>
          <w:p w:rsidR="007909D7" w:rsidRPr="00B10D90" w:rsidRDefault="007909D7" w:rsidP="000811E0">
            <w:pPr>
              <w:jc w:val="both"/>
              <w:rPr>
                <w:rFonts w:ascii="Century" w:hAnsi="Century"/>
                <w:highlight w:val="yellow"/>
              </w:rPr>
            </w:pPr>
          </w:p>
          <w:p w:rsidR="007909D7" w:rsidRPr="00B10D90" w:rsidRDefault="007909D7" w:rsidP="000811E0">
            <w:pPr>
              <w:jc w:val="both"/>
              <w:rPr>
                <w:rFonts w:ascii="Century" w:hAnsi="Century"/>
                <w:highlight w:val="yellow"/>
              </w:rPr>
            </w:pPr>
          </w:p>
          <w:p w:rsidR="007909D7" w:rsidRPr="00B10D90" w:rsidRDefault="007909D7" w:rsidP="000811E0">
            <w:pPr>
              <w:jc w:val="both"/>
              <w:rPr>
                <w:rFonts w:ascii="Century" w:hAnsi="Century"/>
                <w:highlight w:val="yellow"/>
              </w:rPr>
            </w:pPr>
          </w:p>
          <w:p w:rsidR="007909D7" w:rsidRPr="00B10D90" w:rsidRDefault="007909D7" w:rsidP="000811E0">
            <w:pPr>
              <w:jc w:val="both"/>
              <w:rPr>
                <w:rFonts w:ascii="Century" w:hAnsi="Century"/>
                <w:highlight w:val="yellow"/>
              </w:rPr>
            </w:pPr>
          </w:p>
          <w:p w:rsidR="007909D7" w:rsidRPr="00B10D90" w:rsidRDefault="007909D7" w:rsidP="000811E0">
            <w:pPr>
              <w:jc w:val="both"/>
              <w:rPr>
                <w:rFonts w:ascii="Century" w:hAnsi="Century"/>
                <w:highlight w:val="yellow"/>
              </w:rPr>
            </w:pPr>
          </w:p>
        </w:tc>
        <w:tc>
          <w:tcPr>
            <w:tcW w:w="4805" w:type="dxa"/>
            <w:gridSpan w:val="8"/>
          </w:tcPr>
          <w:p w:rsidR="007909D7" w:rsidRPr="00A13665" w:rsidRDefault="007909D7" w:rsidP="000811E0">
            <w:pPr>
              <w:jc w:val="both"/>
              <w:rPr>
                <w:rFonts w:ascii="Century" w:hAnsi="Century"/>
                <w:b/>
                <w:color w:val="003366"/>
                <w:sz w:val="22"/>
                <w:szCs w:val="22"/>
              </w:rPr>
            </w:pPr>
            <w:r w:rsidRPr="00A13665">
              <w:rPr>
                <w:rFonts w:ascii="Century" w:hAnsi="Century"/>
                <w:b/>
                <w:color w:val="003366"/>
                <w:sz w:val="22"/>
                <w:szCs w:val="22"/>
              </w:rPr>
              <w:t>4.2.1. Health / Sickness Business</w:t>
            </w:r>
          </w:p>
          <w:p w:rsidR="007909D7" w:rsidRPr="00A13665" w:rsidRDefault="007909D7" w:rsidP="000811E0">
            <w:pPr>
              <w:jc w:val="both"/>
              <w:rPr>
                <w:rFonts w:ascii="Century" w:hAnsi="Century"/>
                <w:color w:val="333333"/>
                <w:sz w:val="22"/>
                <w:szCs w:val="22"/>
              </w:rPr>
            </w:pPr>
          </w:p>
          <w:p w:rsidR="007909D7" w:rsidRPr="00B10D90" w:rsidRDefault="007909D7" w:rsidP="00033551">
            <w:pPr>
              <w:jc w:val="both"/>
              <w:rPr>
                <w:rFonts w:ascii="Century" w:hAnsi="Century"/>
                <w:color w:val="333333"/>
                <w:sz w:val="22"/>
                <w:szCs w:val="22"/>
                <w:highlight w:val="yellow"/>
              </w:rPr>
            </w:pPr>
            <w:r w:rsidRPr="00A13665">
              <w:rPr>
                <w:rFonts w:ascii="Century" w:hAnsi="Century"/>
                <w:color w:val="333333"/>
                <w:sz w:val="22"/>
                <w:szCs w:val="22"/>
              </w:rPr>
              <w:t>In 2018, the number of insurance companies operating in health/sickness business was 41 with a share of 14% in nonlife gross premiums and three of them are life, five of the is life/pension companies. 5,414,823 policies were issued providing health and sickness coverage. 933,446 of those are group policies which covered 1,884,287 people. The number of policies having renewal guarantee by insurance companies are 86</w:t>
            </w:r>
            <w:r>
              <w:rPr>
                <w:rFonts w:ascii="Century" w:hAnsi="Century"/>
                <w:color w:val="333333"/>
                <w:sz w:val="22"/>
                <w:szCs w:val="22"/>
              </w:rPr>
              <w:t>5</w:t>
            </w:r>
            <w:r w:rsidRPr="00A13665">
              <w:rPr>
                <w:rFonts w:ascii="Century" w:hAnsi="Century"/>
                <w:color w:val="333333"/>
                <w:sz w:val="22"/>
                <w:szCs w:val="22"/>
              </w:rPr>
              <w:t>,022.</w:t>
            </w:r>
          </w:p>
          <w:p w:rsidR="007909D7" w:rsidRPr="00B10D90" w:rsidRDefault="007909D7" w:rsidP="00033551">
            <w:pPr>
              <w:jc w:val="both"/>
              <w:rPr>
                <w:rFonts w:ascii="Century" w:hAnsi="Century"/>
                <w:sz w:val="10"/>
                <w:szCs w:val="10"/>
                <w:highlight w:val="yellow"/>
              </w:rPr>
            </w:pPr>
          </w:p>
        </w:tc>
      </w:tr>
      <w:tr w:rsidR="007909D7" w:rsidRPr="00B10D90" w:rsidTr="00441D50">
        <w:trPr>
          <w:gridAfter w:val="1"/>
          <w:wAfter w:w="20" w:type="dxa"/>
          <w:trHeight w:val="987"/>
        </w:trPr>
        <w:tc>
          <w:tcPr>
            <w:tcW w:w="9838" w:type="dxa"/>
            <w:gridSpan w:val="15"/>
          </w:tcPr>
          <w:p w:rsidR="007909D7" w:rsidRPr="00862D87" w:rsidRDefault="007909D7" w:rsidP="00700CE3">
            <w:pPr>
              <w:jc w:val="center"/>
              <w:rPr>
                <w:rFonts w:ascii="Century" w:hAnsi="Century"/>
                <w:b/>
                <w:color w:val="000080"/>
                <w:sz w:val="20"/>
                <w:szCs w:val="20"/>
              </w:rPr>
            </w:pPr>
            <w:r w:rsidRPr="00862D87">
              <w:rPr>
                <w:rFonts w:ascii="Century" w:hAnsi="Century"/>
                <w:b/>
                <w:color w:val="000080"/>
                <w:sz w:val="20"/>
                <w:szCs w:val="20"/>
              </w:rPr>
              <w:t>Tablo 4.2.2: Hastalık/Sağlık Branşında Prim, Tazminat ve Sözleşme Verileri</w:t>
            </w:r>
          </w:p>
          <w:p w:rsidR="007909D7" w:rsidRPr="00862D87" w:rsidRDefault="007909D7" w:rsidP="00700CE3">
            <w:pPr>
              <w:jc w:val="center"/>
              <w:rPr>
                <w:rFonts w:ascii="Century" w:hAnsi="Century"/>
                <w:i/>
                <w:color w:val="000080"/>
                <w:sz w:val="20"/>
                <w:szCs w:val="20"/>
              </w:rPr>
            </w:pPr>
            <w:r w:rsidRPr="00862D87">
              <w:rPr>
                <w:rFonts w:ascii="Century" w:hAnsi="Century"/>
                <w:i/>
                <w:color w:val="000080"/>
                <w:sz w:val="20"/>
                <w:szCs w:val="20"/>
              </w:rPr>
              <w:t>Premium, Claims and Contract Figures in Health / Sickness Business</w:t>
            </w:r>
          </w:p>
          <w:p w:rsidR="007909D7" w:rsidRPr="00862D87" w:rsidRDefault="007909D7" w:rsidP="00033551">
            <w:pPr>
              <w:jc w:val="center"/>
              <w:rPr>
                <w:rFonts w:ascii="Century" w:hAnsi="Century"/>
                <w:i/>
                <w:color w:val="000080"/>
                <w:sz w:val="20"/>
                <w:szCs w:val="20"/>
              </w:rPr>
            </w:pPr>
            <w:r w:rsidRPr="00862D87">
              <w:rPr>
                <w:rFonts w:ascii="Century" w:hAnsi="Century"/>
                <w:i/>
                <w:noProof/>
                <w:color w:val="000080"/>
                <w:sz w:val="20"/>
                <w:szCs w:val="20"/>
              </w:rPr>
              <w:drawing>
                <wp:inline distT="0" distB="0" distL="0" distR="0" wp14:anchorId="54488388" wp14:editId="7CEAE5E0">
                  <wp:extent cx="6106795" cy="2941955"/>
                  <wp:effectExtent l="0" t="0" r="825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6795" cy="2941955"/>
                          </a:xfrm>
                          <a:prstGeom prst="rect">
                            <a:avLst/>
                          </a:prstGeom>
                          <a:noFill/>
                          <a:ln>
                            <a:noFill/>
                          </a:ln>
                        </pic:spPr>
                      </pic:pic>
                    </a:graphicData>
                  </a:graphic>
                </wp:inline>
              </w:drawing>
            </w:r>
          </w:p>
        </w:tc>
      </w:tr>
      <w:tr w:rsidR="007909D7" w:rsidRPr="00B10D90" w:rsidTr="00441D50">
        <w:trPr>
          <w:gridAfter w:val="1"/>
          <w:wAfter w:w="20" w:type="dxa"/>
          <w:trHeight w:val="279"/>
        </w:trPr>
        <w:tc>
          <w:tcPr>
            <w:tcW w:w="9838" w:type="dxa"/>
            <w:gridSpan w:val="15"/>
            <w:shd w:val="clear" w:color="auto" w:fill="FFFFFF"/>
          </w:tcPr>
          <w:p w:rsidR="007909D7" w:rsidRPr="00B10D90" w:rsidRDefault="007909D7" w:rsidP="00465190">
            <w:pPr>
              <w:jc w:val="both"/>
              <w:rPr>
                <w:rFonts w:ascii="Century" w:hAnsi="Century"/>
                <w:sz w:val="16"/>
                <w:szCs w:val="16"/>
                <w:highlight w:val="yellow"/>
              </w:rPr>
            </w:pPr>
          </w:p>
        </w:tc>
      </w:tr>
      <w:tr w:rsidR="007909D7" w:rsidRPr="00B10D90" w:rsidTr="00441D50">
        <w:trPr>
          <w:gridAfter w:val="1"/>
          <w:wAfter w:w="20" w:type="dxa"/>
          <w:trHeight w:val="393"/>
        </w:trPr>
        <w:tc>
          <w:tcPr>
            <w:tcW w:w="9838" w:type="dxa"/>
            <w:gridSpan w:val="15"/>
          </w:tcPr>
          <w:p w:rsidR="007909D7" w:rsidRPr="00862D87" w:rsidRDefault="007909D7" w:rsidP="00700CE3">
            <w:pPr>
              <w:jc w:val="center"/>
              <w:rPr>
                <w:rFonts w:ascii="Century" w:hAnsi="Century"/>
                <w:b/>
                <w:color w:val="000080"/>
                <w:sz w:val="20"/>
                <w:szCs w:val="20"/>
              </w:rPr>
            </w:pPr>
            <w:r w:rsidRPr="00862D87">
              <w:rPr>
                <w:rFonts w:ascii="Century" w:hAnsi="Century"/>
                <w:b/>
                <w:color w:val="000080"/>
                <w:sz w:val="20"/>
                <w:szCs w:val="20"/>
              </w:rPr>
              <w:t>Grafik 4.2.2: Hastalık/Sağlık Branşında Prim, Tazminat ve Sözleşme Verileri Yüzdeleri</w:t>
            </w:r>
          </w:p>
          <w:p w:rsidR="007909D7" w:rsidRPr="00862D87" w:rsidRDefault="007909D7" w:rsidP="00700CE3">
            <w:pPr>
              <w:jc w:val="center"/>
              <w:rPr>
                <w:rFonts w:ascii="Century" w:hAnsi="Century"/>
                <w:i/>
                <w:color w:val="000080"/>
                <w:sz w:val="20"/>
                <w:szCs w:val="20"/>
              </w:rPr>
            </w:pPr>
            <w:r w:rsidRPr="00862D87">
              <w:rPr>
                <w:rFonts w:ascii="Century" w:hAnsi="Century"/>
                <w:i/>
                <w:color w:val="000080"/>
                <w:sz w:val="20"/>
                <w:szCs w:val="20"/>
              </w:rPr>
              <w:t>Premium, Claims and Contract Figures as Percentage in Health / Sickness Business (%)</w:t>
            </w:r>
          </w:p>
          <w:p w:rsidR="007909D7" w:rsidRDefault="007909D7" w:rsidP="00736BA3">
            <w:pPr>
              <w:jc w:val="center"/>
              <w:rPr>
                <w:rFonts w:ascii="Century" w:hAnsi="Century"/>
              </w:rPr>
            </w:pPr>
            <w:r w:rsidRPr="00862D87">
              <w:rPr>
                <w:rFonts w:ascii="Century" w:hAnsi="Century"/>
                <w:noProof/>
              </w:rPr>
              <w:drawing>
                <wp:inline distT="0" distB="0" distL="0" distR="0" wp14:anchorId="5A81AAAD" wp14:editId="3B7D82B1">
                  <wp:extent cx="5860415" cy="2258060"/>
                  <wp:effectExtent l="0" t="0" r="6985" b="889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0415" cy="2258060"/>
                          </a:xfrm>
                          <a:prstGeom prst="rect">
                            <a:avLst/>
                          </a:prstGeom>
                          <a:noFill/>
                          <a:ln>
                            <a:noFill/>
                          </a:ln>
                        </pic:spPr>
                      </pic:pic>
                    </a:graphicData>
                  </a:graphic>
                </wp:inline>
              </w:drawing>
            </w:r>
          </w:p>
          <w:p w:rsidR="007909D7" w:rsidRPr="00862D87" w:rsidRDefault="007909D7" w:rsidP="00736BA3">
            <w:pPr>
              <w:jc w:val="center"/>
              <w:rPr>
                <w:rFonts w:ascii="Century" w:hAnsi="Century"/>
              </w:rPr>
            </w:pPr>
          </w:p>
        </w:tc>
      </w:tr>
      <w:tr w:rsidR="007909D7" w:rsidRPr="00B10D90" w:rsidTr="00441D50">
        <w:trPr>
          <w:gridAfter w:val="1"/>
          <w:wAfter w:w="20" w:type="dxa"/>
          <w:trHeight w:val="4962"/>
        </w:trPr>
        <w:tc>
          <w:tcPr>
            <w:tcW w:w="4760" w:type="dxa"/>
          </w:tcPr>
          <w:p w:rsidR="007909D7" w:rsidRPr="006867B8" w:rsidRDefault="007909D7" w:rsidP="00B64F53">
            <w:pPr>
              <w:jc w:val="both"/>
              <w:rPr>
                <w:rFonts w:ascii="Century" w:hAnsi="Century"/>
                <w:sz w:val="22"/>
                <w:szCs w:val="22"/>
              </w:rPr>
            </w:pPr>
            <w:r w:rsidRPr="00FE5689">
              <w:rPr>
                <w:rFonts w:ascii="Century" w:hAnsi="Century"/>
                <w:sz w:val="22"/>
                <w:szCs w:val="22"/>
              </w:rPr>
              <w:lastRenderedPageBreak/>
              <w:t>Poliçe sayısı ile prim ve tazminat tutarlarının dağılımına göre Hastalık / Sağlık Branşında poliçelerin %44’ü Seyahat Sağlık Sigortasında düzenlenmiş, ancak anılan sigortanın branş prim üretimindeki payı %2</w:t>
            </w:r>
            <w:proofErr w:type="gramStart"/>
            <w:r w:rsidRPr="00FE5689">
              <w:rPr>
                <w:rFonts w:ascii="Century" w:hAnsi="Century"/>
                <w:sz w:val="22"/>
                <w:szCs w:val="22"/>
              </w:rPr>
              <w:t>,6</w:t>
            </w:r>
            <w:proofErr w:type="gramEnd"/>
            <w:r w:rsidRPr="00FE5689">
              <w:rPr>
                <w:rFonts w:ascii="Century" w:hAnsi="Century"/>
                <w:sz w:val="22"/>
                <w:szCs w:val="22"/>
              </w:rPr>
              <w:t xml:space="preserve"> düzeyinde kalmıştır. Diğer taraftan, branş prim üretiminin %96’sını oluşturan Sağlık Sigortasının sözleşme </w:t>
            </w:r>
            <w:r w:rsidRPr="006867B8">
              <w:rPr>
                <w:rFonts w:ascii="Century" w:hAnsi="Century"/>
                <w:sz w:val="22"/>
                <w:szCs w:val="22"/>
              </w:rPr>
              <w:t>sayısındaki payı %52’dir.</w:t>
            </w:r>
          </w:p>
          <w:p w:rsidR="007909D7" w:rsidRPr="006867B8" w:rsidRDefault="007909D7" w:rsidP="00B64F53">
            <w:pPr>
              <w:jc w:val="both"/>
              <w:rPr>
                <w:rFonts w:ascii="Century" w:hAnsi="Century"/>
                <w:sz w:val="22"/>
                <w:szCs w:val="22"/>
              </w:rPr>
            </w:pPr>
          </w:p>
          <w:p w:rsidR="007909D7" w:rsidRPr="00B10D90" w:rsidRDefault="007909D7" w:rsidP="00C05358">
            <w:pPr>
              <w:jc w:val="both"/>
              <w:rPr>
                <w:rFonts w:ascii="Century" w:hAnsi="Century"/>
                <w:highlight w:val="yellow"/>
              </w:rPr>
            </w:pPr>
            <w:r w:rsidRPr="006867B8">
              <w:rPr>
                <w:rFonts w:ascii="Century" w:hAnsi="Century"/>
                <w:sz w:val="22"/>
                <w:szCs w:val="22"/>
              </w:rPr>
              <w:t>Son beş yıllık süreçte Hastalık / Sağlık Branşı’na ilişkin hasar oranları %76-%78 seviyelerinde, masraf oranları ise %20-21 seviyelerinde istikrarlı bir seyir izlemiştir. Teknik karlılık oranı ise 2018 yılında teknik olmayan bölümden aktarılan yatırım gelirlerinin de etkisiyle son beş yılda ilk defa %10 seviyesinin üzerine çıkarak %13</w:t>
            </w:r>
            <w:proofErr w:type="gramStart"/>
            <w:r w:rsidRPr="006867B8">
              <w:rPr>
                <w:rFonts w:ascii="Century" w:hAnsi="Century"/>
                <w:sz w:val="22"/>
                <w:szCs w:val="22"/>
              </w:rPr>
              <w:t>,5</w:t>
            </w:r>
            <w:proofErr w:type="gramEnd"/>
            <w:r w:rsidRPr="006867B8">
              <w:rPr>
                <w:rFonts w:ascii="Century" w:hAnsi="Century"/>
                <w:sz w:val="22"/>
                <w:szCs w:val="22"/>
              </w:rPr>
              <w:t xml:space="preserve"> oranında gerçekleşmiştir. </w:t>
            </w:r>
          </w:p>
        </w:tc>
        <w:tc>
          <w:tcPr>
            <w:tcW w:w="273" w:type="dxa"/>
            <w:gridSpan w:val="6"/>
          </w:tcPr>
          <w:p w:rsidR="007909D7" w:rsidRPr="00B10D90" w:rsidRDefault="007909D7" w:rsidP="000811E0">
            <w:pPr>
              <w:jc w:val="both"/>
              <w:rPr>
                <w:rFonts w:ascii="Century" w:hAnsi="Century"/>
                <w:highlight w:val="yellow"/>
              </w:rPr>
            </w:pPr>
          </w:p>
        </w:tc>
        <w:tc>
          <w:tcPr>
            <w:tcW w:w="4805" w:type="dxa"/>
            <w:gridSpan w:val="8"/>
          </w:tcPr>
          <w:p w:rsidR="007909D7" w:rsidRPr="00FE5689" w:rsidRDefault="007909D7" w:rsidP="00B64F53">
            <w:pPr>
              <w:jc w:val="both"/>
              <w:rPr>
                <w:rFonts w:ascii="Century" w:hAnsi="Century"/>
                <w:color w:val="333333"/>
                <w:sz w:val="22"/>
                <w:szCs w:val="22"/>
              </w:rPr>
            </w:pPr>
            <w:r w:rsidRPr="00FE5689">
              <w:rPr>
                <w:rFonts w:ascii="Century" w:hAnsi="Century"/>
                <w:color w:val="333333"/>
                <w:sz w:val="22"/>
                <w:szCs w:val="22"/>
              </w:rPr>
              <w:t>According to the table and graph above, 44% of written policies and 2.6% of premiums is in travel health insurance. On the other hand, the share is 52% in number of policies whereas its share in premium volume is 96%.</w:t>
            </w:r>
          </w:p>
          <w:p w:rsidR="007909D7" w:rsidRDefault="007909D7" w:rsidP="00B64F53">
            <w:pPr>
              <w:jc w:val="both"/>
              <w:rPr>
                <w:rFonts w:ascii="Century" w:hAnsi="Century"/>
                <w:color w:val="333333"/>
                <w:sz w:val="22"/>
                <w:szCs w:val="22"/>
                <w:highlight w:val="yellow"/>
              </w:rPr>
            </w:pPr>
          </w:p>
          <w:p w:rsidR="00745DEB" w:rsidRDefault="00745DEB" w:rsidP="00B64F53">
            <w:pPr>
              <w:jc w:val="both"/>
              <w:rPr>
                <w:rFonts w:ascii="Century" w:hAnsi="Century"/>
                <w:color w:val="333333"/>
                <w:sz w:val="22"/>
                <w:szCs w:val="22"/>
                <w:highlight w:val="yellow"/>
              </w:rPr>
            </w:pPr>
          </w:p>
          <w:p w:rsidR="007909D7" w:rsidRPr="00B10D90" w:rsidRDefault="006867B8" w:rsidP="00EC5100">
            <w:pPr>
              <w:jc w:val="both"/>
              <w:rPr>
                <w:rFonts w:ascii="Century" w:hAnsi="Century"/>
                <w:color w:val="333333"/>
                <w:sz w:val="22"/>
                <w:szCs w:val="22"/>
                <w:highlight w:val="yellow"/>
              </w:rPr>
            </w:pPr>
            <w:r w:rsidRPr="006867B8">
              <w:rPr>
                <w:rFonts w:ascii="Century" w:hAnsi="Century"/>
                <w:sz w:val="22"/>
                <w:szCs w:val="22"/>
              </w:rPr>
              <w:t>During last five years, loss ratio and expenses ratio stably realized around 76%-78% and %20-21 respectively. In 2018, technical profit rate has exceeded level of 10% and reached 13.5% for the first time in last five years thanks to investment income transferred from non-technical section</w:t>
            </w:r>
            <w:r w:rsidRPr="006867B8">
              <w:rPr>
                <w:rFonts w:ascii="Century" w:hAnsi="Century"/>
                <w:color w:val="FF0000"/>
                <w:sz w:val="22"/>
                <w:szCs w:val="22"/>
              </w:rPr>
              <w:t>.</w:t>
            </w:r>
          </w:p>
        </w:tc>
      </w:tr>
      <w:tr w:rsidR="007909D7" w:rsidRPr="00B10D90" w:rsidTr="00441D50">
        <w:trPr>
          <w:gridAfter w:val="1"/>
          <w:wAfter w:w="20" w:type="dxa"/>
        </w:trPr>
        <w:tc>
          <w:tcPr>
            <w:tcW w:w="4760" w:type="dxa"/>
          </w:tcPr>
          <w:p w:rsidR="007909D7" w:rsidRPr="00B10D90" w:rsidRDefault="007909D7" w:rsidP="00700CE3">
            <w:pPr>
              <w:jc w:val="both"/>
              <w:rPr>
                <w:rFonts w:ascii="Century" w:hAnsi="Century"/>
                <w:sz w:val="22"/>
                <w:szCs w:val="22"/>
                <w:highlight w:val="yellow"/>
              </w:rPr>
            </w:pPr>
          </w:p>
        </w:tc>
        <w:tc>
          <w:tcPr>
            <w:tcW w:w="273" w:type="dxa"/>
            <w:gridSpan w:val="6"/>
          </w:tcPr>
          <w:p w:rsidR="007909D7" w:rsidRPr="00B10D90" w:rsidRDefault="007909D7" w:rsidP="00700CE3">
            <w:pPr>
              <w:jc w:val="both"/>
              <w:rPr>
                <w:rFonts w:ascii="Century" w:hAnsi="Century"/>
                <w:highlight w:val="yellow"/>
              </w:rPr>
            </w:pPr>
          </w:p>
        </w:tc>
        <w:tc>
          <w:tcPr>
            <w:tcW w:w="4805" w:type="dxa"/>
            <w:gridSpan w:val="8"/>
          </w:tcPr>
          <w:p w:rsidR="007909D7" w:rsidRPr="00B10D90" w:rsidRDefault="007909D7" w:rsidP="00700CE3">
            <w:pPr>
              <w:jc w:val="both"/>
              <w:rPr>
                <w:rFonts w:ascii="Century" w:hAnsi="Century"/>
                <w:color w:val="333333"/>
                <w:sz w:val="22"/>
                <w:szCs w:val="22"/>
                <w:highlight w:val="yellow"/>
              </w:rPr>
            </w:pPr>
          </w:p>
        </w:tc>
      </w:tr>
      <w:tr w:rsidR="007909D7" w:rsidRPr="00B10D90" w:rsidTr="00441D50">
        <w:trPr>
          <w:gridAfter w:val="1"/>
          <w:wAfter w:w="20" w:type="dxa"/>
          <w:trHeight w:val="4063"/>
        </w:trPr>
        <w:tc>
          <w:tcPr>
            <w:tcW w:w="9838" w:type="dxa"/>
            <w:gridSpan w:val="15"/>
          </w:tcPr>
          <w:p w:rsidR="007909D7" w:rsidRPr="00FE5689" w:rsidRDefault="007909D7" w:rsidP="00700CE3">
            <w:pPr>
              <w:jc w:val="center"/>
              <w:rPr>
                <w:rFonts w:ascii="Century" w:hAnsi="Century"/>
                <w:b/>
                <w:color w:val="000080"/>
                <w:sz w:val="20"/>
                <w:szCs w:val="20"/>
              </w:rPr>
            </w:pPr>
            <w:r w:rsidRPr="00FE5689">
              <w:rPr>
                <w:rFonts w:ascii="Century" w:hAnsi="Century"/>
                <w:b/>
                <w:color w:val="000080"/>
                <w:sz w:val="20"/>
                <w:szCs w:val="20"/>
              </w:rPr>
              <w:t>Tablo 4.2.3: Hastalık / Sağlık Branşı Teknik Verileri</w:t>
            </w:r>
          </w:p>
          <w:p w:rsidR="007909D7" w:rsidRPr="00FE5689" w:rsidRDefault="007909D7" w:rsidP="00700CE3">
            <w:pPr>
              <w:jc w:val="center"/>
              <w:rPr>
                <w:rFonts w:ascii="Century" w:hAnsi="Century"/>
                <w:i/>
                <w:color w:val="000080"/>
                <w:sz w:val="20"/>
                <w:szCs w:val="20"/>
              </w:rPr>
            </w:pPr>
            <w:r w:rsidRPr="00FE5689">
              <w:rPr>
                <w:rFonts w:ascii="Century" w:hAnsi="Century"/>
                <w:i/>
                <w:color w:val="000080"/>
                <w:sz w:val="20"/>
                <w:szCs w:val="20"/>
              </w:rPr>
              <w:t>Technical Revenues and Expenses for Health Business</w:t>
            </w:r>
          </w:p>
          <w:p w:rsidR="007909D7" w:rsidRPr="00FE5689" w:rsidRDefault="007909D7" w:rsidP="00700CE3">
            <w:pPr>
              <w:jc w:val="center"/>
              <w:rPr>
                <w:rFonts w:ascii="Century" w:hAnsi="Century"/>
                <w:i/>
                <w:color w:val="000080"/>
                <w:sz w:val="20"/>
                <w:szCs w:val="20"/>
              </w:rPr>
            </w:pPr>
            <w:r w:rsidRPr="00FE5689">
              <w:rPr>
                <w:rFonts w:ascii="Century" w:hAnsi="Century"/>
                <w:i/>
                <w:noProof/>
                <w:color w:val="000080"/>
                <w:sz w:val="20"/>
                <w:szCs w:val="20"/>
              </w:rPr>
              <w:drawing>
                <wp:inline distT="0" distB="0" distL="0" distR="0" wp14:anchorId="590BA3F4" wp14:editId="2E9DB7CF">
                  <wp:extent cx="6106795" cy="225806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6795" cy="2258060"/>
                          </a:xfrm>
                          <a:prstGeom prst="rect">
                            <a:avLst/>
                          </a:prstGeom>
                          <a:noFill/>
                          <a:ln>
                            <a:noFill/>
                          </a:ln>
                        </pic:spPr>
                      </pic:pic>
                    </a:graphicData>
                  </a:graphic>
                </wp:inline>
              </w:drawing>
            </w:r>
          </w:p>
          <w:p w:rsidR="007909D7" w:rsidRPr="00FE5689" w:rsidRDefault="007909D7" w:rsidP="00DF305A">
            <w:pPr>
              <w:jc w:val="both"/>
              <w:rPr>
                <w:rFonts w:ascii="Century" w:hAnsi="Century"/>
                <w:sz w:val="18"/>
                <w:szCs w:val="18"/>
              </w:rPr>
            </w:pPr>
            <w:r w:rsidRPr="00FE5689">
              <w:rPr>
                <w:rFonts w:ascii="Century" w:hAnsi="Century"/>
                <w:sz w:val="18"/>
                <w:szCs w:val="18"/>
              </w:rPr>
              <w:t xml:space="preserve">(*) Dönem içinde tahakkuk eden komisyon tutarları. </w:t>
            </w:r>
            <w:r w:rsidRPr="00FE5689">
              <w:rPr>
                <w:rFonts w:ascii="Century" w:hAnsi="Century"/>
                <w:i/>
                <w:sz w:val="18"/>
                <w:szCs w:val="18"/>
              </w:rPr>
              <w:t>Commission amount incurred during the year.</w:t>
            </w:r>
          </w:p>
        </w:tc>
      </w:tr>
      <w:tr w:rsidR="007909D7" w:rsidRPr="00B10D90" w:rsidTr="00441D50">
        <w:trPr>
          <w:gridAfter w:val="1"/>
          <w:wAfter w:w="20" w:type="dxa"/>
          <w:trHeight w:val="343"/>
        </w:trPr>
        <w:tc>
          <w:tcPr>
            <w:tcW w:w="4760" w:type="dxa"/>
          </w:tcPr>
          <w:p w:rsidR="007909D7" w:rsidRPr="00B10D90" w:rsidRDefault="007909D7" w:rsidP="00700CE3">
            <w:pPr>
              <w:jc w:val="both"/>
              <w:rPr>
                <w:rFonts w:ascii="Century" w:hAnsi="Century"/>
                <w:sz w:val="16"/>
                <w:szCs w:val="16"/>
                <w:highlight w:val="yellow"/>
              </w:rPr>
            </w:pPr>
          </w:p>
        </w:tc>
        <w:tc>
          <w:tcPr>
            <w:tcW w:w="273" w:type="dxa"/>
            <w:gridSpan w:val="6"/>
          </w:tcPr>
          <w:p w:rsidR="007909D7" w:rsidRPr="00B10D90" w:rsidRDefault="007909D7" w:rsidP="00700CE3">
            <w:pPr>
              <w:jc w:val="both"/>
              <w:rPr>
                <w:rFonts w:ascii="Century" w:hAnsi="Century"/>
                <w:sz w:val="16"/>
                <w:szCs w:val="16"/>
                <w:highlight w:val="yellow"/>
              </w:rPr>
            </w:pPr>
          </w:p>
        </w:tc>
        <w:tc>
          <w:tcPr>
            <w:tcW w:w="4805" w:type="dxa"/>
            <w:gridSpan w:val="8"/>
          </w:tcPr>
          <w:p w:rsidR="007909D7" w:rsidRPr="00B10D90" w:rsidRDefault="007909D7" w:rsidP="00700CE3">
            <w:pPr>
              <w:jc w:val="both"/>
              <w:rPr>
                <w:rFonts w:ascii="Century" w:hAnsi="Century"/>
                <w:sz w:val="16"/>
                <w:szCs w:val="16"/>
                <w:highlight w:val="yellow"/>
              </w:rPr>
            </w:pPr>
          </w:p>
        </w:tc>
      </w:tr>
      <w:tr w:rsidR="007909D7" w:rsidRPr="00B10D90" w:rsidTr="00441D50">
        <w:trPr>
          <w:gridAfter w:val="1"/>
          <w:wAfter w:w="20" w:type="dxa"/>
          <w:trHeight w:val="270"/>
        </w:trPr>
        <w:tc>
          <w:tcPr>
            <w:tcW w:w="9838" w:type="dxa"/>
            <w:gridSpan w:val="15"/>
          </w:tcPr>
          <w:p w:rsidR="007909D7" w:rsidRPr="00FE5689" w:rsidRDefault="007909D7" w:rsidP="00700CE3">
            <w:pPr>
              <w:jc w:val="center"/>
              <w:rPr>
                <w:rFonts w:ascii="Century" w:hAnsi="Century"/>
                <w:b/>
                <w:color w:val="000080"/>
                <w:sz w:val="20"/>
                <w:szCs w:val="20"/>
              </w:rPr>
            </w:pPr>
            <w:r w:rsidRPr="00FE5689">
              <w:rPr>
                <w:rFonts w:ascii="Century" w:hAnsi="Century"/>
                <w:b/>
                <w:color w:val="000080"/>
                <w:sz w:val="20"/>
                <w:szCs w:val="20"/>
              </w:rPr>
              <w:t>Grafik 4.2.3: Hastalık / Sağlık Branşı Teknik Oranları (Brüt, %)</w:t>
            </w:r>
          </w:p>
          <w:p w:rsidR="007909D7" w:rsidRPr="00FE5689" w:rsidRDefault="007909D7" w:rsidP="00700CE3">
            <w:pPr>
              <w:jc w:val="center"/>
              <w:rPr>
                <w:rFonts w:ascii="Century" w:hAnsi="Century"/>
                <w:i/>
                <w:color w:val="000080"/>
                <w:sz w:val="20"/>
                <w:szCs w:val="20"/>
              </w:rPr>
            </w:pPr>
            <w:r w:rsidRPr="00FE5689">
              <w:rPr>
                <w:rFonts w:ascii="Century" w:hAnsi="Century"/>
                <w:i/>
                <w:color w:val="000080"/>
                <w:sz w:val="20"/>
                <w:szCs w:val="20"/>
              </w:rPr>
              <w:t xml:space="preserve">Technical Ratios for Health Business (Gross, %) </w:t>
            </w:r>
          </w:p>
          <w:p w:rsidR="007909D7" w:rsidRPr="00FE5689" w:rsidRDefault="007909D7" w:rsidP="00DA02B1">
            <w:pPr>
              <w:jc w:val="center"/>
              <w:rPr>
                <w:rFonts w:ascii="Century" w:hAnsi="Century"/>
              </w:rPr>
            </w:pPr>
            <w:r w:rsidRPr="00FE5689">
              <w:rPr>
                <w:rFonts w:ascii="Century" w:hAnsi="Century"/>
                <w:noProof/>
              </w:rPr>
              <w:drawing>
                <wp:inline distT="0" distB="0" distL="0" distR="0" wp14:anchorId="73A156D0" wp14:editId="0F8C68DE">
                  <wp:extent cx="6106602" cy="2138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06795" cy="2138968"/>
                          </a:xfrm>
                          <a:prstGeom prst="rect">
                            <a:avLst/>
                          </a:prstGeom>
                          <a:noFill/>
                          <a:ln>
                            <a:noFill/>
                          </a:ln>
                        </pic:spPr>
                      </pic:pic>
                    </a:graphicData>
                  </a:graphic>
                </wp:inline>
              </w:drawing>
            </w:r>
          </w:p>
        </w:tc>
      </w:tr>
      <w:tr w:rsidR="007909D7" w:rsidRPr="00B10D90" w:rsidTr="00441D50">
        <w:trPr>
          <w:gridAfter w:val="1"/>
          <w:wAfter w:w="20" w:type="dxa"/>
          <w:trHeight w:val="1816"/>
        </w:trPr>
        <w:tc>
          <w:tcPr>
            <w:tcW w:w="4760" w:type="dxa"/>
          </w:tcPr>
          <w:p w:rsidR="007909D7" w:rsidRPr="00384CC2" w:rsidRDefault="007909D7" w:rsidP="007D65D8">
            <w:pPr>
              <w:pStyle w:val="Heading3"/>
              <w:keepNext w:val="0"/>
              <w:spacing w:before="0" w:after="0"/>
              <w:ind w:left="0"/>
              <w:jc w:val="both"/>
              <w:rPr>
                <w:rFonts w:ascii="Century" w:hAnsi="Century"/>
                <w:color w:val="000080"/>
                <w:sz w:val="22"/>
                <w:szCs w:val="22"/>
              </w:rPr>
            </w:pPr>
            <w:bookmarkStart w:id="228" w:name="_Toc327793349"/>
            <w:bookmarkStart w:id="229" w:name="_Toc358380207"/>
            <w:bookmarkStart w:id="230" w:name="_Toc12957679"/>
            <w:r w:rsidRPr="00384CC2">
              <w:rPr>
                <w:rFonts w:ascii="Century" w:hAnsi="Century"/>
                <w:color w:val="000080"/>
                <w:sz w:val="22"/>
                <w:szCs w:val="22"/>
              </w:rPr>
              <w:lastRenderedPageBreak/>
              <w:t>Kaza Branşı</w:t>
            </w:r>
            <w:bookmarkEnd w:id="228"/>
            <w:bookmarkEnd w:id="229"/>
            <w:bookmarkEnd w:id="230"/>
          </w:p>
          <w:p w:rsidR="007909D7" w:rsidRPr="00384CC2" w:rsidRDefault="007909D7" w:rsidP="000811E0">
            <w:pPr>
              <w:rPr>
                <w:rFonts w:ascii="Century" w:hAnsi="Century"/>
                <w:sz w:val="22"/>
                <w:szCs w:val="22"/>
              </w:rPr>
            </w:pPr>
          </w:p>
          <w:p w:rsidR="007909D7" w:rsidRPr="00691E7D" w:rsidRDefault="007909D7" w:rsidP="00B64F53">
            <w:pPr>
              <w:jc w:val="both"/>
              <w:rPr>
                <w:rFonts w:ascii="Century" w:hAnsi="Century"/>
                <w:sz w:val="22"/>
                <w:szCs w:val="22"/>
              </w:rPr>
            </w:pPr>
            <w:r w:rsidRPr="00691E7D">
              <w:rPr>
                <w:rFonts w:ascii="Century" w:hAnsi="Century"/>
                <w:sz w:val="22"/>
                <w:szCs w:val="22"/>
              </w:rPr>
              <w:t>Kaza Branşı, hayat dışı dallar direkt prim üretimi içerisinde yaklaşık %4 oranında bir paya sahiptir. Kaza Branşı hayat dışı şirketler ile hayat / emeklilik şirketlerinin birlikte faaliyet gösterebildiği ortak bir alan olduğundan, 21’i hayat / emeklilik şirketi olmak üzere 2018 yılında toplam 55 şirket anılan branşta faaliyette bulunmuş ve toplam 8.563.319 adet poliçe düzenlemiştir. Diğer branşlarda düzenlenen ancak ferdi kaza ek teminatı da içeren poliçeler dikkate alındığında, ferdi kaza teminatı verilen sözleşme sayısı 20.330.840 adede ulaşmaktadır. Bu rakamın 110.939 adedi KYT Zorunlu Koltuk Ferdi Kaza Sigortası, 288 adedi Uçak Yolcu Kaza Sigortası, 3.057 adedi Maden Çalışanları Zorunlu Ferdi Kaza Sigortası, kalan 20.216.555 adedi ise Fer</w:t>
            </w:r>
            <w:r>
              <w:rPr>
                <w:rFonts w:ascii="Century" w:hAnsi="Century"/>
                <w:sz w:val="22"/>
                <w:szCs w:val="22"/>
              </w:rPr>
              <w:t>di Kaza Sigortası poliçesidir.</w:t>
            </w:r>
          </w:p>
          <w:p w:rsidR="007909D7" w:rsidRPr="00B10D90" w:rsidRDefault="007909D7" w:rsidP="00B64F53">
            <w:pPr>
              <w:jc w:val="both"/>
              <w:rPr>
                <w:rFonts w:ascii="Century" w:hAnsi="Century"/>
                <w:sz w:val="10"/>
                <w:szCs w:val="10"/>
                <w:highlight w:val="yellow"/>
              </w:rPr>
            </w:pPr>
          </w:p>
          <w:p w:rsidR="007909D7" w:rsidRPr="00691E7D" w:rsidRDefault="007909D7" w:rsidP="00B64F53">
            <w:pPr>
              <w:jc w:val="both"/>
              <w:rPr>
                <w:rFonts w:ascii="Century" w:hAnsi="Century"/>
                <w:sz w:val="22"/>
                <w:szCs w:val="22"/>
              </w:rPr>
            </w:pPr>
            <w:r w:rsidRPr="00691E7D">
              <w:rPr>
                <w:rFonts w:ascii="Century" w:hAnsi="Century"/>
                <w:sz w:val="22"/>
                <w:szCs w:val="22"/>
              </w:rPr>
              <w:t>Aşağıdaki tablo ve grafikte, Kaza Branşına ilişkin 201</w:t>
            </w:r>
            <w:r>
              <w:rPr>
                <w:rFonts w:ascii="Century" w:hAnsi="Century"/>
                <w:sz w:val="22"/>
                <w:szCs w:val="22"/>
              </w:rPr>
              <w:t>8</w:t>
            </w:r>
            <w:r w:rsidRPr="00691E7D">
              <w:rPr>
                <w:rFonts w:ascii="Century" w:hAnsi="Century"/>
                <w:sz w:val="22"/>
                <w:szCs w:val="22"/>
              </w:rPr>
              <w:t xml:space="preserve"> yılı prim üretimi, tazminat ödemesi ve sözleşme sayısı bilgileri verilmiştir.</w:t>
            </w:r>
          </w:p>
          <w:p w:rsidR="007909D7" w:rsidRPr="00691E7D" w:rsidRDefault="007909D7" w:rsidP="006220B9">
            <w:pPr>
              <w:jc w:val="both"/>
              <w:rPr>
                <w:rFonts w:ascii="Century" w:hAnsi="Century"/>
                <w:sz w:val="6"/>
                <w:szCs w:val="6"/>
                <w:highlight w:val="yellow"/>
              </w:rPr>
            </w:pPr>
          </w:p>
        </w:tc>
        <w:tc>
          <w:tcPr>
            <w:tcW w:w="273" w:type="dxa"/>
            <w:gridSpan w:val="6"/>
          </w:tcPr>
          <w:p w:rsidR="007909D7" w:rsidRPr="00B10D90" w:rsidRDefault="007909D7" w:rsidP="000811E0">
            <w:pPr>
              <w:rPr>
                <w:rFonts w:ascii="Century" w:hAnsi="Century"/>
                <w:highlight w:val="yellow"/>
              </w:rPr>
            </w:pPr>
          </w:p>
          <w:p w:rsidR="007909D7" w:rsidRPr="00B10D90" w:rsidRDefault="007909D7" w:rsidP="000811E0">
            <w:pPr>
              <w:rPr>
                <w:rFonts w:ascii="Century" w:hAnsi="Century"/>
                <w:highlight w:val="yellow"/>
              </w:rPr>
            </w:pPr>
          </w:p>
          <w:p w:rsidR="007909D7" w:rsidRPr="00B10D90" w:rsidRDefault="007909D7" w:rsidP="000811E0">
            <w:pPr>
              <w:rPr>
                <w:rFonts w:ascii="Century" w:hAnsi="Century"/>
                <w:highlight w:val="yellow"/>
              </w:rPr>
            </w:pPr>
          </w:p>
        </w:tc>
        <w:tc>
          <w:tcPr>
            <w:tcW w:w="4805" w:type="dxa"/>
            <w:gridSpan w:val="8"/>
          </w:tcPr>
          <w:p w:rsidR="007909D7" w:rsidRPr="00384CC2" w:rsidRDefault="007909D7" w:rsidP="000811E0">
            <w:pPr>
              <w:jc w:val="both"/>
              <w:rPr>
                <w:rFonts w:ascii="Century" w:hAnsi="Century"/>
                <w:b/>
                <w:color w:val="003366"/>
                <w:sz w:val="22"/>
                <w:szCs w:val="22"/>
              </w:rPr>
            </w:pPr>
            <w:r w:rsidRPr="00384CC2">
              <w:rPr>
                <w:rFonts w:ascii="Century" w:hAnsi="Century"/>
                <w:b/>
                <w:color w:val="003366"/>
                <w:sz w:val="22"/>
                <w:szCs w:val="22"/>
              </w:rPr>
              <w:t>4.2.2. Casualty Business</w:t>
            </w:r>
          </w:p>
          <w:p w:rsidR="007909D7" w:rsidRPr="00384CC2" w:rsidRDefault="007909D7" w:rsidP="000811E0">
            <w:pPr>
              <w:jc w:val="both"/>
              <w:rPr>
                <w:rFonts w:ascii="Century" w:hAnsi="Century"/>
                <w:color w:val="333333"/>
                <w:sz w:val="22"/>
                <w:szCs w:val="22"/>
              </w:rPr>
            </w:pPr>
          </w:p>
          <w:p w:rsidR="007909D7" w:rsidRPr="00B10D90" w:rsidRDefault="007909D7" w:rsidP="00B64F53">
            <w:pPr>
              <w:jc w:val="both"/>
              <w:rPr>
                <w:rFonts w:ascii="Century" w:hAnsi="Century"/>
                <w:color w:val="333333"/>
                <w:sz w:val="22"/>
                <w:szCs w:val="22"/>
                <w:highlight w:val="yellow"/>
              </w:rPr>
            </w:pPr>
            <w:r w:rsidRPr="00384CC2">
              <w:rPr>
                <w:rFonts w:ascii="Century" w:hAnsi="Century"/>
                <w:color w:val="333333"/>
                <w:sz w:val="22"/>
                <w:szCs w:val="22"/>
              </w:rPr>
              <w:t xml:space="preserve">Casualty insurance business accounted for 4% </w:t>
            </w:r>
            <w:r w:rsidRPr="00691E7D">
              <w:rPr>
                <w:rFonts w:ascii="Century" w:hAnsi="Century"/>
                <w:color w:val="333333"/>
                <w:sz w:val="22"/>
                <w:szCs w:val="22"/>
              </w:rPr>
              <w:t xml:space="preserve">of gross premiums in non-life insurance. Since, both non-life insurance and life / pension companies are allowed to operate on this LoB, 21 </w:t>
            </w:r>
            <w:proofErr w:type="gramStart"/>
            <w:r w:rsidRPr="00691E7D">
              <w:rPr>
                <w:rFonts w:ascii="Century" w:hAnsi="Century"/>
                <w:color w:val="333333"/>
                <w:sz w:val="22"/>
                <w:szCs w:val="22"/>
              </w:rPr>
              <w:t>life</w:t>
            </w:r>
            <w:proofErr w:type="gramEnd"/>
            <w:r w:rsidRPr="00691E7D">
              <w:rPr>
                <w:rFonts w:ascii="Century" w:hAnsi="Century"/>
                <w:color w:val="333333"/>
                <w:sz w:val="22"/>
                <w:szCs w:val="22"/>
              </w:rPr>
              <w:t xml:space="preserve"> / pension companies out of total 55 insurers generated premium in 2018 and issued a total of 8,563,319 policies in this LoB. On the other hand, with the production in the other lines of business that includes personal accident coverage, the total number of contracts including casualty coverage has reached 20,330,840 in 2018. In this LoB, 110,939 of the total policies were issued in compulsory personal accident insurance for coaches, 288 were issued in personal accident insurance for aircraft, 3,057 were issued in mandatory personal accident for mining employees and 20,216,555 were issued in personal accident insurance. </w:t>
            </w:r>
          </w:p>
          <w:p w:rsidR="007909D7" w:rsidRPr="00B10D90" w:rsidRDefault="007909D7" w:rsidP="00B64F53">
            <w:pPr>
              <w:jc w:val="both"/>
              <w:rPr>
                <w:rFonts w:ascii="Century" w:hAnsi="Century"/>
                <w:color w:val="333333"/>
                <w:sz w:val="10"/>
                <w:szCs w:val="10"/>
                <w:highlight w:val="yellow"/>
              </w:rPr>
            </w:pPr>
          </w:p>
          <w:p w:rsidR="007909D7" w:rsidRPr="00B10D90" w:rsidRDefault="007909D7" w:rsidP="00B2152F">
            <w:pPr>
              <w:jc w:val="both"/>
              <w:rPr>
                <w:rFonts w:ascii="Century" w:hAnsi="Century"/>
                <w:color w:val="333333"/>
                <w:sz w:val="22"/>
                <w:szCs w:val="22"/>
                <w:highlight w:val="yellow"/>
              </w:rPr>
            </w:pPr>
            <w:r w:rsidRPr="00691E7D">
              <w:rPr>
                <w:rFonts w:ascii="Century" w:hAnsi="Century"/>
                <w:color w:val="333333"/>
                <w:sz w:val="22"/>
                <w:szCs w:val="22"/>
              </w:rPr>
              <w:t>The following table and graph present detailed information about total premium, claims and contracts in that LoB in 2018.</w:t>
            </w:r>
          </w:p>
        </w:tc>
      </w:tr>
      <w:tr w:rsidR="007909D7" w:rsidRPr="00B10D90" w:rsidTr="00441D50">
        <w:trPr>
          <w:gridAfter w:val="1"/>
          <w:wAfter w:w="20" w:type="dxa"/>
          <w:trHeight w:val="518"/>
        </w:trPr>
        <w:tc>
          <w:tcPr>
            <w:tcW w:w="9838" w:type="dxa"/>
            <w:gridSpan w:val="15"/>
          </w:tcPr>
          <w:p w:rsidR="007909D7" w:rsidRPr="007D15F0" w:rsidRDefault="007909D7" w:rsidP="00700CE3">
            <w:pPr>
              <w:jc w:val="center"/>
              <w:rPr>
                <w:rFonts w:ascii="Century" w:hAnsi="Century"/>
                <w:b/>
                <w:color w:val="000080"/>
                <w:sz w:val="20"/>
                <w:szCs w:val="20"/>
              </w:rPr>
            </w:pPr>
            <w:r w:rsidRPr="007D15F0">
              <w:rPr>
                <w:rFonts w:ascii="Century" w:hAnsi="Century"/>
                <w:b/>
                <w:color w:val="000080"/>
                <w:sz w:val="20"/>
                <w:szCs w:val="20"/>
              </w:rPr>
              <w:t xml:space="preserve">Tablo 4.2.4: Kaza Branşı Prim, Tazminat ve Sözleşme Verileri </w:t>
            </w:r>
          </w:p>
          <w:p w:rsidR="007909D7" w:rsidRPr="007D15F0" w:rsidRDefault="007909D7" w:rsidP="00700CE3">
            <w:pPr>
              <w:jc w:val="center"/>
              <w:rPr>
                <w:rFonts w:ascii="Century" w:hAnsi="Century"/>
                <w:i/>
                <w:color w:val="000080"/>
                <w:sz w:val="20"/>
                <w:szCs w:val="20"/>
              </w:rPr>
            </w:pPr>
            <w:r w:rsidRPr="007D15F0">
              <w:rPr>
                <w:rFonts w:ascii="Century" w:hAnsi="Century"/>
                <w:i/>
                <w:color w:val="000080"/>
                <w:sz w:val="20"/>
                <w:szCs w:val="20"/>
              </w:rPr>
              <w:t>Premium, Claims and Contract Figures in Casualty Business</w:t>
            </w:r>
          </w:p>
          <w:p w:rsidR="007909D7" w:rsidRPr="007D15F0" w:rsidRDefault="007909D7" w:rsidP="00700CE3">
            <w:pPr>
              <w:jc w:val="center"/>
              <w:rPr>
                <w:rFonts w:ascii="Century" w:hAnsi="Century"/>
                <w:i/>
                <w:color w:val="000080"/>
                <w:sz w:val="20"/>
                <w:szCs w:val="20"/>
              </w:rPr>
            </w:pPr>
            <w:r w:rsidRPr="007D15F0">
              <w:rPr>
                <w:rFonts w:ascii="Century" w:hAnsi="Century"/>
                <w:i/>
                <w:noProof/>
                <w:color w:val="000080"/>
                <w:sz w:val="20"/>
                <w:szCs w:val="20"/>
              </w:rPr>
              <w:drawing>
                <wp:inline distT="0" distB="0" distL="0" distR="0" wp14:anchorId="189FD781" wp14:editId="471B34F2">
                  <wp:extent cx="6105648" cy="124835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6795" cy="1248590"/>
                          </a:xfrm>
                          <a:prstGeom prst="rect">
                            <a:avLst/>
                          </a:prstGeom>
                          <a:noFill/>
                          <a:ln>
                            <a:noFill/>
                          </a:ln>
                        </pic:spPr>
                      </pic:pic>
                    </a:graphicData>
                  </a:graphic>
                </wp:inline>
              </w:drawing>
            </w:r>
          </w:p>
          <w:p w:rsidR="007909D7" w:rsidRPr="007D15F0" w:rsidRDefault="007909D7" w:rsidP="00DA02B1">
            <w:pPr>
              <w:jc w:val="both"/>
              <w:rPr>
                <w:rFonts w:ascii="Century" w:hAnsi="Century"/>
                <w:sz w:val="16"/>
                <w:szCs w:val="16"/>
              </w:rPr>
            </w:pPr>
            <w:r w:rsidRPr="007D15F0">
              <w:rPr>
                <w:rFonts w:ascii="Century" w:hAnsi="Century"/>
                <w:sz w:val="16"/>
                <w:szCs w:val="16"/>
              </w:rPr>
              <w:t>(*)Sosyal Güvenlik Kurumuna devredilmek üzere alınan primler dahildir.</w:t>
            </w:r>
          </w:p>
          <w:p w:rsidR="007909D7" w:rsidRPr="007D15F0" w:rsidRDefault="007909D7" w:rsidP="00DA02B1">
            <w:pPr>
              <w:jc w:val="both"/>
              <w:rPr>
                <w:rFonts w:ascii="Century" w:hAnsi="Century"/>
                <w:color w:val="404040"/>
              </w:rPr>
            </w:pPr>
            <w:r w:rsidRPr="007D15F0">
              <w:rPr>
                <w:rFonts w:ascii="Century" w:hAnsi="Century"/>
                <w:i/>
                <w:sz w:val="16"/>
                <w:szCs w:val="16"/>
              </w:rPr>
              <w:t>The premium ceded to the Social Security Administration is included.</w:t>
            </w:r>
          </w:p>
        </w:tc>
      </w:tr>
      <w:tr w:rsidR="007909D7" w:rsidRPr="00B10D90" w:rsidTr="00441D50">
        <w:trPr>
          <w:gridAfter w:val="1"/>
          <w:wAfter w:w="20" w:type="dxa"/>
          <w:trHeight w:val="63"/>
        </w:trPr>
        <w:tc>
          <w:tcPr>
            <w:tcW w:w="9838" w:type="dxa"/>
            <w:gridSpan w:val="15"/>
          </w:tcPr>
          <w:p w:rsidR="007909D7" w:rsidRPr="00691E7D" w:rsidRDefault="007909D7" w:rsidP="00F33787">
            <w:pPr>
              <w:jc w:val="center"/>
              <w:rPr>
                <w:rFonts w:ascii="Century" w:hAnsi="Century"/>
                <w:b/>
                <w:color w:val="000080"/>
                <w:sz w:val="10"/>
                <w:szCs w:val="10"/>
              </w:rPr>
            </w:pPr>
          </w:p>
          <w:p w:rsidR="007909D7" w:rsidRPr="00691E7D" w:rsidRDefault="007909D7" w:rsidP="00F33787">
            <w:pPr>
              <w:jc w:val="center"/>
              <w:rPr>
                <w:rFonts w:ascii="Century" w:hAnsi="Century"/>
                <w:b/>
                <w:color w:val="000080"/>
                <w:sz w:val="20"/>
                <w:szCs w:val="20"/>
              </w:rPr>
            </w:pPr>
            <w:r w:rsidRPr="00691E7D">
              <w:rPr>
                <w:rFonts w:ascii="Century" w:hAnsi="Century"/>
                <w:b/>
                <w:color w:val="000080"/>
                <w:sz w:val="20"/>
                <w:szCs w:val="20"/>
              </w:rPr>
              <w:t>Grafik 4.2.4:</w:t>
            </w:r>
            <w:r w:rsidRPr="00691E7D">
              <w:rPr>
                <w:rFonts w:ascii="Century" w:hAnsi="Century"/>
                <w:b/>
                <w:sz w:val="20"/>
                <w:szCs w:val="20"/>
              </w:rPr>
              <w:t xml:space="preserve"> </w:t>
            </w:r>
            <w:r w:rsidRPr="00691E7D">
              <w:rPr>
                <w:rFonts w:ascii="Century" w:hAnsi="Century"/>
                <w:b/>
                <w:color w:val="000080"/>
                <w:sz w:val="20"/>
                <w:szCs w:val="20"/>
              </w:rPr>
              <w:t>Kaza Branşı Prim, Tazminat ve Sözleşme Verileri Yüzdeleri</w:t>
            </w:r>
          </w:p>
          <w:p w:rsidR="007909D7" w:rsidRPr="00691E7D" w:rsidRDefault="007909D7" w:rsidP="00FD41C2">
            <w:pPr>
              <w:jc w:val="center"/>
              <w:rPr>
                <w:rFonts w:ascii="Century" w:hAnsi="Century"/>
                <w:i/>
                <w:color w:val="000080"/>
                <w:sz w:val="20"/>
                <w:szCs w:val="20"/>
              </w:rPr>
            </w:pPr>
            <w:r w:rsidRPr="00691E7D">
              <w:rPr>
                <w:rFonts w:ascii="Century" w:hAnsi="Century"/>
                <w:i/>
                <w:color w:val="000080"/>
                <w:sz w:val="20"/>
                <w:szCs w:val="20"/>
              </w:rPr>
              <w:t>Premium, Claims and Contract Figures as Percentages in Casualty Business (%)</w:t>
            </w:r>
          </w:p>
          <w:p w:rsidR="007909D7" w:rsidRPr="00691E7D" w:rsidRDefault="007909D7" w:rsidP="00DA02B1">
            <w:pPr>
              <w:jc w:val="center"/>
              <w:rPr>
                <w:rFonts w:ascii="Century" w:hAnsi="Century"/>
                <w:color w:val="000080"/>
              </w:rPr>
            </w:pPr>
            <w:r>
              <w:rPr>
                <w:rFonts w:ascii="Century" w:hAnsi="Century"/>
                <w:noProof/>
                <w:color w:val="000080"/>
              </w:rPr>
              <w:drawing>
                <wp:inline distT="0" distB="0" distL="0" distR="0" wp14:anchorId="79CB13E2" wp14:editId="7EC6BB7C">
                  <wp:extent cx="6106359" cy="20832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06795" cy="2083391"/>
                          </a:xfrm>
                          <a:prstGeom prst="rect">
                            <a:avLst/>
                          </a:prstGeom>
                          <a:noFill/>
                          <a:ln>
                            <a:noFill/>
                          </a:ln>
                        </pic:spPr>
                      </pic:pic>
                    </a:graphicData>
                  </a:graphic>
                </wp:inline>
              </w:drawing>
            </w:r>
          </w:p>
        </w:tc>
      </w:tr>
      <w:tr w:rsidR="007909D7" w:rsidRPr="00B10D90" w:rsidTr="00441D50">
        <w:trPr>
          <w:gridAfter w:val="1"/>
          <w:wAfter w:w="20" w:type="dxa"/>
          <w:trHeight w:val="625"/>
        </w:trPr>
        <w:tc>
          <w:tcPr>
            <w:tcW w:w="4760" w:type="dxa"/>
          </w:tcPr>
          <w:p w:rsidR="007909D7" w:rsidRPr="006867B8" w:rsidRDefault="007909D7" w:rsidP="00B64F53">
            <w:pPr>
              <w:jc w:val="both"/>
              <w:rPr>
                <w:rFonts w:ascii="Century" w:hAnsi="Century"/>
                <w:sz w:val="22"/>
                <w:szCs w:val="22"/>
              </w:rPr>
            </w:pPr>
            <w:r w:rsidRPr="006867B8">
              <w:rPr>
                <w:rFonts w:ascii="Century" w:hAnsi="Century"/>
                <w:sz w:val="22"/>
                <w:szCs w:val="22"/>
              </w:rPr>
              <w:lastRenderedPageBreak/>
              <w:t>Poliçe sayıları ile prim ve tazminat tutarlarının dağılımına ilişkin grafiğe göre Kaza Branşında düzenlenen poliçelerin %99</w:t>
            </w:r>
            <w:proofErr w:type="gramStart"/>
            <w:r w:rsidRPr="006867B8">
              <w:rPr>
                <w:rFonts w:ascii="Century" w:hAnsi="Century"/>
                <w:sz w:val="22"/>
                <w:szCs w:val="22"/>
              </w:rPr>
              <w:t>,4’ü</w:t>
            </w:r>
            <w:proofErr w:type="gramEnd"/>
            <w:r w:rsidRPr="006867B8">
              <w:rPr>
                <w:rFonts w:ascii="Century" w:hAnsi="Century"/>
                <w:sz w:val="22"/>
                <w:szCs w:val="22"/>
              </w:rPr>
              <w:t xml:space="preserve"> Ferdi Kaza Sigortasına aittir. Ferdi Kaza Sigortasının branş prim üretimi ve ödenen tazminattaki payı ise sırasıyla %94</w:t>
            </w:r>
            <w:proofErr w:type="gramStart"/>
            <w:r w:rsidRPr="006867B8">
              <w:rPr>
                <w:rFonts w:ascii="Century" w:hAnsi="Century"/>
                <w:sz w:val="22"/>
                <w:szCs w:val="22"/>
              </w:rPr>
              <w:t>,1</w:t>
            </w:r>
            <w:proofErr w:type="gramEnd"/>
            <w:r w:rsidRPr="006867B8">
              <w:rPr>
                <w:rFonts w:ascii="Century" w:hAnsi="Century"/>
                <w:sz w:val="22"/>
                <w:szCs w:val="22"/>
              </w:rPr>
              <w:t xml:space="preserve"> ve %78,5’tir. </w:t>
            </w:r>
          </w:p>
          <w:p w:rsidR="007909D7" w:rsidRPr="006867B8" w:rsidRDefault="007909D7" w:rsidP="00B64F53">
            <w:pPr>
              <w:jc w:val="both"/>
              <w:rPr>
                <w:rFonts w:ascii="Century" w:hAnsi="Century"/>
              </w:rPr>
            </w:pPr>
          </w:p>
          <w:p w:rsidR="007909D7" w:rsidRPr="006867B8" w:rsidRDefault="007909D7" w:rsidP="00B64F53">
            <w:pPr>
              <w:jc w:val="both"/>
              <w:rPr>
                <w:rFonts w:ascii="Century" w:hAnsi="Century"/>
                <w:sz w:val="22"/>
                <w:szCs w:val="22"/>
              </w:rPr>
            </w:pPr>
            <w:r w:rsidRPr="006867B8">
              <w:rPr>
                <w:rFonts w:ascii="Century" w:hAnsi="Century"/>
                <w:sz w:val="22"/>
                <w:szCs w:val="22"/>
              </w:rPr>
              <w:t xml:space="preserve">Kaza Branşı prim üretimi yıllar itibariyle düzenli olarak artış göstermektedir. Son beş yıllık süreçte hasar oranları ve masraf oranlarındaki azalışın da etkisiyle teknik karlılık 2014 yılından itibaren 21 puan artış göstererek %56 olarak gerçekleşmiştir. </w:t>
            </w:r>
          </w:p>
          <w:p w:rsidR="007909D7" w:rsidRPr="006867B8" w:rsidRDefault="007909D7" w:rsidP="000811E0">
            <w:pPr>
              <w:jc w:val="both"/>
              <w:rPr>
                <w:rFonts w:ascii="Century" w:hAnsi="Century"/>
              </w:rPr>
            </w:pPr>
          </w:p>
        </w:tc>
        <w:tc>
          <w:tcPr>
            <w:tcW w:w="273" w:type="dxa"/>
            <w:gridSpan w:val="6"/>
          </w:tcPr>
          <w:p w:rsidR="007909D7" w:rsidRPr="006867B8" w:rsidRDefault="007909D7" w:rsidP="000811E0">
            <w:pPr>
              <w:rPr>
                <w:rFonts w:ascii="Century" w:hAnsi="Century"/>
              </w:rPr>
            </w:pPr>
          </w:p>
        </w:tc>
        <w:tc>
          <w:tcPr>
            <w:tcW w:w="4805" w:type="dxa"/>
            <w:gridSpan w:val="8"/>
          </w:tcPr>
          <w:p w:rsidR="007909D7" w:rsidRPr="006867B8" w:rsidRDefault="007909D7" w:rsidP="00B64F53">
            <w:pPr>
              <w:jc w:val="both"/>
              <w:rPr>
                <w:rFonts w:ascii="Century" w:hAnsi="Century"/>
                <w:color w:val="333333"/>
                <w:sz w:val="22"/>
                <w:szCs w:val="22"/>
              </w:rPr>
            </w:pPr>
            <w:r w:rsidRPr="006867B8">
              <w:rPr>
                <w:rFonts w:ascii="Century" w:hAnsi="Century"/>
                <w:color w:val="333333"/>
                <w:sz w:val="22"/>
                <w:szCs w:val="22"/>
              </w:rPr>
              <w:t xml:space="preserve">Personal accident insurance is a subline of business constituting over 99.4% of the policies issued in casualty business. This subline accounted for 94.1% and 78.5% of total premium and total claim payments of that line of business, respectively in 2017. </w:t>
            </w:r>
          </w:p>
          <w:p w:rsidR="007909D7" w:rsidRPr="006867B8" w:rsidRDefault="007909D7" w:rsidP="00B64F53">
            <w:pPr>
              <w:jc w:val="both"/>
              <w:rPr>
                <w:rFonts w:ascii="Century" w:hAnsi="Century"/>
                <w:color w:val="333333"/>
                <w:sz w:val="22"/>
                <w:szCs w:val="22"/>
              </w:rPr>
            </w:pPr>
          </w:p>
          <w:p w:rsidR="007909D7" w:rsidRPr="006867B8" w:rsidRDefault="006867B8" w:rsidP="00B64F53">
            <w:pPr>
              <w:jc w:val="both"/>
              <w:rPr>
                <w:rFonts w:ascii="Century" w:hAnsi="Century"/>
                <w:color w:val="333333"/>
                <w:sz w:val="22"/>
                <w:szCs w:val="22"/>
              </w:rPr>
            </w:pPr>
            <w:r w:rsidRPr="006867B8">
              <w:rPr>
                <w:rFonts w:ascii="Century" w:hAnsi="Century"/>
                <w:color w:val="333333"/>
                <w:sz w:val="22"/>
                <w:szCs w:val="22"/>
              </w:rPr>
              <w:t>There has been a steady increase in the premium generated in casualty business over the years. Technical profitability in 2018 has realized as 56% by increasing 21% from 2014 level thanks to decline in loss and expense ratios over the last five years.</w:t>
            </w:r>
          </w:p>
        </w:tc>
      </w:tr>
      <w:tr w:rsidR="007909D7" w:rsidRPr="00B10D90" w:rsidTr="00441D50">
        <w:trPr>
          <w:gridAfter w:val="1"/>
          <w:wAfter w:w="20" w:type="dxa"/>
          <w:trHeight w:val="3549"/>
        </w:trPr>
        <w:tc>
          <w:tcPr>
            <w:tcW w:w="9838" w:type="dxa"/>
            <w:gridSpan w:val="15"/>
          </w:tcPr>
          <w:p w:rsidR="007909D7" w:rsidRPr="00BE655F" w:rsidRDefault="007909D7" w:rsidP="00700CE3">
            <w:pPr>
              <w:jc w:val="center"/>
              <w:rPr>
                <w:rFonts w:ascii="Century" w:hAnsi="Century"/>
                <w:i/>
                <w:color w:val="000080"/>
                <w:sz w:val="20"/>
                <w:szCs w:val="20"/>
              </w:rPr>
            </w:pPr>
            <w:r w:rsidRPr="00BE655F">
              <w:rPr>
                <w:rFonts w:ascii="Century" w:hAnsi="Century"/>
                <w:b/>
                <w:color w:val="000080"/>
                <w:sz w:val="20"/>
                <w:szCs w:val="20"/>
              </w:rPr>
              <w:t>Tablo 4.2.5: Kaza Branşı Teknik Verileri</w:t>
            </w:r>
            <w:r w:rsidRPr="00BE655F">
              <w:rPr>
                <w:rFonts w:ascii="Century" w:hAnsi="Century"/>
                <w:b/>
                <w:sz w:val="20"/>
                <w:szCs w:val="20"/>
              </w:rPr>
              <w:t xml:space="preserve"> -</w:t>
            </w:r>
            <w:r w:rsidRPr="00BE655F">
              <w:rPr>
                <w:rFonts w:ascii="Century" w:hAnsi="Century"/>
                <w:i/>
                <w:color w:val="000080"/>
                <w:sz w:val="20"/>
                <w:szCs w:val="20"/>
              </w:rPr>
              <w:t>Technical Revenues and Expenses for Casualty Business</w:t>
            </w:r>
          </w:p>
          <w:p w:rsidR="007909D7" w:rsidRPr="00BE655F" w:rsidRDefault="007909D7" w:rsidP="00700CE3">
            <w:pPr>
              <w:jc w:val="center"/>
              <w:rPr>
                <w:rFonts w:ascii="Century" w:hAnsi="Century"/>
                <w:i/>
                <w:color w:val="000080"/>
                <w:sz w:val="20"/>
                <w:szCs w:val="20"/>
              </w:rPr>
            </w:pPr>
            <w:r w:rsidRPr="00BE655F">
              <w:rPr>
                <w:rFonts w:ascii="Century" w:hAnsi="Century"/>
                <w:i/>
                <w:noProof/>
                <w:color w:val="000080"/>
                <w:sz w:val="20"/>
                <w:szCs w:val="20"/>
              </w:rPr>
              <w:drawing>
                <wp:inline distT="0" distB="0" distL="0" distR="0" wp14:anchorId="291383F4" wp14:editId="6CB9DD83">
                  <wp:extent cx="6106795" cy="24333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6795" cy="2433320"/>
                          </a:xfrm>
                          <a:prstGeom prst="rect">
                            <a:avLst/>
                          </a:prstGeom>
                          <a:noFill/>
                          <a:ln>
                            <a:noFill/>
                          </a:ln>
                        </pic:spPr>
                      </pic:pic>
                    </a:graphicData>
                  </a:graphic>
                </wp:inline>
              </w:drawing>
            </w:r>
          </w:p>
          <w:p w:rsidR="007909D7" w:rsidRPr="00BE655F" w:rsidRDefault="007909D7" w:rsidP="00700CE3">
            <w:pPr>
              <w:jc w:val="both"/>
              <w:rPr>
                <w:rFonts w:ascii="Century" w:hAnsi="Century"/>
                <w:color w:val="404040"/>
              </w:rPr>
            </w:pPr>
            <w:r w:rsidRPr="00BE655F">
              <w:rPr>
                <w:rFonts w:ascii="Century" w:hAnsi="Century"/>
                <w:sz w:val="18"/>
                <w:szCs w:val="18"/>
              </w:rPr>
              <w:t xml:space="preserve">(*) Dönem içinde tahakkuk eden komisyon tutarları. </w:t>
            </w:r>
            <w:r w:rsidRPr="00BE655F">
              <w:rPr>
                <w:rFonts w:ascii="Century" w:hAnsi="Century"/>
                <w:i/>
                <w:sz w:val="18"/>
                <w:szCs w:val="18"/>
              </w:rPr>
              <w:t>Commission amount incurred during the year.</w:t>
            </w:r>
          </w:p>
        </w:tc>
      </w:tr>
      <w:tr w:rsidR="007909D7" w:rsidRPr="00B10D90" w:rsidTr="00441D50">
        <w:trPr>
          <w:gridAfter w:val="1"/>
          <w:wAfter w:w="20" w:type="dxa"/>
        </w:trPr>
        <w:tc>
          <w:tcPr>
            <w:tcW w:w="4760" w:type="dxa"/>
          </w:tcPr>
          <w:p w:rsidR="007909D7" w:rsidRPr="00B10D90" w:rsidRDefault="007909D7" w:rsidP="00700CE3">
            <w:pPr>
              <w:rPr>
                <w:rFonts w:ascii="Century" w:hAnsi="Century"/>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Default="007909D7" w:rsidP="00700CE3">
            <w:pPr>
              <w:jc w:val="both"/>
              <w:rPr>
                <w:rFonts w:ascii="Century" w:hAnsi="Century"/>
                <w:color w:val="404040"/>
                <w:highlight w:val="yellow"/>
              </w:rPr>
            </w:pPr>
          </w:p>
          <w:p w:rsidR="007909D7" w:rsidRPr="00B10D90" w:rsidRDefault="007909D7" w:rsidP="00700CE3">
            <w:pPr>
              <w:jc w:val="both"/>
              <w:rPr>
                <w:rFonts w:ascii="Century" w:hAnsi="Century"/>
                <w:color w:val="404040"/>
                <w:highlight w:val="yellow"/>
              </w:rPr>
            </w:pPr>
          </w:p>
        </w:tc>
      </w:tr>
      <w:tr w:rsidR="007909D7" w:rsidRPr="00B10D90" w:rsidTr="00441D50">
        <w:trPr>
          <w:gridAfter w:val="1"/>
          <w:wAfter w:w="20" w:type="dxa"/>
          <w:trHeight w:val="456"/>
        </w:trPr>
        <w:tc>
          <w:tcPr>
            <w:tcW w:w="9838" w:type="dxa"/>
            <w:gridSpan w:val="15"/>
          </w:tcPr>
          <w:p w:rsidR="007909D7" w:rsidRPr="00BE655F" w:rsidRDefault="007909D7" w:rsidP="00700CE3">
            <w:pPr>
              <w:jc w:val="center"/>
              <w:rPr>
                <w:rFonts w:ascii="Century" w:hAnsi="Century"/>
                <w:i/>
                <w:color w:val="003366"/>
                <w:sz w:val="20"/>
                <w:szCs w:val="20"/>
              </w:rPr>
            </w:pPr>
            <w:r w:rsidRPr="00BE655F">
              <w:rPr>
                <w:rFonts w:ascii="Century" w:hAnsi="Century"/>
                <w:b/>
                <w:color w:val="000080"/>
                <w:sz w:val="20"/>
                <w:szCs w:val="20"/>
              </w:rPr>
              <w:t>Grafik 4.2.5: Kaza Branşı Teknik Oranları (Brüt, %)</w:t>
            </w:r>
            <w:r w:rsidRPr="00BE655F">
              <w:rPr>
                <w:rFonts w:ascii="Century" w:hAnsi="Century"/>
                <w:b/>
                <w:i/>
                <w:color w:val="000080"/>
                <w:sz w:val="20"/>
                <w:szCs w:val="20"/>
              </w:rPr>
              <w:t>–</w:t>
            </w:r>
            <w:r w:rsidRPr="00BE655F">
              <w:rPr>
                <w:rFonts w:ascii="Century" w:hAnsi="Century"/>
                <w:i/>
                <w:color w:val="000080"/>
                <w:sz w:val="20"/>
                <w:szCs w:val="20"/>
              </w:rPr>
              <w:t xml:space="preserve">Technical Ratios for Accident </w:t>
            </w:r>
            <w:r w:rsidRPr="00BE655F">
              <w:rPr>
                <w:rFonts w:ascii="Century" w:hAnsi="Century"/>
                <w:i/>
                <w:color w:val="002060"/>
                <w:sz w:val="20"/>
                <w:szCs w:val="20"/>
              </w:rPr>
              <w:t xml:space="preserve">Business (Gross, </w:t>
            </w:r>
            <w:r w:rsidRPr="00BE655F">
              <w:rPr>
                <w:rFonts w:ascii="Century" w:hAnsi="Century"/>
                <w:i/>
                <w:color w:val="003366"/>
                <w:sz w:val="20"/>
                <w:szCs w:val="20"/>
              </w:rPr>
              <w:t>%)</w:t>
            </w:r>
          </w:p>
          <w:p w:rsidR="007909D7" w:rsidRPr="00BE655F" w:rsidRDefault="007909D7" w:rsidP="00C42D3F">
            <w:pPr>
              <w:jc w:val="center"/>
              <w:rPr>
                <w:rFonts w:ascii="Century" w:hAnsi="Century"/>
                <w:color w:val="404040"/>
              </w:rPr>
            </w:pPr>
            <w:r w:rsidRPr="00BE655F">
              <w:rPr>
                <w:rFonts w:ascii="Century" w:hAnsi="Century"/>
                <w:noProof/>
                <w:color w:val="404040"/>
              </w:rPr>
              <w:drawing>
                <wp:inline distT="0" distB="0" distL="0" distR="0" wp14:anchorId="3173DB6F" wp14:editId="44B5FA14">
                  <wp:extent cx="6106602" cy="2353587"/>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06795" cy="2353661"/>
                          </a:xfrm>
                          <a:prstGeom prst="rect">
                            <a:avLst/>
                          </a:prstGeom>
                          <a:noFill/>
                          <a:ln>
                            <a:noFill/>
                          </a:ln>
                        </pic:spPr>
                      </pic:pic>
                    </a:graphicData>
                  </a:graphic>
                </wp:inline>
              </w:drawing>
            </w:r>
          </w:p>
          <w:p w:rsidR="007909D7" w:rsidRPr="00BE655F" w:rsidRDefault="007909D7" w:rsidP="00C42D3F">
            <w:pPr>
              <w:jc w:val="center"/>
              <w:rPr>
                <w:rFonts w:ascii="Century" w:hAnsi="Century"/>
                <w:color w:val="404040"/>
              </w:rPr>
            </w:pPr>
          </w:p>
          <w:p w:rsidR="007909D7" w:rsidRPr="00BE655F" w:rsidRDefault="007909D7" w:rsidP="00C42D3F">
            <w:pPr>
              <w:jc w:val="center"/>
              <w:rPr>
                <w:rFonts w:ascii="Century" w:hAnsi="Century"/>
                <w:color w:val="404040"/>
              </w:rPr>
            </w:pPr>
          </w:p>
          <w:p w:rsidR="007909D7" w:rsidRPr="00BE655F" w:rsidRDefault="007909D7" w:rsidP="00C42D3F">
            <w:pPr>
              <w:jc w:val="center"/>
              <w:rPr>
                <w:rFonts w:ascii="Century" w:hAnsi="Century"/>
                <w:color w:val="404040"/>
              </w:rPr>
            </w:pPr>
          </w:p>
        </w:tc>
      </w:tr>
      <w:tr w:rsidR="007909D7" w:rsidRPr="00B10D90" w:rsidTr="00441D50">
        <w:trPr>
          <w:gridAfter w:val="1"/>
          <w:wAfter w:w="20" w:type="dxa"/>
        </w:trPr>
        <w:tc>
          <w:tcPr>
            <w:tcW w:w="4760" w:type="dxa"/>
          </w:tcPr>
          <w:p w:rsidR="007909D7" w:rsidRPr="006867B8" w:rsidRDefault="007909D7" w:rsidP="007D65D8">
            <w:pPr>
              <w:pStyle w:val="Heading3"/>
              <w:keepNext w:val="0"/>
              <w:spacing w:before="0" w:after="0"/>
              <w:ind w:left="0"/>
              <w:jc w:val="both"/>
              <w:rPr>
                <w:rFonts w:ascii="Century" w:hAnsi="Century"/>
                <w:color w:val="000080"/>
                <w:sz w:val="22"/>
                <w:szCs w:val="22"/>
              </w:rPr>
            </w:pPr>
            <w:bookmarkStart w:id="231" w:name="_Toc358380208"/>
            <w:bookmarkStart w:id="232" w:name="_Toc12957680"/>
            <w:bookmarkStart w:id="233" w:name="_Toc327793350"/>
            <w:r w:rsidRPr="006867B8">
              <w:rPr>
                <w:rFonts w:ascii="Century" w:hAnsi="Century"/>
                <w:color w:val="000080"/>
                <w:sz w:val="22"/>
                <w:szCs w:val="22"/>
              </w:rPr>
              <w:lastRenderedPageBreak/>
              <w:t>Kara Araçları Branşı</w:t>
            </w:r>
            <w:bookmarkEnd w:id="231"/>
            <w:bookmarkEnd w:id="232"/>
            <w:r w:rsidRPr="006867B8">
              <w:rPr>
                <w:rFonts w:ascii="Century" w:hAnsi="Century"/>
                <w:color w:val="000080"/>
                <w:sz w:val="22"/>
                <w:szCs w:val="22"/>
              </w:rPr>
              <w:t xml:space="preserve"> </w:t>
            </w:r>
            <w:bookmarkEnd w:id="233"/>
          </w:p>
          <w:p w:rsidR="007909D7" w:rsidRPr="006867B8" w:rsidRDefault="007909D7" w:rsidP="00700CE3">
            <w:pPr>
              <w:jc w:val="both"/>
              <w:rPr>
                <w:rFonts w:ascii="Century" w:hAnsi="Century"/>
                <w:sz w:val="22"/>
                <w:szCs w:val="22"/>
              </w:rPr>
            </w:pPr>
          </w:p>
          <w:p w:rsidR="007909D7" w:rsidRPr="006867B8" w:rsidRDefault="007909D7" w:rsidP="001357FD">
            <w:pPr>
              <w:jc w:val="both"/>
              <w:rPr>
                <w:rFonts w:ascii="Century" w:hAnsi="Century"/>
                <w:sz w:val="22"/>
                <w:szCs w:val="22"/>
              </w:rPr>
            </w:pPr>
            <w:r w:rsidRPr="006867B8">
              <w:rPr>
                <w:rFonts w:ascii="Century" w:hAnsi="Century"/>
                <w:sz w:val="22"/>
                <w:szCs w:val="22"/>
              </w:rPr>
              <w:t xml:space="preserve">Hayat dışı branşlar direkt prim üretiminde %17,9 paya sahip olan Kara Araçları Branşında 2018 yılında toplam 32 şirket faaliyette bulunmuş ve tamamı kasko sigortası olmak üzere toplam 5.889.250 adet poliçe düzenlemiştir. Yangın Branşında düzenlenen ve içinde kasko teminatı da bulunan sözleşmelerle birlikte anılan branşa ilişkin teminat içeren sözleşme sayısı </w:t>
            </w:r>
            <w:r w:rsidRPr="006867B8">
              <w:rPr>
                <w:rFonts w:ascii="Century" w:hAnsi="Century"/>
                <w:sz w:val="22"/>
              </w:rPr>
              <w:t>6.397.954</w:t>
            </w:r>
            <w:r w:rsidRPr="006867B8">
              <w:rPr>
                <w:rFonts w:ascii="Century" w:hAnsi="Century"/>
                <w:sz w:val="22"/>
                <w:szCs w:val="22"/>
              </w:rPr>
              <w:t xml:space="preserve"> adede yükselmektedir. </w:t>
            </w:r>
          </w:p>
          <w:p w:rsidR="007909D7" w:rsidRPr="006867B8" w:rsidRDefault="007909D7" w:rsidP="001357FD">
            <w:pPr>
              <w:jc w:val="both"/>
              <w:rPr>
                <w:rFonts w:ascii="Century" w:hAnsi="Century"/>
                <w:sz w:val="22"/>
                <w:szCs w:val="22"/>
              </w:rPr>
            </w:pPr>
          </w:p>
          <w:p w:rsidR="007909D7" w:rsidRPr="006867B8" w:rsidRDefault="007909D7" w:rsidP="001357FD">
            <w:pPr>
              <w:jc w:val="both"/>
              <w:rPr>
                <w:rFonts w:ascii="Century" w:hAnsi="Century"/>
                <w:sz w:val="22"/>
                <w:szCs w:val="22"/>
              </w:rPr>
            </w:pPr>
            <w:r w:rsidRPr="006867B8">
              <w:rPr>
                <w:rFonts w:ascii="Century" w:hAnsi="Century"/>
                <w:sz w:val="22"/>
                <w:szCs w:val="22"/>
              </w:rPr>
              <w:t>2018 yılında hayat dışı branşlar toplam prim üretiminin %16</w:t>
            </w:r>
            <w:proofErr w:type="gramStart"/>
            <w:r w:rsidRPr="006867B8">
              <w:rPr>
                <w:rFonts w:ascii="Century" w:hAnsi="Century"/>
                <w:sz w:val="22"/>
                <w:szCs w:val="22"/>
              </w:rPr>
              <w:t>,4’ü</w:t>
            </w:r>
            <w:proofErr w:type="gramEnd"/>
            <w:r w:rsidRPr="006867B8">
              <w:rPr>
                <w:rFonts w:ascii="Century" w:hAnsi="Century"/>
                <w:sz w:val="22"/>
                <w:szCs w:val="22"/>
              </w:rPr>
              <w:t xml:space="preserve"> Kara Araçları Branşında elde edilmiştir. Anılan branşın ödenen tazminatlardaki payı ise %24</w:t>
            </w:r>
            <w:proofErr w:type="gramStart"/>
            <w:r w:rsidRPr="006867B8">
              <w:rPr>
                <w:rFonts w:ascii="Century" w:hAnsi="Century"/>
                <w:sz w:val="22"/>
                <w:szCs w:val="22"/>
              </w:rPr>
              <w:t>,7’dir</w:t>
            </w:r>
            <w:proofErr w:type="gramEnd"/>
            <w:r w:rsidRPr="006867B8">
              <w:rPr>
                <w:rFonts w:ascii="Century" w:hAnsi="Century"/>
                <w:sz w:val="22"/>
                <w:szCs w:val="22"/>
              </w:rPr>
              <w:t>.</w:t>
            </w:r>
          </w:p>
          <w:p w:rsidR="007909D7" w:rsidRPr="006867B8" w:rsidRDefault="007909D7" w:rsidP="001357FD">
            <w:pPr>
              <w:jc w:val="both"/>
              <w:rPr>
                <w:rFonts w:ascii="Century" w:hAnsi="Century"/>
                <w:sz w:val="22"/>
                <w:szCs w:val="22"/>
              </w:rPr>
            </w:pPr>
          </w:p>
          <w:p w:rsidR="007909D7" w:rsidRPr="006867B8" w:rsidRDefault="007909D7" w:rsidP="001357FD">
            <w:pPr>
              <w:jc w:val="both"/>
              <w:rPr>
                <w:rFonts w:ascii="Century" w:hAnsi="Century"/>
                <w:sz w:val="22"/>
                <w:szCs w:val="22"/>
              </w:rPr>
            </w:pPr>
            <w:r w:rsidRPr="006867B8">
              <w:rPr>
                <w:rFonts w:ascii="Century" w:hAnsi="Century"/>
                <w:sz w:val="22"/>
                <w:szCs w:val="22"/>
              </w:rPr>
              <w:t>Kara Araçları Branşı prim artış hızı son dört yılda sürekli artarak 2018 yılında %13’e ulaşmıştır. Diğer yandan, anılan branşta 2016 yılında ödenen tazminatlarda %9,9 oranında artış yaşanırken 2017 ve 2018 yıllarında artış oranı %20’lerin üzerinde seyretmiştir.</w:t>
            </w:r>
          </w:p>
          <w:p w:rsidR="007909D7" w:rsidRPr="006867B8" w:rsidRDefault="007909D7" w:rsidP="00C42D3F">
            <w:pPr>
              <w:jc w:val="both"/>
              <w:rPr>
                <w:rFonts w:ascii="Century" w:hAnsi="Century"/>
                <w:sz w:val="22"/>
                <w:szCs w:val="22"/>
              </w:rPr>
            </w:pPr>
          </w:p>
          <w:p w:rsidR="007909D7" w:rsidRPr="006867B8" w:rsidRDefault="007909D7" w:rsidP="00C42D3F">
            <w:pPr>
              <w:jc w:val="both"/>
              <w:rPr>
                <w:rFonts w:ascii="Century" w:hAnsi="Century"/>
                <w:sz w:val="22"/>
                <w:szCs w:val="22"/>
              </w:rPr>
            </w:pPr>
            <w:r w:rsidRPr="006867B8">
              <w:rPr>
                <w:rFonts w:ascii="Century" w:hAnsi="Century"/>
                <w:sz w:val="22"/>
                <w:szCs w:val="22"/>
              </w:rPr>
              <w:t>Kara Araçları Branşında prim üretimi ve ödenen tazminat tutarlarındaki değişim oranları aşağıdaki grafikte gösterilmiştir.</w:t>
            </w:r>
          </w:p>
        </w:tc>
        <w:tc>
          <w:tcPr>
            <w:tcW w:w="273" w:type="dxa"/>
            <w:gridSpan w:val="6"/>
          </w:tcPr>
          <w:p w:rsidR="007909D7" w:rsidRPr="006867B8" w:rsidRDefault="007909D7" w:rsidP="00700CE3">
            <w:pPr>
              <w:rPr>
                <w:rFonts w:ascii="Century" w:hAnsi="Century"/>
              </w:rPr>
            </w:pPr>
          </w:p>
        </w:tc>
        <w:tc>
          <w:tcPr>
            <w:tcW w:w="4805" w:type="dxa"/>
            <w:gridSpan w:val="8"/>
          </w:tcPr>
          <w:p w:rsidR="007909D7" w:rsidRPr="006867B8" w:rsidRDefault="007909D7" w:rsidP="00700CE3">
            <w:pPr>
              <w:jc w:val="both"/>
              <w:rPr>
                <w:rFonts w:ascii="Century" w:hAnsi="Century"/>
                <w:b/>
                <w:color w:val="003366"/>
                <w:sz w:val="22"/>
                <w:szCs w:val="22"/>
              </w:rPr>
            </w:pPr>
            <w:r w:rsidRPr="006867B8">
              <w:rPr>
                <w:rFonts w:ascii="Century" w:hAnsi="Century"/>
                <w:b/>
                <w:color w:val="003366"/>
                <w:sz w:val="22"/>
                <w:szCs w:val="22"/>
              </w:rPr>
              <w:t>4.2.3. Motor Insurance</w:t>
            </w:r>
          </w:p>
          <w:p w:rsidR="007909D7" w:rsidRPr="006867B8" w:rsidRDefault="007909D7" w:rsidP="00700CE3">
            <w:pPr>
              <w:jc w:val="both"/>
              <w:rPr>
                <w:rFonts w:ascii="Century" w:hAnsi="Century"/>
                <w:color w:val="333333"/>
                <w:sz w:val="22"/>
                <w:szCs w:val="22"/>
              </w:rPr>
            </w:pPr>
          </w:p>
          <w:p w:rsidR="007909D7" w:rsidRPr="006867B8" w:rsidRDefault="007909D7" w:rsidP="001357FD">
            <w:pPr>
              <w:jc w:val="both"/>
              <w:rPr>
                <w:rFonts w:ascii="Century" w:hAnsi="Century"/>
                <w:color w:val="333333"/>
                <w:sz w:val="22"/>
                <w:szCs w:val="22"/>
              </w:rPr>
            </w:pPr>
            <w:r w:rsidRPr="006867B8">
              <w:rPr>
                <w:rFonts w:ascii="Century" w:hAnsi="Century"/>
                <w:color w:val="333333"/>
                <w:sz w:val="22"/>
                <w:szCs w:val="22"/>
              </w:rPr>
              <w:t xml:space="preserve">Motor business has 17.9% share in non-life gross premium. There are 32 insurance companies operating in this business and they issued 5,889,250 policies in 2018 which are all motor insurance. However, with the contracts issued at other line of business which includes this LoB coverage, the number of policies having motor coverage increases to 6,397,954. </w:t>
            </w:r>
          </w:p>
          <w:p w:rsidR="007909D7" w:rsidRDefault="007909D7" w:rsidP="001357FD">
            <w:pPr>
              <w:jc w:val="both"/>
              <w:rPr>
                <w:rFonts w:ascii="Century" w:hAnsi="Century"/>
                <w:color w:val="333333"/>
                <w:sz w:val="22"/>
                <w:szCs w:val="22"/>
              </w:rPr>
            </w:pPr>
          </w:p>
          <w:p w:rsidR="00AD277F" w:rsidRPr="006867B8" w:rsidRDefault="00AD277F" w:rsidP="001357FD">
            <w:pPr>
              <w:jc w:val="both"/>
              <w:rPr>
                <w:rFonts w:ascii="Century" w:hAnsi="Century"/>
                <w:color w:val="333333"/>
                <w:sz w:val="22"/>
                <w:szCs w:val="22"/>
              </w:rPr>
            </w:pPr>
          </w:p>
          <w:p w:rsidR="007909D7" w:rsidRPr="006867B8" w:rsidRDefault="007909D7" w:rsidP="001357FD">
            <w:pPr>
              <w:jc w:val="both"/>
              <w:rPr>
                <w:rFonts w:ascii="Century" w:hAnsi="Century"/>
                <w:color w:val="333333"/>
                <w:sz w:val="22"/>
                <w:szCs w:val="22"/>
              </w:rPr>
            </w:pPr>
            <w:r w:rsidRPr="006867B8">
              <w:rPr>
                <w:rFonts w:ascii="Century" w:hAnsi="Century"/>
                <w:color w:val="333333"/>
                <w:sz w:val="22"/>
                <w:szCs w:val="22"/>
              </w:rPr>
              <w:t xml:space="preserve">In 2018, the business accounted for 24.7% of total claim payments and with a 16.4% premium share in total non-life premium. </w:t>
            </w:r>
          </w:p>
          <w:p w:rsidR="007909D7" w:rsidRDefault="007909D7" w:rsidP="001357FD">
            <w:pPr>
              <w:jc w:val="both"/>
              <w:rPr>
                <w:rFonts w:ascii="Century" w:hAnsi="Century"/>
                <w:color w:val="333333"/>
                <w:sz w:val="22"/>
                <w:szCs w:val="22"/>
              </w:rPr>
            </w:pPr>
          </w:p>
          <w:p w:rsidR="00C46BC7" w:rsidRPr="006867B8" w:rsidRDefault="00C46BC7" w:rsidP="001357FD">
            <w:pPr>
              <w:jc w:val="both"/>
              <w:rPr>
                <w:rFonts w:ascii="Century" w:hAnsi="Century"/>
                <w:color w:val="333333"/>
                <w:sz w:val="22"/>
                <w:szCs w:val="22"/>
              </w:rPr>
            </w:pPr>
          </w:p>
          <w:p w:rsidR="006867B8" w:rsidRPr="006867B8" w:rsidRDefault="006867B8" w:rsidP="006867B8">
            <w:pPr>
              <w:jc w:val="both"/>
              <w:rPr>
                <w:rFonts w:ascii="Century" w:hAnsi="Century"/>
                <w:color w:val="333333"/>
                <w:sz w:val="22"/>
                <w:szCs w:val="22"/>
              </w:rPr>
            </w:pPr>
            <w:r w:rsidRPr="006867B8">
              <w:rPr>
                <w:rFonts w:ascii="Century" w:hAnsi="Century"/>
                <w:color w:val="333333"/>
                <w:sz w:val="22"/>
                <w:szCs w:val="22"/>
              </w:rPr>
              <w:t xml:space="preserve">Growth rate of premium in motor business has increased continuously over the last four years and reached to 13% in 2018. On the other hand, increase rate of paid loss has been above 20% in 2017 and 2018, while it was 9.9% in 2016.  </w:t>
            </w:r>
          </w:p>
          <w:p w:rsidR="007909D7" w:rsidRDefault="007909D7" w:rsidP="00E10BA8">
            <w:pPr>
              <w:jc w:val="both"/>
              <w:rPr>
                <w:rFonts w:ascii="Century" w:hAnsi="Century"/>
                <w:color w:val="333333"/>
                <w:sz w:val="22"/>
                <w:szCs w:val="22"/>
              </w:rPr>
            </w:pPr>
          </w:p>
          <w:p w:rsidR="00C46BC7" w:rsidRPr="006867B8" w:rsidRDefault="00C46BC7" w:rsidP="00E10BA8">
            <w:pPr>
              <w:jc w:val="both"/>
              <w:rPr>
                <w:rFonts w:ascii="Century" w:hAnsi="Century"/>
                <w:color w:val="333333"/>
                <w:sz w:val="22"/>
                <w:szCs w:val="22"/>
              </w:rPr>
            </w:pPr>
          </w:p>
          <w:p w:rsidR="007909D7" w:rsidRPr="006867B8" w:rsidRDefault="007909D7" w:rsidP="00091F2C">
            <w:pPr>
              <w:jc w:val="both"/>
              <w:rPr>
                <w:rFonts w:ascii="Century" w:hAnsi="Century"/>
                <w:color w:val="333333"/>
                <w:sz w:val="22"/>
                <w:szCs w:val="22"/>
              </w:rPr>
            </w:pPr>
            <w:r w:rsidRPr="006867B8">
              <w:rPr>
                <w:rFonts w:ascii="Century" w:hAnsi="Century"/>
                <w:color w:val="333333"/>
                <w:sz w:val="22"/>
                <w:szCs w:val="22"/>
              </w:rPr>
              <w:t xml:space="preserve">The following graph represents detailed information regarding growth rates in premium and paid losses for </w:t>
            </w:r>
            <w:r w:rsidR="00091F2C">
              <w:rPr>
                <w:rFonts w:ascii="Century" w:hAnsi="Century"/>
                <w:color w:val="333333"/>
                <w:sz w:val="22"/>
                <w:szCs w:val="22"/>
              </w:rPr>
              <w:t>motor</w:t>
            </w:r>
            <w:r w:rsidRPr="006867B8">
              <w:rPr>
                <w:rFonts w:ascii="Century" w:hAnsi="Century"/>
                <w:color w:val="333333"/>
                <w:sz w:val="22"/>
                <w:szCs w:val="22"/>
              </w:rPr>
              <w:t xml:space="preserve"> insurance for the last five years. </w:t>
            </w:r>
          </w:p>
        </w:tc>
      </w:tr>
      <w:tr w:rsidR="007909D7" w:rsidRPr="00B10D90" w:rsidTr="00441D50">
        <w:trPr>
          <w:gridAfter w:val="1"/>
          <w:wAfter w:w="20" w:type="dxa"/>
        </w:trPr>
        <w:tc>
          <w:tcPr>
            <w:tcW w:w="4760" w:type="dxa"/>
          </w:tcPr>
          <w:p w:rsidR="007909D7" w:rsidRPr="00327B97" w:rsidRDefault="007909D7" w:rsidP="007425C2">
            <w:pPr>
              <w:pStyle w:val="Heading4"/>
              <w:keepNext w:val="0"/>
              <w:spacing w:before="0" w:after="0"/>
              <w:rPr>
                <w:rFonts w:ascii="Century" w:hAnsi="Century"/>
                <w:b w:val="0"/>
                <w:color w:val="000080"/>
                <w:sz w:val="22"/>
                <w:szCs w:val="22"/>
                <w:highlight w:val="yellow"/>
              </w:rPr>
            </w:pPr>
          </w:p>
          <w:p w:rsidR="007909D7" w:rsidRPr="00B10D90" w:rsidRDefault="007909D7" w:rsidP="007B490E">
            <w:pPr>
              <w:rPr>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700CE3">
            <w:pPr>
              <w:jc w:val="both"/>
              <w:rPr>
                <w:rFonts w:ascii="Century" w:hAnsi="Century"/>
                <w:b/>
                <w:color w:val="003366"/>
                <w:sz w:val="22"/>
                <w:szCs w:val="22"/>
                <w:highlight w:val="yellow"/>
              </w:rPr>
            </w:pPr>
          </w:p>
        </w:tc>
      </w:tr>
      <w:tr w:rsidR="007909D7" w:rsidRPr="00B10D90" w:rsidTr="00441D50">
        <w:trPr>
          <w:gridAfter w:val="1"/>
          <w:wAfter w:w="20" w:type="dxa"/>
          <w:trHeight w:val="58"/>
        </w:trPr>
        <w:tc>
          <w:tcPr>
            <w:tcW w:w="9838" w:type="dxa"/>
            <w:gridSpan w:val="15"/>
          </w:tcPr>
          <w:p w:rsidR="007909D7" w:rsidRPr="00CE4308" w:rsidRDefault="007909D7" w:rsidP="00700CE3">
            <w:pPr>
              <w:jc w:val="center"/>
              <w:rPr>
                <w:rFonts w:ascii="Century" w:hAnsi="Century"/>
                <w:b/>
                <w:color w:val="000080"/>
                <w:sz w:val="20"/>
                <w:szCs w:val="20"/>
              </w:rPr>
            </w:pPr>
            <w:r w:rsidRPr="00CE4308">
              <w:rPr>
                <w:rFonts w:ascii="Century" w:hAnsi="Century"/>
                <w:b/>
                <w:color w:val="000080"/>
                <w:sz w:val="20"/>
                <w:szCs w:val="20"/>
              </w:rPr>
              <w:t>Grafik 4.2.6: Kara Araçları Branşı (Kasko) Prim ve Ödenen Tazminat Büyüme Oranları (%)</w:t>
            </w:r>
          </w:p>
          <w:p w:rsidR="007909D7" w:rsidRPr="00CE4308" w:rsidRDefault="007909D7" w:rsidP="00700CE3">
            <w:pPr>
              <w:jc w:val="center"/>
              <w:rPr>
                <w:rFonts w:ascii="Century" w:hAnsi="Century"/>
                <w:i/>
                <w:color w:val="000080"/>
                <w:sz w:val="20"/>
                <w:szCs w:val="20"/>
              </w:rPr>
            </w:pPr>
            <w:r w:rsidRPr="00CE4308">
              <w:rPr>
                <w:rFonts w:ascii="Century" w:hAnsi="Century"/>
                <w:i/>
                <w:color w:val="000080"/>
                <w:sz w:val="20"/>
                <w:szCs w:val="20"/>
              </w:rPr>
              <w:t xml:space="preserve">Growth Rates of Premium and Paid Loss for Motor </w:t>
            </w:r>
            <w:r w:rsidR="009C0DDD">
              <w:rPr>
                <w:rFonts w:ascii="Century" w:hAnsi="Century"/>
                <w:i/>
                <w:color w:val="000080"/>
                <w:sz w:val="20"/>
                <w:szCs w:val="20"/>
              </w:rPr>
              <w:t xml:space="preserve">Business </w:t>
            </w:r>
            <w:r w:rsidRPr="00CE4308">
              <w:rPr>
                <w:rFonts w:ascii="Century" w:hAnsi="Century"/>
                <w:i/>
                <w:color w:val="000080"/>
                <w:sz w:val="20"/>
                <w:szCs w:val="20"/>
              </w:rPr>
              <w:t>(%)</w:t>
            </w:r>
          </w:p>
          <w:p w:rsidR="007909D7" w:rsidRPr="00CE4308" w:rsidRDefault="007909D7" w:rsidP="00A009DD">
            <w:pPr>
              <w:jc w:val="center"/>
              <w:rPr>
                <w:rFonts w:ascii="Century" w:hAnsi="Century"/>
                <w:i/>
                <w:color w:val="000080"/>
                <w:sz w:val="20"/>
                <w:szCs w:val="20"/>
              </w:rPr>
            </w:pPr>
            <w:r w:rsidRPr="00CE4308">
              <w:rPr>
                <w:rFonts w:ascii="Century" w:hAnsi="Century"/>
                <w:i/>
                <w:noProof/>
                <w:color w:val="000080"/>
                <w:sz w:val="20"/>
                <w:szCs w:val="20"/>
              </w:rPr>
              <w:drawing>
                <wp:inline distT="0" distB="0" distL="0" distR="0" wp14:anchorId="1447B96B" wp14:editId="1EA103C8">
                  <wp:extent cx="5852160" cy="252031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52160" cy="2520315"/>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6867B8" w:rsidRPr="006867B8" w:rsidRDefault="006867B8" w:rsidP="001357FD">
            <w:pPr>
              <w:jc w:val="both"/>
              <w:rPr>
                <w:rFonts w:ascii="Century" w:hAnsi="Century"/>
                <w:sz w:val="22"/>
                <w:szCs w:val="22"/>
              </w:rPr>
            </w:pPr>
          </w:p>
          <w:p w:rsidR="006867B8" w:rsidRDefault="006867B8" w:rsidP="001357FD">
            <w:pPr>
              <w:jc w:val="both"/>
              <w:rPr>
                <w:rFonts w:ascii="Century" w:hAnsi="Century"/>
                <w:sz w:val="22"/>
                <w:szCs w:val="22"/>
              </w:rPr>
            </w:pPr>
          </w:p>
          <w:p w:rsidR="006867B8" w:rsidRDefault="006867B8" w:rsidP="001357FD">
            <w:pPr>
              <w:jc w:val="both"/>
              <w:rPr>
                <w:rFonts w:ascii="Century" w:hAnsi="Century"/>
                <w:sz w:val="22"/>
                <w:szCs w:val="22"/>
              </w:rPr>
            </w:pPr>
          </w:p>
          <w:p w:rsidR="007909D7" w:rsidRPr="006867B8" w:rsidRDefault="007909D7" w:rsidP="001357FD">
            <w:pPr>
              <w:jc w:val="both"/>
              <w:rPr>
                <w:rFonts w:ascii="Century" w:hAnsi="Century"/>
                <w:sz w:val="22"/>
                <w:szCs w:val="22"/>
              </w:rPr>
            </w:pPr>
            <w:r w:rsidRPr="006867B8">
              <w:rPr>
                <w:rFonts w:ascii="Century" w:hAnsi="Century"/>
                <w:sz w:val="22"/>
                <w:szCs w:val="22"/>
              </w:rPr>
              <w:lastRenderedPageBreak/>
              <w:t xml:space="preserve">Kara Araçları Branşına ilişkin teknik veriler incelendiğinde, son beş yıllık süreçte prim üretiminde istikrarlı bir artış yaşanmıştır. Anılan branşta 2017 ve 2018 yıllarında hasar oranlarında meydana gelen artisan etkisiyle teknik karlılık oranlarında düşüş yaşanmıştır. </w:t>
            </w:r>
          </w:p>
          <w:p w:rsidR="007909D7" w:rsidRPr="006867B8" w:rsidRDefault="007909D7" w:rsidP="001357FD">
            <w:pPr>
              <w:jc w:val="both"/>
              <w:rPr>
                <w:rFonts w:ascii="Century" w:hAnsi="Century"/>
                <w:sz w:val="22"/>
                <w:szCs w:val="22"/>
              </w:rPr>
            </w:pPr>
          </w:p>
          <w:p w:rsidR="007909D7" w:rsidRPr="006867B8" w:rsidRDefault="007909D7" w:rsidP="001357FD">
            <w:pPr>
              <w:jc w:val="both"/>
              <w:rPr>
                <w:rFonts w:ascii="Century" w:hAnsi="Century"/>
                <w:bCs/>
                <w:sz w:val="22"/>
                <w:szCs w:val="22"/>
              </w:rPr>
            </w:pPr>
            <w:r w:rsidRPr="006867B8">
              <w:rPr>
                <w:rFonts w:ascii="Century" w:hAnsi="Century"/>
                <w:bCs/>
                <w:sz w:val="22"/>
                <w:szCs w:val="22"/>
              </w:rPr>
              <w:t>Kara Araçları Branşında son beş yıllık döneme ilişkin teknik veriler aşağıdaki tablo ve grafikte sunulmuştur.</w:t>
            </w:r>
          </w:p>
        </w:tc>
        <w:tc>
          <w:tcPr>
            <w:tcW w:w="273" w:type="dxa"/>
            <w:gridSpan w:val="6"/>
          </w:tcPr>
          <w:p w:rsidR="007909D7" w:rsidRPr="006867B8" w:rsidRDefault="007909D7" w:rsidP="00700CE3">
            <w:pPr>
              <w:rPr>
                <w:rFonts w:ascii="Century" w:hAnsi="Century"/>
              </w:rPr>
            </w:pPr>
          </w:p>
        </w:tc>
        <w:tc>
          <w:tcPr>
            <w:tcW w:w="4805" w:type="dxa"/>
            <w:gridSpan w:val="8"/>
          </w:tcPr>
          <w:p w:rsidR="006867B8" w:rsidRPr="006867B8" w:rsidRDefault="006867B8" w:rsidP="00223A13">
            <w:pPr>
              <w:jc w:val="both"/>
              <w:rPr>
                <w:rFonts w:ascii="Century" w:hAnsi="Century"/>
                <w:color w:val="333333"/>
                <w:sz w:val="22"/>
                <w:szCs w:val="22"/>
              </w:rPr>
            </w:pPr>
          </w:p>
          <w:p w:rsidR="006867B8" w:rsidRDefault="006867B8" w:rsidP="006867B8">
            <w:pPr>
              <w:jc w:val="both"/>
              <w:rPr>
                <w:rFonts w:ascii="Century" w:hAnsi="Century"/>
                <w:color w:val="333333"/>
                <w:sz w:val="22"/>
                <w:szCs w:val="22"/>
              </w:rPr>
            </w:pPr>
          </w:p>
          <w:p w:rsidR="006867B8" w:rsidRDefault="006867B8" w:rsidP="006867B8">
            <w:pPr>
              <w:jc w:val="both"/>
              <w:rPr>
                <w:rFonts w:ascii="Century" w:hAnsi="Century"/>
                <w:color w:val="333333"/>
                <w:sz w:val="22"/>
                <w:szCs w:val="22"/>
              </w:rPr>
            </w:pPr>
          </w:p>
          <w:p w:rsidR="006867B8" w:rsidRPr="006867B8" w:rsidRDefault="006867B8" w:rsidP="006867B8">
            <w:pPr>
              <w:jc w:val="both"/>
              <w:rPr>
                <w:rFonts w:ascii="Century" w:hAnsi="Century"/>
                <w:color w:val="333333"/>
                <w:sz w:val="22"/>
                <w:szCs w:val="22"/>
              </w:rPr>
            </w:pPr>
            <w:r w:rsidRPr="006867B8">
              <w:rPr>
                <w:rFonts w:ascii="Century" w:hAnsi="Century"/>
                <w:color w:val="333333"/>
                <w:sz w:val="22"/>
                <w:szCs w:val="22"/>
              </w:rPr>
              <w:lastRenderedPageBreak/>
              <w:t xml:space="preserve">Analyzing the technical figures of motor insurance, it is seen that there was a stable increase in premium production in last 5 years. However, there was a decline in technical profability ratios due to increase in loss ratios in 2017 and 2018. </w:t>
            </w:r>
          </w:p>
          <w:p w:rsidR="007909D7" w:rsidRDefault="007909D7" w:rsidP="001357FD">
            <w:pPr>
              <w:jc w:val="both"/>
              <w:rPr>
                <w:rFonts w:ascii="Century" w:hAnsi="Century"/>
                <w:color w:val="333333"/>
                <w:sz w:val="22"/>
                <w:szCs w:val="22"/>
              </w:rPr>
            </w:pPr>
          </w:p>
          <w:p w:rsidR="00C46BC7" w:rsidRPr="006867B8" w:rsidRDefault="00C46BC7" w:rsidP="001357FD">
            <w:pPr>
              <w:jc w:val="both"/>
              <w:rPr>
                <w:rFonts w:ascii="Century" w:hAnsi="Century"/>
                <w:color w:val="333333"/>
                <w:sz w:val="22"/>
                <w:szCs w:val="22"/>
              </w:rPr>
            </w:pPr>
          </w:p>
          <w:p w:rsidR="007909D7" w:rsidRPr="006867B8" w:rsidRDefault="007909D7" w:rsidP="00091F2C">
            <w:pPr>
              <w:jc w:val="both"/>
              <w:rPr>
                <w:rFonts w:ascii="Century" w:hAnsi="Century"/>
                <w:color w:val="333333"/>
                <w:sz w:val="22"/>
                <w:szCs w:val="22"/>
              </w:rPr>
            </w:pPr>
            <w:r w:rsidRPr="006867B8">
              <w:rPr>
                <w:rFonts w:ascii="Century" w:hAnsi="Century"/>
                <w:color w:val="333333"/>
                <w:sz w:val="22"/>
                <w:szCs w:val="22"/>
              </w:rPr>
              <w:t xml:space="preserve">The following table and graph present the technical results of the motor </w:t>
            </w:r>
            <w:r w:rsidR="00091F2C">
              <w:rPr>
                <w:rFonts w:ascii="Century" w:hAnsi="Century"/>
                <w:color w:val="333333"/>
                <w:sz w:val="22"/>
                <w:szCs w:val="22"/>
              </w:rPr>
              <w:t>LoBs</w:t>
            </w:r>
            <w:r w:rsidRPr="006867B8">
              <w:rPr>
                <w:rFonts w:ascii="Century" w:hAnsi="Century"/>
                <w:color w:val="333333"/>
                <w:sz w:val="22"/>
                <w:szCs w:val="22"/>
              </w:rPr>
              <w:t xml:space="preserve"> for the last five years.</w:t>
            </w:r>
          </w:p>
        </w:tc>
      </w:tr>
      <w:tr w:rsidR="007909D7" w:rsidRPr="00B10D90" w:rsidTr="00441D50">
        <w:trPr>
          <w:gridAfter w:val="1"/>
          <w:wAfter w:w="20" w:type="dxa"/>
        </w:trPr>
        <w:tc>
          <w:tcPr>
            <w:tcW w:w="4760" w:type="dxa"/>
          </w:tcPr>
          <w:p w:rsidR="007909D7" w:rsidRPr="00B10D90" w:rsidRDefault="007909D7" w:rsidP="00700CE3">
            <w:pPr>
              <w:jc w:val="both"/>
              <w:rPr>
                <w:rFonts w:ascii="Century" w:hAnsi="Century"/>
                <w:sz w:val="22"/>
                <w:szCs w:val="22"/>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700CE3">
            <w:pPr>
              <w:jc w:val="both"/>
              <w:rPr>
                <w:rFonts w:ascii="Century" w:hAnsi="Century"/>
                <w:color w:val="333333"/>
                <w:sz w:val="22"/>
                <w:szCs w:val="22"/>
                <w:highlight w:val="yellow"/>
              </w:rPr>
            </w:pPr>
          </w:p>
        </w:tc>
      </w:tr>
      <w:tr w:rsidR="007909D7" w:rsidRPr="00B10D90" w:rsidTr="00441D50">
        <w:trPr>
          <w:gridAfter w:val="1"/>
          <w:wAfter w:w="20" w:type="dxa"/>
          <w:trHeight w:val="4007"/>
        </w:trPr>
        <w:tc>
          <w:tcPr>
            <w:tcW w:w="9838" w:type="dxa"/>
            <w:gridSpan w:val="15"/>
          </w:tcPr>
          <w:p w:rsidR="007909D7" w:rsidRPr="009619F5" w:rsidRDefault="007909D7" w:rsidP="00700CE3">
            <w:pPr>
              <w:jc w:val="center"/>
              <w:rPr>
                <w:rFonts w:ascii="Century" w:hAnsi="Century"/>
                <w:b/>
                <w:color w:val="000080"/>
                <w:sz w:val="20"/>
                <w:szCs w:val="20"/>
              </w:rPr>
            </w:pPr>
            <w:r w:rsidRPr="009619F5">
              <w:rPr>
                <w:rFonts w:ascii="Century" w:hAnsi="Century"/>
                <w:b/>
                <w:color w:val="000080"/>
                <w:sz w:val="20"/>
                <w:szCs w:val="20"/>
              </w:rPr>
              <w:t xml:space="preserve">Tablo 4.2.6: Kara Araçları Branşı (Kasko) Teknik Verileri </w:t>
            </w:r>
          </w:p>
          <w:p w:rsidR="007909D7" w:rsidRPr="009619F5" w:rsidRDefault="007909D7" w:rsidP="00700CE3">
            <w:pPr>
              <w:jc w:val="center"/>
              <w:rPr>
                <w:rFonts w:ascii="Century" w:hAnsi="Century"/>
                <w:i/>
                <w:color w:val="000080"/>
                <w:sz w:val="20"/>
                <w:szCs w:val="20"/>
              </w:rPr>
            </w:pPr>
            <w:r w:rsidRPr="009619F5">
              <w:rPr>
                <w:rFonts w:ascii="Century" w:hAnsi="Century"/>
                <w:i/>
                <w:color w:val="000080"/>
                <w:sz w:val="20"/>
                <w:szCs w:val="20"/>
              </w:rPr>
              <w:t xml:space="preserve">Technical Revenues and Expenses for Motor </w:t>
            </w:r>
            <w:r w:rsidR="009C0DDD">
              <w:rPr>
                <w:rFonts w:ascii="Century" w:hAnsi="Century"/>
                <w:i/>
                <w:color w:val="000080"/>
                <w:sz w:val="20"/>
                <w:szCs w:val="20"/>
              </w:rPr>
              <w:t>Business</w:t>
            </w:r>
          </w:p>
          <w:p w:rsidR="007909D7" w:rsidRPr="009619F5" w:rsidRDefault="007909D7" w:rsidP="00700CE3">
            <w:pPr>
              <w:jc w:val="center"/>
              <w:rPr>
                <w:rFonts w:ascii="Century" w:hAnsi="Century"/>
                <w:i/>
                <w:color w:val="000080"/>
                <w:sz w:val="20"/>
                <w:szCs w:val="20"/>
              </w:rPr>
            </w:pPr>
            <w:r w:rsidRPr="009619F5">
              <w:rPr>
                <w:rFonts w:ascii="Century" w:hAnsi="Century"/>
                <w:i/>
                <w:noProof/>
                <w:color w:val="000080"/>
                <w:sz w:val="20"/>
                <w:szCs w:val="20"/>
              </w:rPr>
              <w:drawing>
                <wp:inline distT="0" distB="0" distL="0" distR="0" wp14:anchorId="221AD531" wp14:editId="7A7181DA">
                  <wp:extent cx="6106195" cy="2449002"/>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2449243"/>
                          </a:xfrm>
                          <a:prstGeom prst="rect">
                            <a:avLst/>
                          </a:prstGeom>
                          <a:noFill/>
                          <a:ln>
                            <a:noFill/>
                          </a:ln>
                        </pic:spPr>
                      </pic:pic>
                    </a:graphicData>
                  </a:graphic>
                </wp:inline>
              </w:drawing>
            </w:r>
          </w:p>
          <w:p w:rsidR="007909D7" w:rsidRPr="009619F5" w:rsidRDefault="007909D7" w:rsidP="00700CE3">
            <w:pPr>
              <w:jc w:val="both"/>
              <w:rPr>
                <w:rFonts w:ascii="Century" w:hAnsi="Century"/>
                <w:i/>
                <w:sz w:val="16"/>
                <w:szCs w:val="16"/>
              </w:rPr>
            </w:pPr>
            <w:r w:rsidRPr="009619F5">
              <w:rPr>
                <w:rFonts w:ascii="Century" w:hAnsi="Century"/>
                <w:sz w:val="16"/>
                <w:szCs w:val="16"/>
              </w:rPr>
              <w:t xml:space="preserve">(*) Dönem içinde tahakkuk eden komisyon tutarları. </w:t>
            </w:r>
            <w:r w:rsidRPr="009619F5">
              <w:rPr>
                <w:rFonts w:ascii="Century" w:hAnsi="Century"/>
                <w:i/>
                <w:sz w:val="16"/>
                <w:szCs w:val="16"/>
              </w:rPr>
              <w:t>Commission amount incurred during the year.</w:t>
            </w:r>
          </w:p>
          <w:p w:rsidR="007909D7" w:rsidRPr="009619F5" w:rsidRDefault="007909D7" w:rsidP="00700CE3">
            <w:pPr>
              <w:jc w:val="both"/>
              <w:rPr>
                <w:rFonts w:ascii="Century" w:hAnsi="Century"/>
                <w:i/>
                <w:sz w:val="16"/>
                <w:szCs w:val="16"/>
              </w:rPr>
            </w:pPr>
          </w:p>
          <w:p w:rsidR="007909D7" w:rsidRPr="009619F5" w:rsidRDefault="007909D7" w:rsidP="00700CE3">
            <w:pPr>
              <w:jc w:val="both"/>
              <w:rPr>
                <w:rFonts w:ascii="Century" w:hAnsi="Century"/>
                <w:i/>
                <w:sz w:val="16"/>
                <w:szCs w:val="16"/>
              </w:rPr>
            </w:pPr>
          </w:p>
        </w:tc>
      </w:tr>
      <w:tr w:rsidR="007909D7" w:rsidRPr="00B10D90" w:rsidTr="00441D50">
        <w:trPr>
          <w:gridAfter w:val="1"/>
          <w:wAfter w:w="20" w:type="dxa"/>
          <w:trHeight w:val="180"/>
        </w:trPr>
        <w:tc>
          <w:tcPr>
            <w:tcW w:w="9838" w:type="dxa"/>
            <w:gridSpan w:val="15"/>
          </w:tcPr>
          <w:p w:rsidR="007909D7" w:rsidRPr="009619F5" w:rsidRDefault="007909D7" w:rsidP="00700CE3">
            <w:pPr>
              <w:jc w:val="center"/>
              <w:rPr>
                <w:rFonts w:ascii="Century" w:hAnsi="Century"/>
                <w:b/>
                <w:color w:val="000080"/>
                <w:sz w:val="20"/>
                <w:szCs w:val="20"/>
              </w:rPr>
            </w:pPr>
            <w:r w:rsidRPr="009619F5">
              <w:rPr>
                <w:rFonts w:ascii="Century" w:hAnsi="Century"/>
                <w:b/>
                <w:color w:val="000080"/>
                <w:sz w:val="20"/>
                <w:szCs w:val="20"/>
              </w:rPr>
              <w:t>Grafik 4.2.7: Kara Araçları (Kasko) Branşı Teknik Oranları (Brüt, %)</w:t>
            </w:r>
          </w:p>
          <w:p w:rsidR="007909D7" w:rsidRPr="009619F5" w:rsidRDefault="007909D7" w:rsidP="00700CE3">
            <w:pPr>
              <w:jc w:val="center"/>
              <w:rPr>
                <w:rFonts w:ascii="Century" w:hAnsi="Century"/>
                <w:i/>
                <w:color w:val="000080"/>
                <w:sz w:val="20"/>
                <w:szCs w:val="20"/>
              </w:rPr>
            </w:pPr>
            <w:r w:rsidRPr="009619F5">
              <w:rPr>
                <w:rFonts w:ascii="Century" w:hAnsi="Century"/>
                <w:i/>
                <w:color w:val="000080"/>
                <w:sz w:val="20"/>
                <w:szCs w:val="20"/>
              </w:rPr>
              <w:t xml:space="preserve">Technical Ratios for Motor </w:t>
            </w:r>
            <w:r w:rsidR="009C0DDD">
              <w:rPr>
                <w:rFonts w:ascii="Century" w:hAnsi="Century"/>
                <w:i/>
                <w:color w:val="000080"/>
                <w:sz w:val="20"/>
                <w:szCs w:val="20"/>
              </w:rPr>
              <w:t xml:space="preserve">Business </w:t>
            </w:r>
            <w:r w:rsidRPr="009619F5">
              <w:rPr>
                <w:rFonts w:ascii="Century" w:hAnsi="Century"/>
                <w:i/>
                <w:color w:val="000080"/>
                <w:sz w:val="20"/>
                <w:szCs w:val="20"/>
              </w:rPr>
              <w:t>(Gross, %)</w:t>
            </w:r>
          </w:p>
          <w:p w:rsidR="007909D7" w:rsidRPr="009619F5" w:rsidRDefault="007909D7" w:rsidP="00A009DD">
            <w:pPr>
              <w:jc w:val="center"/>
              <w:rPr>
                <w:rFonts w:ascii="Century" w:hAnsi="Century"/>
                <w:color w:val="404040"/>
              </w:rPr>
            </w:pPr>
            <w:r w:rsidRPr="009619F5">
              <w:rPr>
                <w:rFonts w:ascii="Century" w:hAnsi="Century"/>
                <w:noProof/>
                <w:color w:val="404040"/>
              </w:rPr>
              <w:drawing>
                <wp:inline distT="0" distB="0" distL="0" distR="0" wp14:anchorId="6F8F8C37" wp14:editId="71031C47">
                  <wp:extent cx="6106600" cy="249670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6795" cy="2496789"/>
                          </a:xfrm>
                          <a:prstGeom prst="rect">
                            <a:avLst/>
                          </a:prstGeom>
                          <a:noFill/>
                          <a:ln>
                            <a:noFill/>
                          </a:ln>
                        </pic:spPr>
                      </pic:pic>
                    </a:graphicData>
                  </a:graphic>
                </wp:inline>
              </w:drawing>
            </w:r>
          </w:p>
        </w:tc>
      </w:tr>
      <w:tr w:rsidR="007909D7" w:rsidRPr="00B10D90" w:rsidTr="00441D50">
        <w:trPr>
          <w:gridAfter w:val="1"/>
          <w:wAfter w:w="20" w:type="dxa"/>
          <w:trHeight w:val="679"/>
        </w:trPr>
        <w:tc>
          <w:tcPr>
            <w:tcW w:w="4760" w:type="dxa"/>
          </w:tcPr>
          <w:p w:rsidR="007909D7" w:rsidRDefault="007909D7" w:rsidP="00EF641C">
            <w:pPr>
              <w:rPr>
                <w:highlight w:val="yellow"/>
              </w:rPr>
            </w:pPr>
            <w:bookmarkStart w:id="234" w:name="_Toc327793351"/>
            <w:bookmarkStart w:id="235" w:name="_Toc358380209"/>
          </w:p>
          <w:p w:rsidR="006867B8" w:rsidRDefault="006867B8" w:rsidP="00EF641C">
            <w:pPr>
              <w:rPr>
                <w:highlight w:val="yellow"/>
              </w:rPr>
            </w:pPr>
          </w:p>
          <w:p w:rsidR="007909D7" w:rsidRDefault="007909D7" w:rsidP="00EF641C">
            <w:pPr>
              <w:rPr>
                <w:highlight w:val="yellow"/>
              </w:rPr>
            </w:pPr>
          </w:p>
          <w:p w:rsidR="007909D7" w:rsidRDefault="007909D7" w:rsidP="00EF641C">
            <w:pPr>
              <w:rPr>
                <w:highlight w:val="yellow"/>
              </w:rPr>
            </w:pPr>
          </w:p>
          <w:p w:rsidR="007909D7" w:rsidRPr="00EF641C" w:rsidRDefault="007909D7" w:rsidP="00EF641C">
            <w:pPr>
              <w:rPr>
                <w:highlight w:val="yellow"/>
              </w:rPr>
            </w:pPr>
          </w:p>
          <w:p w:rsidR="007909D7" w:rsidRPr="005B2911" w:rsidRDefault="007909D7" w:rsidP="007D65D8">
            <w:pPr>
              <w:pStyle w:val="Heading3"/>
              <w:keepNext w:val="0"/>
              <w:spacing w:before="0" w:after="0"/>
              <w:ind w:left="0"/>
              <w:jc w:val="both"/>
              <w:rPr>
                <w:rFonts w:ascii="Century" w:hAnsi="Century"/>
                <w:color w:val="000080"/>
                <w:sz w:val="22"/>
                <w:szCs w:val="22"/>
              </w:rPr>
            </w:pPr>
            <w:bookmarkStart w:id="236" w:name="_Toc12957681"/>
            <w:r w:rsidRPr="005B2911">
              <w:rPr>
                <w:rFonts w:ascii="Century" w:hAnsi="Century"/>
                <w:color w:val="000080"/>
                <w:sz w:val="22"/>
                <w:szCs w:val="22"/>
              </w:rPr>
              <w:lastRenderedPageBreak/>
              <w:t>Kara Araçları Sorumluluk Branşı</w:t>
            </w:r>
            <w:bookmarkEnd w:id="234"/>
            <w:bookmarkEnd w:id="235"/>
            <w:bookmarkEnd w:id="236"/>
          </w:p>
          <w:p w:rsidR="007909D7" w:rsidRPr="005B2911" w:rsidRDefault="007909D7" w:rsidP="00700CE3">
            <w:pPr>
              <w:rPr>
                <w:rFonts w:ascii="Century" w:hAnsi="Century"/>
                <w:sz w:val="22"/>
                <w:szCs w:val="22"/>
              </w:rPr>
            </w:pPr>
          </w:p>
          <w:p w:rsidR="007909D7" w:rsidRDefault="007909D7" w:rsidP="006A4A91">
            <w:pPr>
              <w:jc w:val="both"/>
              <w:rPr>
                <w:rFonts w:ascii="Century" w:hAnsi="Century"/>
                <w:sz w:val="22"/>
                <w:szCs w:val="22"/>
                <w:highlight w:val="yellow"/>
              </w:rPr>
            </w:pPr>
            <w:r w:rsidRPr="005B2911">
              <w:rPr>
                <w:rFonts w:ascii="Century" w:hAnsi="Century"/>
                <w:sz w:val="22"/>
                <w:szCs w:val="22"/>
              </w:rPr>
              <w:t>Sektörde hayat dışı branşlar direkt prim üretimi içinde %30,6 oranında paya sahip olan Kara Araçları Sorumluluk Branşında 2018 yılında toplam 30 sigorta şirketi faaliyette bulunmuş ve 19.687.484 adet poliçe düzenlemiştir. Kara Araçları Kasko Sigortasına ek olarak verilen İhtiyari Mali Sorumluluk Sigortası ile Zorunlu Karayolu Taşımacılık Mali Sorumluluk Sigortası teminatları da dikkate alındığında, Kara Araçları Sorumluluk Branşı teminatı içeren toplam sözleşme sayısı 24.189.228 adede yükselmektedir. Bu sözleşmelerin 7.239.639 adedi İhtiyari Mali Sorumluluk, 132.952 adedi Yeşil Kart, kalan 16.816.637 adedi ise Trafik Sigortasına aittir.</w:t>
            </w:r>
          </w:p>
          <w:p w:rsidR="00327B97" w:rsidRPr="00327B97" w:rsidRDefault="00327B97" w:rsidP="006A4A91">
            <w:pPr>
              <w:jc w:val="both"/>
              <w:rPr>
                <w:rFonts w:ascii="Century" w:hAnsi="Century"/>
                <w:sz w:val="22"/>
                <w:szCs w:val="22"/>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Default="007909D7" w:rsidP="00700CE3">
            <w:pPr>
              <w:jc w:val="both"/>
              <w:rPr>
                <w:rFonts w:ascii="Century" w:hAnsi="Century"/>
                <w:b/>
                <w:color w:val="003366"/>
                <w:sz w:val="22"/>
                <w:szCs w:val="22"/>
                <w:highlight w:val="yellow"/>
              </w:rPr>
            </w:pPr>
          </w:p>
          <w:p w:rsidR="007909D7" w:rsidRDefault="007909D7" w:rsidP="00700CE3">
            <w:pPr>
              <w:jc w:val="both"/>
              <w:rPr>
                <w:rFonts w:ascii="Century" w:hAnsi="Century"/>
                <w:b/>
                <w:color w:val="003366"/>
                <w:sz w:val="22"/>
                <w:szCs w:val="22"/>
                <w:highlight w:val="yellow"/>
              </w:rPr>
            </w:pPr>
          </w:p>
          <w:p w:rsidR="006867B8" w:rsidRDefault="006867B8" w:rsidP="00700CE3">
            <w:pPr>
              <w:jc w:val="both"/>
              <w:rPr>
                <w:rFonts w:ascii="Century" w:hAnsi="Century"/>
                <w:b/>
                <w:color w:val="003366"/>
                <w:sz w:val="22"/>
                <w:szCs w:val="22"/>
                <w:highlight w:val="yellow"/>
              </w:rPr>
            </w:pPr>
          </w:p>
          <w:p w:rsidR="007909D7" w:rsidRDefault="007909D7" w:rsidP="00700CE3">
            <w:pPr>
              <w:jc w:val="both"/>
              <w:rPr>
                <w:rFonts w:ascii="Century" w:hAnsi="Century"/>
                <w:b/>
                <w:color w:val="003366"/>
                <w:sz w:val="22"/>
                <w:szCs w:val="22"/>
                <w:highlight w:val="yellow"/>
              </w:rPr>
            </w:pPr>
          </w:p>
          <w:p w:rsidR="007909D7" w:rsidRDefault="007909D7" w:rsidP="00700CE3">
            <w:pPr>
              <w:jc w:val="both"/>
              <w:rPr>
                <w:rFonts w:ascii="Century" w:hAnsi="Century"/>
                <w:b/>
                <w:color w:val="003366"/>
                <w:sz w:val="22"/>
                <w:szCs w:val="22"/>
                <w:highlight w:val="yellow"/>
              </w:rPr>
            </w:pPr>
          </w:p>
          <w:p w:rsidR="007909D7" w:rsidRPr="005B2911" w:rsidRDefault="00AD277F" w:rsidP="00700CE3">
            <w:pPr>
              <w:jc w:val="both"/>
              <w:rPr>
                <w:rFonts w:ascii="Century" w:hAnsi="Century"/>
                <w:b/>
                <w:color w:val="003366"/>
                <w:sz w:val="22"/>
                <w:szCs w:val="22"/>
              </w:rPr>
            </w:pPr>
            <w:r>
              <w:rPr>
                <w:rFonts w:ascii="Century" w:hAnsi="Century"/>
                <w:b/>
                <w:color w:val="003366"/>
                <w:sz w:val="22"/>
                <w:szCs w:val="22"/>
              </w:rPr>
              <w:lastRenderedPageBreak/>
              <w:t>4.2.4. Motor</w:t>
            </w:r>
            <w:r w:rsidR="007909D7" w:rsidRPr="005B2911">
              <w:rPr>
                <w:rFonts w:ascii="Century" w:hAnsi="Century"/>
                <w:b/>
                <w:color w:val="003366"/>
                <w:sz w:val="22"/>
                <w:szCs w:val="22"/>
              </w:rPr>
              <w:t xml:space="preserve"> Liability Insurance</w:t>
            </w:r>
          </w:p>
          <w:p w:rsidR="007909D7" w:rsidRPr="005B2911" w:rsidRDefault="007909D7" w:rsidP="00700CE3">
            <w:pPr>
              <w:jc w:val="both"/>
              <w:rPr>
                <w:rFonts w:ascii="Century" w:hAnsi="Century"/>
                <w:b/>
                <w:color w:val="333333"/>
                <w:sz w:val="22"/>
                <w:szCs w:val="22"/>
              </w:rPr>
            </w:pPr>
          </w:p>
          <w:p w:rsidR="007909D7" w:rsidRPr="00B10D90" w:rsidRDefault="007909D7" w:rsidP="00C46BC7">
            <w:pPr>
              <w:jc w:val="both"/>
              <w:rPr>
                <w:rFonts w:ascii="Century" w:hAnsi="Century"/>
                <w:color w:val="333333"/>
                <w:sz w:val="22"/>
                <w:szCs w:val="22"/>
                <w:highlight w:val="yellow"/>
              </w:rPr>
            </w:pPr>
            <w:r w:rsidRPr="005B2911">
              <w:rPr>
                <w:rFonts w:ascii="Century" w:hAnsi="Century"/>
                <w:color w:val="333333"/>
                <w:sz w:val="22"/>
                <w:szCs w:val="22"/>
              </w:rPr>
              <w:t xml:space="preserve">Motor liability insurance accounted for 30.6% of direct premium volume in non-life insurance. 30 insurance companies have been operating in the business and issued 19,687,484 policies during 2018. The number of policies including </w:t>
            </w:r>
            <w:r w:rsidR="00091F2C">
              <w:rPr>
                <w:rFonts w:ascii="Century" w:hAnsi="Century"/>
                <w:color w:val="333333"/>
                <w:sz w:val="22"/>
                <w:szCs w:val="22"/>
              </w:rPr>
              <w:t>motor</w:t>
            </w:r>
            <w:r w:rsidRPr="005B2911">
              <w:rPr>
                <w:rFonts w:ascii="Century" w:hAnsi="Century"/>
                <w:color w:val="333333"/>
                <w:sz w:val="22"/>
                <w:szCs w:val="22"/>
              </w:rPr>
              <w:t xml:space="preserve"> liability coverage rose to 24,189,228 along with the voluntary third party liability coverage and compulsory passenger transportation insurance given within motor </w:t>
            </w:r>
            <w:r w:rsidR="00C46BC7">
              <w:rPr>
                <w:rFonts w:ascii="Century" w:hAnsi="Century"/>
                <w:color w:val="333333"/>
                <w:sz w:val="22"/>
                <w:szCs w:val="22"/>
              </w:rPr>
              <w:t>LoBs</w:t>
            </w:r>
            <w:r w:rsidRPr="005B2911">
              <w:rPr>
                <w:rFonts w:ascii="Century" w:hAnsi="Century"/>
                <w:color w:val="333333"/>
                <w:sz w:val="22"/>
                <w:szCs w:val="22"/>
              </w:rPr>
              <w:t>. 7,239,639 were in voluntary third party liability insurance, 132,952 in green card insurance and the rest 16,816,637 in compulsory motor liability insurance.</w:t>
            </w:r>
          </w:p>
        </w:tc>
      </w:tr>
      <w:tr w:rsidR="007909D7" w:rsidRPr="00B10D90" w:rsidTr="00441D50">
        <w:trPr>
          <w:gridAfter w:val="1"/>
          <w:wAfter w:w="20" w:type="dxa"/>
          <w:trHeight w:val="539"/>
        </w:trPr>
        <w:tc>
          <w:tcPr>
            <w:tcW w:w="9838" w:type="dxa"/>
            <w:gridSpan w:val="15"/>
          </w:tcPr>
          <w:p w:rsidR="007909D7" w:rsidRPr="005B2911" w:rsidRDefault="007909D7" w:rsidP="00700CE3">
            <w:pPr>
              <w:jc w:val="center"/>
              <w:rPr>
                <w:rFonts w:ascii="Century" w:hAnsi="Century"/>
                <w:b/>
                <w:color w:val="333399"/>
                <w:sz w:val="20"/>
                <w:szCs w:val="20"/>
              </w:rPr>
            </w:pPr>
            <w:r w:rsidRPr="005B2911">
              <w:rPr>
                <w:rFonts w:ascii="Century" w:hAnsi="Century"/>
                <w:b/>
                <w:color w:val="333399"/>
                <w:sz w:val="20"/>
                <w:szCs w:val="20"/>
              </w:rPr>
              <w:lastRenderedPageBreak/>
              <w:t>Tablo 4.2.7: Kara Araçları Sorumluluk Branşı Prim, Tazminat ve Sözleşme Verileri</w:t>
            </w:r>
          </w:p>
          <w:p w:rsidR="007909D7" w:rsidRDefault="007909D7" w:rsidP="00700CE3">
            <w:pPr>
              <w:jc w:val="center"/>
              <w:rPr>
                <w:rFonts w:ascii="Century" w:hAnsi="Century"/>
                <w:i/>
                <w:color w:val="333399"/>
                <w:sz w:val="20"/>
                <w:szCs w:val="20"/>
              </w:rPr>
            </w:pPr>
            <w:r w:rsidRPr="005B2911">
              <w:rPr>
                <w:rFonts w:ascii="Century" w:hAnsi="Century"/>
                <w:i/>
                <w:color w:val="333399"/>
                <w:sz w:val="20"/>
                <w:szCs w:val="20"/>
              </w:rPr>
              <w:t xml:space="preserve">Premium, Claims and Contract Figures in Motor Liability </w:t>
            </w:r>
            <w:r w:rsidR="009C0DDD">
              <w:rPr>
                <w:rFonts w:ascii="Century" w:hAnsi="Century"/>
                <w:i/>
                <w:color w:val="333399"/>
                <w:sz w:val="20"/>
                <w:szCs w:val="20"/>
              </w:rPr>
              <w:t>Business</w:t>
            </w:r>
          </w:p>
          <w:p w:rsidR="009C0DDD" w:rsidRDefault="0069434A" w:rsidP="00700CE3">
            <w:pPr>
              <w:jc w:val="center"/>
              <w:rPr>
                <w:rFonts w:ascii="Century" w:hAnsi="Century"/>
                <w:i/>
                <w:color w:val="333399"/>
                <w:sz w:val="20"/>
                <w:szCs w:val="20"/>
              </w:rPr>
            </w:pPr>
            <w:r>
              <w:rPr>
                <w:rFonts w:ascii="Century" w:hAnsi="Century"/>
                <w:i/>
                <w:noProof/>
                <w:color w:val="333399"/>
                <w:sz w:val="20"/>
                <w:szCs w:val="20"/>
              </w:rPr>
              <w:drawing>
                <wp:inline distT="0" distB="0" distL="0" distR="0" wp14:anchorId="1F60CB34" wp14:editId="5F6043A9">
                  <wp:extent cx="6105525" cy="15144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05525" cy="1514475"/>
                          </a:xfrm>
                          <a:prstGeom prst="rect">
                            <a:avLst/>
                          </a:prstGeom>
                          <a:noFill/>
                          <a:ln>
                            <a:noFill/>
                          </a:ln>
                        </pic:spPr>
                      </pic:pic>
                    </a:graphicData>
                  </a:graphic>
                </wp:inline>
              </w:drawing>
            </w:r>
          </w:p>
          <w:p w:rsidR="007909D7" w:rsidRPr="005B2911" w:rsidRDefault="007909D7" w:rsidP="00700CE3">
            <w:pPr>
              <w:jc w:val="both"/>
              <w:rPr>
                <w:rFonts w:ascii="Century" w:hAnsi="Century"/>
                <w:i/>
                <w:sz w:val="16"/>
                <w:szCs w:val="16"/>
              </w:rPr>
            </w:pPr>
            <w:r w:rsidRPr="005B2911">
              <w:rPr>
                <w:rFonts w:ascii="Century" w:hAnsi="Century"/>
                <w:sz w:val="16"/>
                <w:szCs w:val="16"/>
              </w:rPr>
              <w:t xml:space="preserve">(*)Sosyal Güvenlik Kurumuna devredilmek üzere alınan primler ve Riskli Sigortalılar Havuzu dahildir. – </w:t>
            </w:r>
            <w:r w:rsidRPr="005B2911">
              <w:rPr>
                <w:rFonts w:ascii="Century" w:hAnsi="Century"/>
                <w:i/>
                <w:sz w:val="16"/>
                <w:szCs w:val="16"/>
              </w:rPr>
              <w:t xml:space="preserve">The premium ceded to the Social Security Administration and High Risk insurance Pool </w:t>
            </w:r>
            <w:proofErr w:type="gramStart"/>
            <w:r w:rsidRPr="005B2911">
              <w:rPr>
                <w:rFonts w:ascii="Century" w:hAnsi="Century"/>
                <w:i/>
                <w:sz w:val="16"/>
                <w:szCs w:val="16"/>
              </w:rPr>
              <w:t>are</w:t>
            </w:r>
            <w:proofErr w:type="gramEnd"/>
            <w:r w:rsidRPr="005B2911">
              <w:rPr>
                <w:rFonts w:ascii="Century" w:hAnsi="Century"/>
                <w:i/>
                <w:sz w:val="16"/>
                <w:szCs w:val="16"/>
              </w:rPr>
              <w:t xml:space="preserve"> included.</w:t>
            </w:r>
          </w:p>
          <w:p w:rsidR="007909D7" w:rsidRPr="005B2911" w:rsidRDefault="007909D7" w:rsidP="00700CE3">
            <w:pPr>
              <w:jc w:val="both"/>
              <w:rPr>
                <w:rFonts w:ascii="Century" w:hAnsi="Century"/>
                <w:i/>
                <w:sz w:val="16"/>
                <w:szCs w:val="16"/>
              </w:rPr>
            </w:pPr>
            <w:r w:rsidRPr="005B2911">
              <w:rPr>
                <w:rFonts w:ascii="Century" w:hAnsi="Century"/>
                <w:i/>
                <w:sz w:val="16"/>
                <w:szCs w:val="16"/>
              </w:rPr>
              <w:t>(**</w:t>
            </w:r>
            <w:proofErr w:type="gramStart"/>
            <w:r w:rsidRPr="005B2911">
              <w:rPr>
                <w:rFonts w:ascii="Century" w:hAnsi="Century"/>
                <w:i/>
                <w:sz w:val="16"/>
                <w:szCs w:val="16"/>
              </w:rPr>
              <w:t>)26.04.2016</w:t>
            </w:r>
            <w:proofErr w:type="gramEnd"/>
            <w:r w:rsidRPr="005B2911">
              <w:rPr>
                <w:rFonts w:ascii="Century" w:hAnsi="Century"/>
                <w:i/>
                <w:sz w:val="16"/>
                <w:szCs w:val="16"/>
              </w:rPr>
              <w:t xml:space="preserve"> tarihinde yürürlükten kaldırıldı. – Abolished on 26.04.2016</w:t>
            </w:r>
          </w:p>
          <w:p w:rsidR="007909D7" w:rsidRPr="005B2911" w:rsidRDefault="007909D7" w:rsidP="00700CE3">
            <w:pPr>
              <w:jc w:val="both"/>
              <w:rPr>
                <w:rFonts w:ascii="Century" w:hAnsi="Century"/>
                <w:color w:val="404040"/>
                <w:sz w:val="10"/>
                <w:szCs w:val="10"/>
              </w:rPr>
            </w:pPr>
          </w:p>
        </w:tc>
      </w:tr>
      <w:tr w:rsidR="007909D7" w:rsidRPr="00B10D90" w:rsidTr="00441D50">
        <w:trPr>
          <w:gridAfter w:val="1"/>
          <w:wAfter w:w="20" w:type="dxa"/>
          <w:trHeight w:val="3304"/>
        </w:trPr>
        <w:tc>
          <w:tcPr>
            <w:tcW w:w="9838" w:type="dxa"/>
            <w:gridSpan w:val="15"/>
          </w:tcPr>
          <w:p w:rsidR="007909D7" w:rsidRPr="005B2911" w:rsidRDefault="007909D7" w:rsidP="00700CE3">
            <w:pPr>
              <w:jc w:val="center"/>
              <w:rPr>
                <w:rFonts w:ascii="Century" w:hAnsi="Century"/>
                <w:b/>
                <w:color w:val="333399"/>
                <w:sz w:val="20"/>
                <w:szCs w:val="20"/>
              </w:rPr>
            </w:pPr>
            <w:r w:rsidRPr="005B2911">
              <w:rPr>
                <w:rFonts w:ascii="Century" w:hAnsi="Century"/>
                <w:b/>
                <w:color w:val="333399"/>
                <w:sz w:val="20"/>
                <w:szCs w:val="20"/>
              </w:rPr>
              <w:t>Grafik 4.2.8:</w:t>
            </w:r>
            <w:r w:rsidRPr="005B2911">
              <w:rPr>
                <w:rFonts w:ascii="Century" w:hAnsi="Century"/>
                <w:b/>
                <w:sz w:val="20"/>
                <w:szCs w:val="20"/>
              </w:rPr>
              <w:t xml:space="preserve"> </w:t>
            </w:r>
            <w:r w:rsidRPr="005B2911">
              <w:rPr>
                <w:rFonts w:ascii="Century" w:hAnsi="Century"/>
                <w:b/>
                <w:color w:val="333399"/>
                <w:sz w:val="20"/>
                <w:szCs w:val="20"/>
              </w:rPr>
              <w:t>Kara Araçları Sorumluluk Branşı Prim, Tazminat ve Sözleşme Verileri Yüzdeleri</w:t>
            </w:r>
          </w:p>
          <w:p w:rsidR="007909D7" w:rsidRDefault="007909D7" w:rsidP="008148DC">
            <w:pPr>
              <w:jc w:val="center"/>
              <w:rPr>
                <w:rFonts w:ascii="Century" w:hAnsi="Century"/>
                <w:i/>
                <w:color w:val="333399"/>
                <w:sz w:val="20"/>
                <w:szCs w:val="20"/>
              </w:rPr>
            </w:pPr>
            <w:r w:rsidRPr="005B2911">
              <w:rPr>
                <w:rFonts w:ascii="Century" w:hAnsi="Century"/>
                <w:i/>
                <w:color w:val="333399"/>
                <w:sz w:val="20"/>
                <w:szCs w:val="20"/>
              </w:rPr>
              <w:t xml:space="preserve">Premium, Claims and Contract Figures as Percentage of Motor Liability </w:t>
            </w:r>
            <w:r w:rsidR="0069434A">
              <w:rPr>
                <w:rFonts w:ascii="Century" w:hAnsi="Century"/>
                <w:i/>
                <w:color w:val="333399"/>
                <w:sz w:val="20"/>
                <w:szCs w:val="20"/>
              </w:rPr>
              <w:t>Business</w:t>
            </w:r>
          </w:p>
          <w:p w:rsidR="007909D7" w:rsidRDefault="0018022F" w:rsidP="0018022F">
            <w:pPr>
              <w:jc w:val="center"/>
              <w:rPr>
                <w:rFonts w:ascii="Century" w:hAnsi="Century"/>
                <w:i/>
                <w:color w:val="333399"/>
                <w:sz w:val="20"/>
                <w:szCs w:val="20"/>
              </w:rPr>
            </w:pPr>
            <w:r>
              <w:rPr>
                <w:rFonts w:ascii="Century" w:hAnsi="Century"/>
                <w:i/>
                <w:noProof/>
                <w:color w:val="333399"/>
                <w:sz w:val="20"/>
                <w:szCs w:val="20"/>
              </w:rPr>
              <w:drawing>
                <wp:inline distT="0" distB="0" distL="0" distR="0" wp14:anchorId="0B1085F6" wp14:editId="13EFE07F">
                  <wp:extent cx="6105525" cy="20097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5525" cy="2009775"/>
                          </a:xfrm>
                          <a:prstGeom prst="rect">
                            <a:avLst/>
                          </a:prstGeom>
                          <a:noFill/>
                          <a:ln>
                            <a:noFill/>
                          </a:ln>
                        </pic:spPr>
                      </pic:pic>
                    </a:graphicData>
                  </a:graphic>
                </wp:inline>
              </w:drawing>
            </w:r>
          </w:p>
          <w:p w:rsidR="0018022F" w:rsidRPr="0018022F" w:rsidRDefault="0018022F" w:rsidP="0018022F">
            <w:pPr>
              <w:jc w:val="center"/>
              <w:rPr>
                <w:rFonts w:ascii="Century" w:hAnsi="Century"/>
                <w:i/>
                <w:color w:val="333399"/>
                <w:sz w:val="20"/>
                <w:szCs w:val="20"/>
              </w:rPr>
            </w:pPr>
          </w:p>
        </w:tc>
      </w:tr>
      <w:tr w:rsidR="007909D7" w:rsidRPr="00B10D90" w:rsidTr="00441D50">
        <w:trPr>
          <w:gridAfter w:val="1"/>
          <w:wAfter w:w="20" w:type="dxa"/>
          <w:trHeight w:val="554"/>
        </w:trPr>
        <w:tc>
          <w:tcPr>
            <w:tcW w:w="4760" w:type="dxa"/>
          </w:tcPr>
          <w:p w:rsidR="007909D7" w:rsidRPr="006867B8" w:rsidRDefault="007909D7" w:rsidP="001357FD">
            <w:pPr>
              <w:jc w:val="both"/>
              <w:rPr>
                <w:rFonts w:ascii="Century" w:hAnsi="Century"/>
                <w:sz w:val="22"/>
                <w:szCs w:val="22"/>
              </w:rPr>
            </w:pPr>
            <w:r w:rsidRPr="006867B8">
              <w:rPr>
                <w:rFonts w:ascii="Century" w:hAnsi="Century"/>
                <w:sz w:val="22"/>
                <w:szCs w:val="22"/>
              </w:rPr>
              <w:t>Poliçe sayıları ile prim ve tazminat tutarlarının dağılım incelendiğinde, Kara Araçları Sorumluluk Branşında düzenlenen poliçelerin %69</w:t>
            </w:r>
            <w:proofErr w:type="gramStart"/>
            <w:r w:rsidRPr="006867B8">
              <w:rPr>
                <w:rFonts w:ascii="Century" w:hAnsi="Century"/>
                <w:sz w:val="22"/>
                <w:szCs w:val="22"/>
              </w:rPr>
              <w:t>,5’inin</w:t>
            </w:r>
            <w:proofErr w:type="gramEnd"/>
            <w:r w:rsidRPr="006867B8">
              <w:rPr>
                <w:rFonts w:ascii="Century" w:hAnsi="Century"/>
                <w:sz w:val="22"/>
                <w:szCs w:val="22"/>
              </w:rPr>
              <w:t xml:space="preserve"> Trafik Sigortasına ait olduğu görülmektedir. Trafik Sigortasının </w:t>
            </w:r>
            <w:r w:rsidRPr="006867B8">
              <w:rPr>
                <w:rFonts w:ascii="Century" w:hAnsi="Century"/>
                <w:sz w:val="22"/>
                <w:szCs w:val="22"/>
              </w:rPr>
              <w:lastRenderedPageBreak/>
              <w:t>anılan branşta direkt prim ve ödenen tazminat içindeki payı ise sırasıyla %94</w:t>
            </w:r>
            <w:proofErr w:type="gramStart"/>
            <w:r w:rsidRPr="006867B8">
              <w:rPr>
                <w:rFonts w:ascii="Century" w:hAnsi="Century"/>
                <w:sz w:val="22"/>
                <w:szCs w:val="22"/>
              </w:rPr>
              <w:t>,6</w:t>
            </w:r>
            <w:proofErr w:type="gramEnd"/>
            <w:r w:rsidRPr="006867B8">
              <w:rPr>
                <w:rFonts w:ascii="Century" w:hAnsi="Century"/>
                <w:sz w:val="22"/>
                <w:szCs w:val="22"/>
              </w:rPr>
              <w:t xml:space="preserve"> ve %97,5 olarak gerçekleşmiştir. İhtiyari Mali Sorumluluk Sigortası branş içinde poliçe sayısı açısından %29</w:t>
            </w:r>
            <w:proofErr w:type="gramStart"/>
            <w:r w:rsidRPr="006867B8">
              <w:rPr>
                <w:rFonts w:ascii="Century" w:hAnsi="Century"/>
                <w:sz w:val="22"/>
                <w:szCs w:val="22"/>
              </w:rPr>
              <w:t>,9</w:t>
            </w:r>
            <w:proofErr w:type="gramEnd"/>
            <w:r w:rsidRPr="006867B8">
              <w:rPr>
                <w:rFonts w:ascii="Century" w:hAnsi="Century"/>
                <w:sz w:val="22"/>
                <w:szCs w:val="22"/>
              </w:rPr>
              <w:t xml:space="preserve">, üretim ve tazminat açısından ise sırasıyla %4,1 ve %1,9 oranında paya sahiptir. </w:t>
            </w:r>
          </w:p>
          <w:p w:rsidR="007909D7" w:rsidRPr="006867B8" w:rsidRDefault="007909D7" w:rsidP="00160D1F">
            <w:pPr>
              <w:jc w:val="both"/>
              <w:rPr>
                <w:rFonts w:ascii="Century" w:hAnsi="Century"/>
                <w:sz w:val="16"/>
                <w:szCs w:val="16"/>
              </w:rPr>
            </w:pPr>
          </w:p>
          <w:p w:rsidR="007909D7" w:rsidRPr="006867B8" w:rsidRDefault="007909D7" w:rsidP="00E66967">
            <w:pPr>
              <w:jc w:val="both"/>
              <w:rPr>
                <w:rFonts w:ascii="Century" w:hAnsi="Century"/>
                <w:sz w:val="22"/>
                <w:szCs w:val="22"/>
              </w:rPr>
            </w:pPr>
            <w:r w:rsidRPr="006867B8">
              <w:rPr>
                <w:rFonts w:ascii="Century" w:hAnsi="Century"/>
                <w:sz w:val="22"/>
                <w:szCs w:val="22"/>
              </w:rPr>
              <w:t xml:space="preserve">Trafik Sigortası prim üretimi 2016 yılında tarife primlerinde yapılan yüksek oranlı artışların etkisiyle 2015 yılına göre %80 oranında artış göstermiş, 2017 yılında ise uygulamaya başlanılan tavan fiyatın etkisiyle anılan yılda 2016 yılına göre prim üretiminde %0,4 oranında azalış meydana gelmiş, 2018 yılında ise 2017 yılına göre prim tutarı %22 oranında artış göstermiştir.  2018 yıl sonunda hasar oranının %100’ün üzerine çıkması sonucunda teknik zarar oranı %6 ya yükselmiştir. </w:t>
            </w:r>
          </w:p>
          <w:p w:rsidR="007909D7" w:rsidRPr="006867B8" w:rsidRDefault="007909D7" w:rsidP="00E66967">
            <w:pPr>
              <w:jc w:val="both"/>
              <w:rPr>
                <w:rFonts w:ascii="Century" w:hAnsi="Century"/>
                <w:sz w:val="16"/>
                <w:szCs w:val="16"/>
              </w:rPr>
            </w:pPr>
          </w:p>
        </w:tc>
        <w:tc>
          <w:tcPr>
            <w:tcW w:w="273" w:type="dxa"/>
            <w:gridSpan w:val="6"/>
          </w:tcPr>
          <w:p w:rsidR="007909D7" w:rsidRPr="006867B8" w:rsidRDefault="007909D7" w:rsidP="00700CE3">
            <w:pPr>
              <w:rPr>
                <w:rFonts w:ascii="Century" w:hAnsi="Century"/>
              </w:rPr>
            </w:pPr>
          </w:p>
        </w:tc>
        <w:tc>
          <w:tcPr>
            <w:tcW w:w="4805" w:type="dxa"/>
            <w:gridSpan w:val="8"/>
          </w:tcPr>
          <w:p w:rsidR="007909D7" w:rsidRPr="006867B8" w:rsidRDefault="007909D7" w:rsidP="001357FD">
            <w:pPr>
              <w:jc w:val="both"/>
              <w:rPr>
                <w:rFonts w:ascii="Century" w:hAnsi="Century"/>
                <w:color w:val="333333"/>
                <w:sz w:val="22"/>
                <w:szCs w:val="22"/>
              </w:rPr>
            </w:pPr>
            <w:r w:rsidRPr="006867B8">
              <w:rPr>
                <w:rFonts w:ascii="Century" w:hAnsi="Century"/>
                <w:color w:val="333333"/>
                <w:sz w:val="22"/>
                <w:szCs w:val="22"/>
              </w:rPr>
              <w:t xml:space="preserve">Compulsory </w:t>
            </w:r>
            <w:r w:rsidR="00091F2C">
              <w:rPr>
                <w:rFonts w:ascii="Century" w:hAnsi="Century"/>
                <w:color w:val="333333"/>
                <w:sz w:val="22"/>
                <w:szCs w:val="22"/>
              </w:rPr>
              <w:t>motor liability</w:t>
            </w:r>
            <w:r w:rsidRPr="006867B8">
              <w:rPr>
                <w:rFonts w:ascii="Century" w:hAnsi="Century"/>
                <w:color w:val="333333"/>
                <w:sz w:val="22"/>
                <w:szCs w:val="22"/>
              </w:rPr>
              <w:t xml:space="preserve"> insurance which is sub LoB of motor liability insurance accounted for approximately 69.5% of the policies issued in </w:t>
            </w:r>
            <w:r w:rsidR="006B7CC2">
              <w:rPr>
                <w:rFonts w:ascii="Century" w:hAnsi="Century"/>
                <w:color w:val="333333"/>
                <w:sz w:val="22"/>
                <w:szCs w:val="22"/>
              </w:rPr>
              <w:t xml:space="preserve">compulsory </w:t>
            </w:r>
            <w:r w:rsidRPr="006867B8">
              <w:rPr>
                <w:rFonts w:ascii="Century" w:hAnsi="Century"/>
                <w:color w:val="333333"/>
                <w:sz w:val="22"/>
                <w:szCs w:val="22"/>
              </w:rPr>
              <w:t>motor</w:t>
            </w:r>
            <w:r w:rsidR="006B7CC2">
              <w:rPr>
                <w:rFonts w:ascii="Century" w:hAnsi="Century"/>
                <w:color w:val="333333"/>
                <w:sz w:val="22"/>
                <w:szCs w:val="22"/>
              </w:rPr>
              <w:t xml:space="preserve"> </w:t>
            </w:r>
            <w:r w:rsidRPr="006867B8">
              <w:rPr>
                <w:rFonts w:ascii="Century" w:hAnsi="Century"/>
                <w:color w:val="333333"/>
                <w:sz w:val="22"/>
                <w:szCs w:val="22"/>
              </w:rPr>
              <w:t xml:space="preserve">liability insurance in 2018. The share of the sub LoB </w:t>
            </w:r>
            <w:r w:rsidRPr="006867B8">
              <w:rPr>
                <w:rFonts w:ascii="Century" w:hAnsi="Century"/>
                <w:color w:val="333333"/>
                <w:sz w:val="22"/>
                <w:szCs w:val="22"/>
              </w:rPr>
              <w:lastRenderedPageBreak/>
              <w:t xml:space="preserve">in direct premium volume and claim payments are 94.6% and 97.5%, respectively. Voluntary motor third party liability insurance accounted for 29.9% of the total number of policies issued in that line of business, however its share in premium volume and total claim payments were 4.1% and 1.9%, respectively. </w:t>
            </w:r>
          </w:p>
          <w:p w:rsidR="007909D7" w:rsidRPr="006867B8" w:rsidRDefault="007909D7" w:rsidP="001357FD">
            <w:pPr>
              <w:jc w:val="both"/>
              <w:rPr>
                <w:rFonts w:ascii="Century" w:hAnsi="Century"/>
                <w:color w:val="333333"/>
                <w:sz w:val="16"/>
                <w:szCs w:val="16"/>
              </w:rPr>
            </w:pPr>
            <w:r w:rsidRPr="006867B8">
              <w:rPr>
                <w:rFonts w:ascii="Century" w:hAnsi="Century"/>
                <w:color w:val="333333"/>
                <w:sz w:val="22"/>
                <w:szCs w:val="22"/>
              </w:rPr>
              <w:t xml:space="preserve"> </w:t>
            </w:r>
          </w:p>
          <w:p w:rsidR="007909D7" w:rsidRPr="006867B8" w:rsidRDefault="006867B8" w:rsidP="006B7CC2">
            <w:pPr>
              <w:jc w:val="both"/>
              <w:rPr>
                <w:rFonts w:ascii="Century" w:hAnsi="Century"/>
                <w:color w:val="333333"/>
                <w:sz w:val="22"/>
                <w:szCs w:val="22"/>
              </w:rPr>
            </w:pPr>
            <w:r w:rsidRPr="006867B8">
              <w:rPr>
                <w:rFonts w:ascii="Century" w:hAnsi="Century"/>
                <w:color w:val="333333"/>
                <w:sz w:val="22"/>
                <w:szCs w:val="22"/>
              </w:rPr>
              <w:t xml:space="preserve">Due to increase in tariffs in 2016, written premium of </w:t>
            </w:r>
            <w:r w:rsidR="006B7CC2">
              <w:rPr>
                <w:rFonts w:ascii="Century" w:hAnsi="Century"/>
                <w:color w:val="333333"/>
                <w:sz w:val="22"/>
                <w:szCs w:val="22"/>
              </w:rPr>
              <w:t>compulsory motor liability</w:t>
            </w:r>
            <w:r w:rsidRPr="006867B8">
              <w:rPr>
                <w:rFonts w:ascii="Century" w:hAnsi="Century"/>
                <w:color w:val="333333"/>
                <w:sz w:val="22"/>
                <w:szCs w:val="22"/>
              </w:rPr>
              <w:t xml:space="preserve"> rose by 80% compared to the previous year. In 2017, as a result of </w:t>
            </w:r>
            <w:r w:rsidR="006B7CC2">
              <w:rPr>
                <w:rFonts w:ascii="Century" w:hAnsi="Century"/>
                <w:color w:val="333333"/>
                <w:sz w:val="22"/>
                <w:szCs w:val="22"/>
              </w:rPr>
              <w:t>compulsory motor liability</w:t>
            </w:r>
            <w:r w:rsidRPr="006867B8">
              <w:rPr>
                <w:rFonts w:ascii="Century" w:hAnsi="Century"/>
                <w:color w:val="333333"/>
                <w:sz w:val="22"/>
                <w:szCs w:val="22"/>
              </w:rPr>
              <w:t xml:space="preserve"> Pricing Cap, premium production declined by 0.4% but it increased by 22% in 2018 compared to previous years. Since loss ratio exceeded level of 100% in the end of 2018, technical loss rose to 6%. </w:t>
            </w:r>
          </w:p>
        </w:tc>
      </w:tr>
      <w:tr w:rsidR="007909D7" w:rsidRPr="00B10D90" w:rsidTr="00441D50">
        <w:trPr>
          <w:gridAfter w:val="1"/>
          <w:wAfter w:w="20" w:type="dxa"/>
          <w:trHeight w:val="3833"/>
        </w:trPr>
        <w:tc>
          <w:tcPr>
            <w:tcW w:w="9838" w:type="dxa"/>
            <w:gridSpan w:val="15"/>
          </w:tcPr>
          <w:p w:rsidR="007909D7" w:rsidRPr="005B2911" w:rsidRDefault="007909D7" w:rsidP="00700CE3">
            <w:pPr>
              <w:jc w:val="center"/>
              <w:rPr>
                <w:rFonts w:ascii="Century" w:hAnsi="Century"/>
                <w:b/>
                <w:color w:val="333399"/>
                <w:sz w:val="20"/>
                <w:szCs w:val="20"/>
              </w:rPr>
            </w:pPr>
            <w:r w:rsidRPr="005B2911">
              <w:rPr>
                <w:rFonts w:ascii="Century" w:hAnsi="Century"/>
                <w:b/>
                <w:color w:val="333399"/>
                <w:sz w:val="20"/>
                <w:szCs w:val="20"/>
              </w:rPr>
              <w:lastRenderedPageBreak/>
              <w:t>Tablo 4.2.8: Trafik Sigortası Teknik Verileri(*)</w:t>
            </w:r>
          </w:p>
          <w:p w:rsidR="007909D7" w:rsidRPr="005B2911" w:rsidRDefault="007909D7" w:rsidP="00700CE3">
            <w:pPr>
              <w:jc w:val="center"/>
              <w:rPr>
                <w:rFonts w:ascii="Century" w:hAnsi="Century"/>
                <w:i/>
                <w:color w:val="333399"/>
                <w:sz w:val="20"/>
                <w:szCs w:val="20"/>
              </w:rPr>
            </w:pPr>
            <w:r w:rsidRPr="005B2911">
              <w:rPr>
                <w:rFonts w:ascii="Century" w:hAnsi="Century"/>
                <w:i/>
                <w:color w:val="333399"/>
                <w:sz w:val="20"/>
                <w:szCs w:val="20"/>
              </w:rPr>
              <w:t xml:space="preserve">Technical Revenues and Expenses for Compulsory Motor </w:t>
            </w:r>
            <w:r w:rsidR="006B7CC2">
              <w:rPr>
                <w:rFonts w:ascii="Century" w:hAnsi="Century"/>
                <w:i/>
                <w:color w:val="333399"/>
                <w:sz w:val="20"/>
                <w:szCs w:val="20"/>
              </w:rPr>
              <w:t>Liability</w:t>
            </w:r>
            <w:r w:rsidRPr="005B2911">
              <w:rPr>
                <w:rFonts w:ascii="Century" w:hAnsi="Century"/>
                <w:i/>
                <w:color w:val="333399"/>
                <w:sz w:val="20"/>
                <w:szCs w:val="20"/>
              </w:rPr>
              <w:t xml:space="preserve"> Insurance(*)</w:t>
            </w:r>
          </w:p>
          <w:p w:rsidR="007909D7" w:rsidRPr="005B2911" w:rsidRDefault="007909D7" w:rsidP="00700CE3">
            <w:pPr>
              <w:jc w:val="center"/>
              <w:rPr>
                <w:rFonts w:ascii="Century" w:hAnsi="Century"/>
                <w:i/>
                <w:color w:val="333399"/>
                <w:sz w:val="20"/>
                <w:szCs w:val="20"/>
              </w:rPr>
            </w:pPr>
            <w:r w:rsidRPr="005B2911">
              <w:rPr>
                <w:rFonts w:ascii="Century" w:hAnsi="Century"/>
                <w:i/>
                <w:noProof/>
                <w:color w:val="333399"/>
                <w:sz w:val="20"/>
                <w:szCs w:val="20"/>
              </w:rPr>
              <w:drawing>
                <wp:inline distT="0" distB="0" distL="0" distR="0" wp14:anchorId="74842F77" wp14:editId="0E1DE570">
                  <wp:extent cx="6106602" cy="2449002"/>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06795" cy="2449079"/>
                          </a:xfrm>
                          <a:prstGeom prst="rect">
                            <a:avLst/>
                          </a:prstGeom>
                          <a:noFill/>
                          <a:ln>
                            <a:noFill/>
                          </a:ln>
                        </pic:spPr>
                      </pic:pic>
                    </a:graphicData>
                  </a:graphic>
                </wp:inline>
              </w:drawing>
            </w:r>
          </w:p>
          <w:p w:rsidR="007909D7" w:rsidRPr="00336E1F" w:rsidRDefault="007909D7" w:rsidP="00700CE3">
            <w:pPr>
              <w:jc w:val="both"/>
              <w:rPr>
                <w:rFonts w:ascii="Century" w:hAnsi="Century"/>
                <w:sz w:val="16"/>
                <w:szCs w:val="16"/>
              </w:rPr>
            </w:pPr>
            <w:r w:rsidRPr="00336E1F">
              <w:rPr>
                <w:rFonts w:ascii="Century" w:hAnsi="Century"/>
                <w:sz w:val="16"/>
                <w:szCs w:val="16"/>
              </w:rPr>
              <w:t>(*)Yeşil Kart Hariç, Riskli Sigortalılar Havuzu Dahil- excluded green card, included high risk insurance pool</w:t>
            </w:r>
          </w:p>
          <w:p w:rsidR="007909D7" w:rsidRPr="00336E1F" w:rsidRDefault="007909D7" w:rsidP="00700CE3">
            <w:pPr>
              <w:jc w:val="both"/>
              <w:rPr>
                <w:rFonts w:ascii="Century" w:hAnsi="Century"/>
                <w:i/>
                <w:sz w:val="16"/>
                <w:szCs w:val="16"/>
              </w:rPr>
            </w:pPr>
            <w:r w:rsidRPr="00336E1F">
              <w:rPr>
                <w:rFonts w:ascii="Century" w:hAnsi="Century"/>
                <w:sz w:val="16"/>
                <w:szCs w:val="16"/>
              </w:rPr>
              <w:t xml:space="preserve">(**) Dönem içinde tahakkuk eden komisyon tutarları. </w:t>
            </w:r>
            <w:r w:rsidRPr="00336E1F">
              <w:rPr>
                <w:rFonts w:ascii="Century" w:hAnsi="Century"/>
                <w:i/>
                <w:sz w:val="16"/>
                <w:szCs w:val="16"/>
              </w:rPr>
              <w:t>Commission amount incurred during the year.</w:t>
            </w:r>
          </w:p>
          <w:p w:rsidR="007909D7" w:rsidRPr="005B2911" w:rsidRDefault="007909D7" w:rsidP="00700CE3">
            <w:pPr>
              <w:jc w:val="both"/>
              <w:rPr>
                <w:rFonts w:ascii="Century" w:hAnsi="Century"/>
                <w:color w:val="404040"/>
                <w:sz w:val="18"/>
                <w:szCs w:val="18"/>
              </w:rPr>
            </w:pPr>
          </w:p>
        </w:tc>
      </w:tr>
      <w:tr w:rsidR="007909D7" w:rsidRPr="00B10D90" w:rsidTr="00441D50">
        <w:trPr>
          <w:gridAfter w:val="1"/>
          <w:wAfter w:w="20" w:type="dxa"/>
          <w:trHeight w:val="643"/>
        </w:trPr>
        <w:tc>
          <w:tcPr>
            <w:tcW w:w="9838" w:type="dxa"/>
            <w:gridSpan w:val="15"/>
          </w:tcPr>
          <w:p w:rsidR="007909D7" w:rsidRPr="005B2911" w:rsidRDefault="007909D7" w:rsidP="00700CE3">
            <w:pPr>
              <w:jc w:val="center"/>
              <w:rPr>
                <w:rFonts w:ascii="Century" w:hAnsi="Century"/>
                <w:b/>
                <w:color w:val="333399"/>
                <w:sz w:val="20"/>
                <w:szCs w:val="20"/>
              </w:rPr>
            </w:pPr>
            <w:r w:rsidRPr="005B2911">
              <w:rPr>
                <w:rFonts w:ascii="Century" w:hAnsi="Century"/>
                <w:b/>
                <w:color w:val="000080"/>
                <w:sz w:val="20"/>
                <w:szCs w:val="20"/>
              </w:rPr>
              <w:t xml:space="preserve">Grafik 4.2.9: </w:t>
            </w:r>
            <w:r w:rsidRPr="005B2911">
              <w:rPr>
                <w:rFonts w:ascii="Century" w:hAnsi="Century"/>
                <w:b/>
                <w:color w:val="1F0492"/>
                <w:sz w:val="20"/>
                <w:szCs w:val="20"/>
              </w:rPr>
              <w:t>Trafik Sigortası Teknik Oranları (Ye</w:t>
            </w:r>
            <w:r w:rsidRPr="005B2911">
              <w:rPr>
                <w:rFonts w:ascii="Century" w:hAnsi="Century"/>
                <w:b/>
                <w:color w:val="1F0492"/>
                <w:sz w:val="20"/>
                <w:szCs w:val="20"/>
                <w:lang w:val="tr-TR"/>
              </w:rPr>
              <w:t>şil Kart Hariç)</w:t>
            </w:r>
            <w:r w:rsidRPr="005B2911">
              <w:rPr>
                <w:rFonts w:ascii="Century" w:hAnsi="Century"/>
                <w:b/>
                <w:color w:val="1F0492"/>
                <w:sz w:val="20"/>
                <w:szCs w:val="20"/>
              </w:rPr>
              <w:t xml:space="preserve"> (</w:t>
            </w:r>
            <w:r w:rsidRPr="005B2911">
              <w:rPr>
                <w:rFonts w:ascii="Century" w:hAnsi="Century"/>
                <w:b/>
                <w:color w:val="000080"/>
                <w:sz w:val="20"/>
                <w:szCs w:val="20"/>
              </w:rPr>
              <w:t>Brüt, %)</w:t>
            </w:r>
          </w:p>
          <w:p w:rsidR="007909D7" w:rsidRPr="005B2911" w:rsidRDefault="007909D7" w:rsidP="00700CE3">
            <w:pPr>
              <w:jc w:val="center"/>
              <w:rPr>
                <w:rFonts w:ascii="Century" w:hAnsi="Century"/>
                <w:i/>
                <w:color w:val="333399"/>
                <w:sz w:val="20"/>
                <w:szCs w:val="20"/>
              </w:rPr>
            </w:pPr>
            <w:r w:rsidRPr="005B2911">
              <w:rPr>
                <w:rFonts w:ascii="Century" w:hAnsi="Century"/>
                <w:i/>
                <w:color w:val="333399"/>
                <w:sz w:val="20"/>
                <w:szCs w:val="20"/>
              </w:rPr>
              <w:t xml:space="preserve">Technical Ratios for Compulsory Motor </w:t>
            </w:r>
            <w:r w:rsidR="006B7CC2">
              <w:rPr>
                <w:rFonts w:ascii="Century" w:hAnsi="Century"/>
                <w:i/>
                <w:color w:val="333399"/>
                <w:sz w:val="20"/>
                <w:szCs w:val="20"/>
              </w:rPr>
              <w:t>Liability</w:t>
            </w:r>
            <w:r w:rsidRPr="005B2911">
              <w:rPr>
                <w:rFonts w:ascii="Century" w:hAnsi="Century"/>
                <w:i/>
                <w:color w:val="333399"/>
                <w:sz w:val="20"/>
                <w:szCs w:val="20"/>
              </w:rPr>
              <w:t xml:space="preserve"> (Excluded Green </w:t>
            </w:r>
            <w:proofErr w:type="gramStart"/>
            <w:r w:rsidRPr="005B2911">
              <w:rPr>
                <w:rFonts w:ascii="Century" w:hAnsi="Century"/>
                <w:i/>
                <w:color w:val="333399"/>
                <w:sz w:val="20"/>
                <w:szCs w:val="20"/>
              </w:rPr>
              <w:t>Card )</w:t>
            </w:r>
            <w:proofErr w:type="gramEnd"/>
            <w:r w:rsidRPr="005B2911">
              <w:rPr>
                <w:rFonts w:ascii="Century" w:hAnsi="Century"/>
                <w:i/>
                <w:color w:val="333399"/>
                <w:sz w:val="20"/>
                <w:szCs w:val="20"/>
              </w:rPr>
              <w:t xml:space="preserve"> (Gross, %)</w:t>
            </w:r>
          </w:p>
          <w:p w:rsidR="007909D7" w:rsidRPr="005B2911" w:rsidRDefault="007909D7" w:rsidP="00244A2D">
            <w:pPr>
              <w:jc w:val="center"/>
              <w:rPr>
                <w:rFonts w:ascii="Century" w:hAnsi="Century"/>
                <w:b/>
                <w:i/>
                <w:color w:val="333399"/>
                <w:sz w:val="20"/>
                <w:szCs w:val="20"/>
              </w:rPr>
            </w:pPr>
            <w:r w:rsidRPr="005B2911">
              <w:rPr>
                <w:rFonts w:ascii="Century" w:hAnsi="Century"/>
                <w:b/>
                <w:i/>
                <w:noProof/>
                <w:color w:val="333399"/>
                <w:sz w:val="20"/>
                <w:szCs w:val="20"/>
              </w:rPr>
              <w:drawing>
                <wp:inline distT="0" distB="0" distL="0" distR="0" wp14:anchorId="2BF7C13F" wp14:editId="5ABD5345">
                  <wp:extent cx="6106795" cy="1804670"/>
                  <wp:effectExtent l="0" t="0" r="825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06795" cy="1804670"/>
                          </a:xfrm>
                          <a:prstGeom prst="rect">
                            <a:avLst/>
                          </a:prstGeom>
                          <a:noFill/>
                          <a:ln>
                            <a:noFill/>
                          </a:ln>
                        </pic:spPr>
                      </pic:pic>
                    </a:graphicData>
                  </a:graphic>
                </wp:inline>
              </w:drawing>
            </w:r>
          </w:p>
          <w:p w:rsidR="007909D7" w:rsidRPr="005B2911" w:rsidRDefault="007909D7" w:rsidP="00244A2D">
            <w:pPr>
              <w:jc w:val="center"/>
              <w:rPr>
                <w:rFonts w:ascii="Century" w:hAnsi="Century"/>
                <w:b/>
                <w:i/>
                <w:color w:val="333399"/>
                <w:sz w:val="20"/>
                <w:szCs w:val="20"/>
              </w:rPr>
            </w:pPr>
          </w:p>
        </w:tc>
      </w:tr>
      <w:tr w:rsidR="007909D7" w:rsidRPr="00B10D90" w:rsidTr="00441D50">
        <w:trPr>
          <w:gridAfter w:val="1"/>
          <w:wAfter w:w="20" w:type="dxa"/>
          <w:trHeight w:val="561"/>
        </w:trPr>
        <w:tc>
          <w:tcPr>
            <w:tcW w:w="4760" w:type="dxa"/>
          </w:tcPr>
          <w:p w:rsidR="007909D7" w:rsidRPr="00E14739" w:rsidRDefault="007909D7" w:rsidP="007D65D8">
            <w:pPr>
              <w:pStyle w:val="Heading3"/>
              <w:keepNext w:val="0"/>
              <w:spacing w:before="0" w:after="0"/>
              <w:ind w:left="-32"/>
              <w:jc w:val="both"/>
              <w:rPr>
                <w:rFonts w:ascii="Century" w:hAnsi="Century"/>
                <w:color w:val="000080"/>
                <w:sz w:val="22"/>
                <w:szCs w:val="22"/>
              </w:rPr>
            </w:pPr>
            <w:bookmarkStart w:id="237" w:name="_Toc327793352"/>
            <w:bookmarkStart w:id="238" w:name="_Toc358380210"/>
            <w:bookmarkStart w:id="239" w:name="_Toc12957682"/>
            <w:r w:rsidRPr="00E14739">
              <w:rPr>
                <w:rFonts w:ascii="Century" w:hAnsi="Century"/>
                <w:color w:val="000080"/>
                <w:sz w:val="22"/>
                <w:szCs w:val="22"/>
              </w:rPr>
              <w:lastRenderedPageBreak/>
              <w:t>Yangın ve Doğal Afetler Branşı</w:t>
            </w:r>
            <w:bookmarkEnd w:id="237"/>
            <w:bookmarkEnd w:id="238"/>
            <w:bookmarkEnd w:id="239"/>
          </w:p>
          <w:p w:rsidR="007909D7" w:rsidRPr="008B0164" w:rsidRDefault="007909D7" w:rsidP="00700CE3">
            <w:pPr>
              <w:jc w:val="both"/>
              <w:rPr>
                <w:rFonts w:ascii="Century" w:hAnsi="Century"/>
                <w:sz w:val="16"/>
                <w:szCs w:val="16"/>
              </w:rPr>
            </w:pPr>
          </w:p>
          <w:p w:rsidR="007909D7" w:rsidRPr="00B10D90" w:rsidRDefault="007909D7" w:rsidP="00E14739">
            <w:pPr>
              <w:jc w:val="both"/>
              <w:rPr>
                <w:rFonts w:ascii="Century" w:hAnsi="Century"/>
                <w:sz w:val="22"/>
                <w:szCs w:val="22"/>
                <w:highlight w:val="yellow"/>
              </w:rPr>
            </w:pPr>
            <w:r w:rsidRPr="00E14739">
              <w:rPr>
                <w:rFonts w:ascii="Century" w:hAnsi="Century"/>
                <w:sz w:val="22"/>
                <w:szCs w:val="22"/>
              </w:rPr>
              <w:t>Yangın ve Doğal Afetler Branşı hayat dışı branşlar direkt prim üretiminde %15</w:t>
            </w:r>
            <w:proofErr w:type="gramStart"/>
            <w:r w:rsidRPr="00E14739">
              <w:rPr>
                <w:rFonts w:ascii="Century" w:hAnsi="Century"/>
                <w:sz w:val="22"/>
                <w:szCs w:val="22"/>
              </w:rPr>
              <w:t>,1’lik</w:t>
            </w:r>
            <w:proofErr w:type="gramEnd"/>
            <w:r w:rsidRPr="00E14739">
              <w:rPr>
                <w:rFonts w:ascii="Century" w:hAnsi="Century"/>
                <w:sz w:val="22"/>
                <w:szCs w:val="22"/>
              </w:rPr>
              <w:t xml:space="preserve"> bir paya sahiptir. Anılan branşta 2018 yılında 33 şirket prim üretiminde bulunmuş ve 8.846.011 adedi Zorunlu Deprem Sigortası olmak üzere toplam 16.537.886 adet poliçe düzenlemiştir. Diğer branşlarda düzenlenen sözleşmeler içerisinde verilen Yangın ve Doğal Afetler Branşına ait teminatlar da dikkate alındığında, yangın ve doğal afetler teminatı içeren sözleşme sayısı 17.535.043 adede ulaşmaktadır.</w:t>
            </w: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E14739" w:rsidRDefault="007909D7" w:rsidP="00700CE3">
            <w:pPr>
              <w:jc w:val="both"/>
              <w:rPr>
                <w:rFonts w:ascii="Century" w:hAnsi="Century"/>
                <w:b/>
                <w:color w:val="003366"/>
                <w:sz w:val="22"/>
                <w:szCs w:val="22"/>
              </w:rPr>
            </w:pPr>
            <w:r w:rsidRPr="00E14739">
              <w:rPr>
                <w:rFonts w:ascii="Century" w:hAnsi="Century"/>
                <w:b/>
                <w:color w:val="003366"/>
                <w:sz w:val="22"/>
                <w:szCs w:val="22"/>
              </w:rPr>
              <w:t>4.2.5. Fire and Natural Disasters Insurance</w:t>
            </w:r>
          </w:p>
          <w:p w:rsidR="007909D7" w:rsidRPr="008B0164" w:rsidRDefault="007909D7" w:rsidP="00700CE3">
            <w:pPr>
              <w:jc w:val="both"/>
              <w:rPr>
                <w:rFonts w:ascii="Century" w:hAnsi="Century"/>
                <w:color w:val="333333"/>
                <w:sz w:val="16"/>
                <w:szCs w:val="16"/>
              </w:rPr>
            </w:pPr>
          </w:p>
          <w:p w:rsidR="007909D7" w:rsidRPr="00B10D90" w:rsidRDefault="007909D7" w:rsidP="00E14739">
            <w:pPr>
              <w:jc w:val="both"/>
              <w:rPr>
                <w:rFonts w:ascii="Century" w:hAnsi="Century"/>
                <w:color w:val="333333"/>
                <w:highlight w:val="yellow"/>
              </w:rPr>
            </w:pPr>
            <w:r w:rsidRPr="00E14739">
              <w:rPr>
                <w:rFonts w:ascii="Century" w:hAnsi="Century"/>
                <w:color w:val="333333"/>
                <w:sz w:val="22"/>
                <w:szCs w:val="22"/>
              </w:rPr>
              <w:t>Fire and natural disasters insurance accounts for 15.1% of non-life direct premium volume in 2018. There are 33 insurance companies operating in the sector. The companies issued 1</w:t>
            </w:r>
            <w:r>
              <w:rPr>
                <w:rFonts w:ascii="Century" w:hAnsi="Century"/>
                <w:color w:val="333333"/>
                <w:sz w:val="22"/>
                <w:szCs w:val="22"/>
              </w:rPr>
              <w:t>6</w:t>
            </w:r>
            <w:r w:rsidRPr="00E14739">
              <w:rPr>
                <w:rFonts w:ascii="Century" w:hAnsi="Century"/>
                <w:color w:val="333333"/>
                <w:sz w:val="22"/>
                <w:szCs w:val="22"/>
              </w:rPr>
              <w:t>,</w:t>
            </w:r>
            <w:r>
              <w:rPr>
                <w:rFonts w:ascii="Century" w:hAnsi="Century"/>
                <w:color w:val="333333"/>
                <w:sz w:val="22"/>
                <w:szCs w:val="22"/>
              </w:rPr>
              <w:t>537</w:t>
            </w:r>
            <w:r w:rsidRPr="00E14739">
              <w:rPr>
                <w:rFonts w:ascii="Century" w:hAnsi="Century"/>
                <w:color w:val="333333"/>
                <w:sz w:val="22"/>
                <w:szCs w:val="22"/>
              </w:rPr>
              <w:t>,</w:t>
            </w:r>
            <w:r>
              <w:rPr>
                <w:rFonts w:ascii="Century" w:hAnsi="Century"/>
                <w:color w:val="333333"/>
                <w:sz w:val="22"/>
                <w:szCs w:val="22"/>
              </w:rPr>
              <w:t>886</w:t>
            </w:r>
            <w:r w:rsidRPr="00E14739">
              <w:rPr>
                <w:rFonts w:ascii="Century" w:hAnsi="Century"/>
                <w:color w:val="333333"/>
                <w:sz w:val="22"/>
                <w:szCs w:val="22"/>
              </w:rPr>
              <w:t xml:space="preserve"> policies, 8,846,011 of which are in compulsory earthquake insurance. After the inclusion of the number of multiline policies including fire and natural disasters insurance policies, premium volume rises to 17,535,043.</w:t>
            </w:r>
          </w:p>
        </w:tc>
      </w:tr>
      <w:tr w:rsidR="007909D7" w:rsidRPr="00B10D90" w:rsidTr="00441D50">
        <w:trPr>
          <w:gridAfter w:val="1"/>
          <w:wAfter w:w="20" w:type="dxa"/>
          <w:trHeight w:val="219"/>
        </w:trPr>
        <w:tc>
          <w:tcPr>
            <w:tcW w:w="4760" w:type="dxa"/>
          </w:tcPr>
          <w:p w:rsidR="007909D7" w:rsidRPr="00B10D90" w:rsidRDefault="007909D7" w:rsidP="001744D2">
            <w:pPr>
              <w:pStyle w:val="Heading4"/>
              <w:keepNext w:val="0"/>
              <w:spacing w:before="0" w:after="0"/>
              <w:ind w:left="1044" w:hanging="864"/>
              <w:rPr>
                <w:rFonts w:ascii="Century" w:hAnsi="Century"/>
                <w:color w:val="000080"/>
                <w:sz w:val="16"/>
                <w:szCs w:val="16"/>
                <w:highlight w:val="yellow"/>
              </w:rPr>
            </w:pPr>
          </w:p>
        </w:tc>
        <w:tc>
          <w:tcPr>
            <w:tcW w:w="273" w:type="dxa"/>
            <w:gridSpan w:val="6"/>
          </w:tcPr>
          <w:p w:rsidR="007909D7" w:rsidRPr="00B10D90" w:rsidRDefault="007909D7" w:rsidP="00700CE3">
            <w:pPr>
              <w:rPr>
                <w:rFonts w:ascii="Century" w:hAnsi="Century"/>
                <w:sz w:val="16"/>
                <w:szCs w:val="16"/>
                <w:highlight w:val="yellow"/>
              </w:rPr>
            </w:pPr>
          </w:p>
        </w:tc>
        <w:tc>
          <w:tcPr>
            <w:tcW w:w="4805" w:type="dxa"/>
            <w:gridSpan w:val="8"/>
          </w:tcPr>
          <w:p w:rsidR="007909D7" w:rsidRPr="00B10D90" w:rsidRDefault="007909D7" w:rsidP="00700CE3">
            <w:pPr>
              <w:jc w:val="both"/>
              <w:rPr>
                <w:rFonts w:ascii="Century" w:hAnsi="Century"/>
                <w:b/>
                <w:color w:val="003366"/>
                <w:sz w:val="16"/>
                <w:szCs w:val="16"/>
                <w:highlight w:val="yellow"/>
              </w:rPr>
            </w:pPr>
          </w:p>
        </w:tc>
      </w:tr>
      <w:tr w:rsidR="007909D7" w:rsidRPr="00B10D90" w:rsidTr="00441D50">
        <w:trPr>
          <w:gridAfter w:val="1"/>
          <w:wAfter w:w="20" w:type="dxa"/>
          <w:trHeight w:val="3442"/>
        </w:trPr>
        <w:tc>
          <w:tcPr>
            <w:tcW w:w="9838" w:type="dxa"/>
            <w:gridSpan w:val="15"/>
            <w:shd w:val="clear" w:color="auto" w:fill="auto"/>
          </w:tcPr>
          <w:p w:rsidR="007909D7" w:rsidRPr="00E14739" w:rsidRDefault="007909D7" w:rsidP="00700CE3">
            <w:pPr>
              <w:jc w:val="center"/>
              <w:rPr>
                <w:rFonts w:ascii="Century" w:hAnsi="Century"/>
                <w:b/>
                <w:color w:val="333399"/>
                <w:sz w:val="20"/>
                <w:szCs w:val="20"/>
              </w:rPr>
            </w:pPr>
            <w:r w:rsidRPr="00E14739">
              <w:rPr>
                <w:rFonts w:ascii="Century" w:hAnsi="Century"/>
                <w:b/>
                <w:color w:val="000080"/>
                <w:sz w:val="20"/>
                <w:szCs w:val="20"/>
              </w:rPr>
              <w:t>Tablo 4.2.9: Yangın ve Doğal Afetler Branşı Prim</w:t>
            </w:r>
            <w:r w:rsidRPr="00E14739">
              <w:rPr>
                <w:rFonts w:ascii="Century" w:hAnsi="Century"/>
                <w:b/>
                <w:color w:val="333399"/>
                <w:sz w:val="20"/>
                <w:szCs w:val="20"/>
              </w:rPr>
              <w:t xml:space="preserve">, Tazminat ve Sözleşme Verileri </w:t>
            </w:r>
          </w:p>
          <w:p w:rsidR="007909D7" w:rsidRPr="00E14739" w:rsidRDefault="007909D7" w:rsidP="00700CE3">
            <w:pPr>
              <w:jc w:val="center"/>
              <w:rPr>
                <w:rFonts w:ascii="Century" w:hAnsi="Century"/>
                <w:i/>
                <w:color w:val="333399"/>
                <w:sz w:val="20"/>
                <w:szCs w:val="20"/>
              </w:rPr>
            </w:pPr>
            <w:r w:rsidRPr="00E14739">
              <w:rPr>
                <w:rFonts w:ascii="Century" w:hAnsi="Century"/>
                <w:i/>
                <w:color w:val="333399"/>
                <w:sz w:val="20"/>
                <w:szCs w:val="20"/>
              </w:rPr>
              <w:t>Premium, Claims and Contract Figures in Fire and Natural Disasters Business</w:t>
            </w:r>
          </w:p>
          <w:p w:rsidR="007909D7" w:rsidRPr="00E14739" w:rsidRDefault="007909D7" w:rsidP="00700CE3">
            <w:pPr>
              <w:jc w:val="center"/>
              <w:rPr>
                <w:rFonts w:ascii="Century" w:hAnsi="Century"/>
                <w:i/>
                <w:color w:val="333399"/>
                <w:sz w:val="20"/>
                <w:szCs w:val="20"/>
              </w:rPr>
            </w:pPr>
            <w:r w:rsidRPr="00E14739">
              <w:rPr>
                <w:rFonts w:ascii="Century" w:hAnsi="Century"/>
                <w:i/>
                <w:noProof/>
                <w:color w:val="333399"/>
                <w:sz w:val="20"/>
                <w:szCs w:val="20"/>
              </w:rPr>
              <w:drawing>
                <wp:inline distT="0" distB="0" distL="0" distR="0" wp14:anchorId="2C305F8D" wp14:editId="56CE63C3">
                  <wp:extent cx="6106312" cy="1956020"/>
                  <wp:effectExtent l="0" t="0" r="889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06795" cy="1956175"/>
                          </a:xfrm>
                          <a:prstGeom prst="rect">
                            <a:avLst/>
                          </a:prstGeom>
                          <a:noFill/>
                          <a:ln>
                            <a:noFill/>
                          </a:ln>
                        </pic:spPr>
                      </pic:pic>
                    </a:graphicData>
                  </a:graphic>
                </wp:inline>
              </w:drawing>
            </w:r>
          </w:p>
          <w:p w:rsidR="007909D7" w:rsidRPr="00E14739" w:rsidRDefault="007909D7" w:rsidP="0092661C">
            <w:pPr>
              <w:jc w:val="center"/>
              <w:rPr>
                <w:rFonts w:ascii="Century" w:hAnsi="Century"/>
                <w:color w:val="404040"/>
                <w:sz w:val="16"/>
                <w:szCs w:val="16"/>
              </w:rPr>
            </w:pPr>
          </w:p>
        </w:tc>
      </w:tr>
      <w:tr w:rsidR="007909D7" w:rsidRPr="00B10D90" w:rsidTr="00441D50">
        <w:trPr>
          <w:gridAfter w:val="1"/>
          <w:wAfter w:w="20" w:type="dxa"/>
          <w:trHeight w:val="657"/>
        </w:trPr>
        <w:tc>
          <w:tcPr>
            <w:tcW w:w="9838" w:type="dxa"/>
            <w:gridSpan w:val="15"/>
            <w:shd w:val="clear" w:color="auto" w:fill="auto"/>
          </w:tcPr>
          <w:p w:rsidR="007909D7" w:rsidRPr="00E14739" w:rsidRDefault="007909D7" w:rsidP="00700CE3">
            <w:pPr>
              <w:jc w:val="center"/>
              <w:rPr>
                <w:rFonts w:ascii="Century" w:hAnsi="Century"/>
                <w:b/>
                <w:color w:val="000080"/>
                <w:sz w:val="20"/>
                <w:szCs w:val="20"/>
              </w:rPr>
            </w:pPr>
            <w:r w:rsidRPr="00E14739">
              <w:rPr>
                <w:rFonts w:ascii="Century" w:hAnsi="Century"/>
                <w:b/>
                <w:color w:val="000080"/>
                <w:sz w:val="20"/>
                <w:szCs w:val="20"/>
              </w:rPr>
              <w:t>Grafik 4.2.10: Yangın ve Doğal Afetler Branşı Üretim ve Tazminat Verileri Yüzdeleri</w:t>
            </w:r>
          </w:p>
          <w:p w:rsidR="007909D7" w:rsidRDefault="007909D7" w:rsidP="00700CE3">
            <w:pPr>
              <w:jc w:val="center"/>
              <w:rPr>
                <w:rFonts w:ascii="Century" w:hAnsi="Century"/>
                <w:i/>
                <w:color w:val="333399"/>
                <w:sz w:val="20"/>
                <w:szCs w:val="20"/>
              </w:rPr>
            </w:pPr>
            <w:r w:rsidRPr="00E14739">
              <w:rPr>
                <w:rFonts w:ascii="Century" w:hAnsi="Century"/>
                <w:i/>
                <w:color w:val="333399"/>
                <w:sz w:val="20"/>
                <w:szCs w:val="20"/>
              </w:rPr>
              <w:t>Premium and Loss Figures as Percentage in Fire and Natural Disasters Business (%)</w:t>
            </w:r>
          </w:p>
          <w:p w:rsidR="007909D7" w:rsidRDefault="007909D7" w:rsidP="00700CE3">
            <w:pPr>
              <w:jc w:val="center"/>
              <w:rPr>
                <w:rFonts w:ascii="Century" w:hAnsi="Century"/>
                <w:i/>
                <w:color w:val="333399"/>
                <w:sz w:val="20"/>
                <w:szCs w:val="20"/>
              </w:rPr>
            </w:pPr>
            <w:r>
              <w:rPr>
                <w:rFonts w:ascii="Century" w:hAnsi="Century"/>
                <w:i/>
                <w:noProof/>
                <w:color w:val="333399"/>
                <w:sz w:val="20"/>
                <w:szCs w:val="20"/>
              </w:rPr>
              <w:drawing>
                <wp:inline distT="0" distB="0" distL="0" distR="0" wp14:anchorId="46D60AE1" wp14:editId="1C6C27D1">
                  <wp:extent cx="6106400" cy="1582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6400" cy="1582309"/>
                          </a:xfrm>
                          <a:prstGeom prst="rect">
                            <a:avLst/>
                          </a:prstGeom>
                          <a:noFill/>
                          <a:ln>
                            <a:noFill/>
                          </a:ln>
                        </pic:spPr>
                      </pic:pic>
                    </a:graphicData>
                  </a:graphic>
                </wp:inline>
              </w:drawing>
            </w:r>
          </w:p>
          <w:p w:rsidR="007909D7" w:rsidRPr="00E14739" w:rsidRDefault="007909D7" w:rsidP="00700CE3">
            <w:pPr>
              <w:jc w:val="center"/>
              <w:rPr>
                <w:rFonts w:ascii="Century" w:hAnsi="Century"/>
                <w:color w:val="404040"/>
                <w:sz w:val="10"/>
                <w:szCs w:val="10"/>
              </w:rPr>
            </w:pPr>
          </w:p>
        </w:tc>
      </w:tr>
      <w:tr w:rsidR="007909D7" w:rsidRPr="00B10D90" w:rsidTr="00441D50">
        <w:trPr>
          <w:gridAfter w:val="1"/>
          <w:wAfter w:w="20" w:type="dxa"/>
          <w:trHeight w:val="993"/>
        </w:trPr>
        <w:tc>
          <w:tcPr>
            <w:tcW w:w="4760" w:type="dxa"/>
          </w:tcPr>
          <w:p w:rsidR="007909D7" w:rsidRPr="00B10D90" w:rsidRDefault="007909D7" w:rsidP="005C2186">
            <w:pPr>
              <w:jc w:val="both"/>
              <w:rPr>
                <w:rFonts w:ascii="Century" w:hAnsi="Century"/>
                <w:sz w:val="22"/>
                <w:szCs w:val="22"/>
                <w:highlight w:val="yellow"/>
              </w:rPr>
            </w:pPr>
            <w:r w:rsidRPr="00E14739">
              <w:rPr>
                <w:rFonts w:ascii="Century" w:hAnsi="Century"/>
                <w:sz w:val="22"/>
                <w:szCs w:val="22"/>
              </w:rPr>
              <w:t>Yangın Sigortası, branş prim üretimi ve ödenen tazminatta 2018 yılında sırasıyla %64 ve %97 oranında paya sahiptir. Zorunlu Deprem Sigortası %17</w:t>
            </w:r>
            <w:proofErr w:type="gramStart"/>
            <w:r w:rsidRPr="00E14739">
              <w:rPr>
                <w:rFonts w:ascii="Century" w:hAnsi="Century"/>
                <w:sz w:val="22"/>
                <w:szCs w:val="22"/>
              </w:rPr>
              <w:t>,8</w:t>
            </w:r>
            <w:proofErr w:type="gramEnd"/>
            <w:r w:rsidRPr="00E14739">
              <w:rPr>
                <w:rFonts w:ascii="Century" w:hAnsi="Century"/>
                <w:sz w:val="22"/>
                <w:szCs w:val="22"/>
              </w:rPr>
              <w:t xml:space="preserve"> pay ile üretimde ikinci sırayı almaktadır. </w:t>
            </w:r>
            <w:r w:rsidRPr="005C2186">
              <w:rPr>
                <w:rFonts w:ascii="Century" w:hAnsi="Century"/>
                <w:sz w:val="22"/>
                <w:szCs w:val="22"/>
              </w:rPr>
              <w:t>Zorunlu Deprem Sigortası hariç, Yangın Sigortasında prim üretimi riziko bazında incelendiğinde, sözleşme sayısında sivil rizikoların, prim üretimi ve ödenen tazminatlarda ise ticari ve sınai rizikoların ağırlıkta olduğu görülmektedir.</w:t>
            </w: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5C2186">
            <w:pPr>
              <w:jc w:val="both"/>
              <w:rPr>
                <w:rFonts w:ascii="Century" w:hAnsi="Century"/>
                <w:color w:val="333333"/>
                <w:sz w:val="22"/>
                <w:szCs w:val="22"/>
                <w:highlight w:val="yellow"/>
              </w:rPr>
            </w:pPr>
            <w:r w:rsidRPr="00E14739">
              <w:rPr>
                <w:rFonts w:ascii="Century" w:hAnsi="Century"/>
                <w:color w:val="333333"/>
                <w:sz w:val="22"/>
                <w:szCs w:val="22"/>
              </w:rPr>
              <w:t>The share of the fire insurance in total volume and claim payments of the business were 64% and 97%, respectively in 2018. Compulsory earthquake insurance accounted for 17.8% of total volume and ranked as second.</w:t>
            </w:r>
            <w:r>
              <w:rPr>
                <w:rFonts w:ascii="Century" w:hAnsi="Century"/>
                <w:color w:val="333333"/>
                <w:sz w:val="22"/>
                <w:szCs w:val="22"/>
              </w:rPr>
              <w:t xml:space="preserve"> </w:t>
            </w:r>
            <w:r w:rsidRPr="005C2186">
              <w:rPr>
                <w:rFonts w:ascii="Century" w:hAnsi="Century"/>
                <w:color w:val="333333"/>
                <w:sz w:val="22"/>
                <w:szCs w:val="22"/>
              </w:rPr>
              <w:t xml:space="preserve">When the premium production is analyzed in terms of the composition of the risks, civil risks dominates in terms of the number of policies while commercial and industrials risks have bigger share in total premium volume </w:t>
            </w:r>
            <w:r w:rsidRPr="005C2186">
              <w:rPr>
                <w:rFonts w:ascii="Century" w:hAnsi="Century"/>
                <w:color w:val="333333"/>
                <w:sz w:val="22"/>
              </w:rPr>
              <w:t>and claim payments.</w:t>
            </w:r>
          </w:p>
        </w:tc>
      </w:tr>
      <w:tr w:rsidR="007909D7" w:rsidRPr="00B10D90" w:rsidTr="00441D50">
        <w:tblPrEx>
          <w:tblCellMar>
            <w:left w:w="70" w:type="dxa"/>
            <w:right w:w="70" w:type="dxa"/>
          </w:tblCellMar>
        </w:tblPrEx>
        <w:trPr>
          <w:gridAfter w:val="1"/>
          <w:wAfter w:w="20" w:type="dxa"/>
          <w:trHeight w:val="851"/>
        </w:trPr>
        <w:tc>
          <w:tcPr>
            <w:tcW w:w="9838" w:type="dxa"/>
            <w:gridSpan w:val="15"/>
          </w:tcPr>
          <w:p w:rsidR="007909D7" w:rsidRPr="005C2186" w:rsidRDefault="007909D7" w:rsidP="007B490E">
            <w:pPr>
              <w:jc w:val="center"/>
              <w:rPr>
                <w:rFonts w:ascii="Century" w:hAnsi="Century"/>
                <w:b/>
                <w:color w:val="000080"/>
                <w:sz w:val="20"/>
                <w:szCs w:val="20"/>
              </w:rPr>
            </w:pPr>
            <w:r w:rsidRPr="005C2186">
              <w:rPr>
                <w:rFonts w:ascii="Century" w:hAnsi="Century"/>
                <w:b/>
                <w:color w:val="000080"/>
                <w:sz w:val="20"/>
                <w:szCs w:val="20"/>
              </w:rPr>
              <w:lastRenderedPageBreak/>
              <w:t>Grafik 4.2.11: Riziko Türü Bazında Yangın Sigortası Verileri</w:t>
            </w:r>
          </w:p>
          <w:p w:rsidR="007909D7" w:rsidRPr="005C2186" w:rsidRDefault="007909D7" w:rsidP="00700CE3">
            <w:pPr>
              <w:jc w:val="center"/>
              <w:rPr>
                <w:rFonts w:ascii="Century" w:hAnsi="Century"/>
                <w:color w:val="000080"/>
                <w:sz w:val="20"/>
                <w:szCs w:val="20"/>
              </w:rPr>
            </w:pPr>
            <w:r w:rsidRPr="005C2186">
              <w:rPr>
                <w:rFonts w:ascii="Century" w:hAnsi="Century"/>
                <w:color w:val="000080"/>
                <w:sz w:val="20"/>
                <w:szCs w:val="20"/>
              </w:rPr>
              <w:t>(Zorunlu Deprem Sigortası Hariç)</w:t>
            </w:r>
          </w:p>
          <w:p w:rsidR="007909D7" w:rsidRPr="005C2186" w:rsidRDefault="007909D7" w:rsidP="00700CE3">
            <w:pPr>
              <w:jc w:val="center"/>
              <w:rPr>
                <w:rFonts w:ascii="Century" w:hAnsi="Century"/>
                <w:i/>
                <w:color w:val="333399"/>
                <w:sz w:val="20"/>
                <w:szCs w:val="20"/>
              </w:rPr>
            </w:pPr>
            <w:r w:rsidRPr="005C2186">
              <w:rPr>
                <w:rFonts w:ascii="Century" w:hAnsi="Century"/>
                <w:i/>
                <w:color w:val="333399"/>
                <w:sz w:val="20"/>
                <w:szCs w:val="20"/>
              </w:rPr>
              <w:t>Premium, Claims and Contract Figures in Fire Insurance (Excluded Compulsory Earthquake)</w:t>
            </w:r>
          </w:p>
          <w:p w:rsidR="007909D7" w:rsidRPr="005C2186" w:rsidRDefault="007909D7" w:rsidP="00700CE3">
            <w:pPr>
              <w:jc w:val="center"/>
              <w:rPr>
                <w:rFonts w:ascii="Century" w:hAnsi="Century"/>
                <w:i/>
                <w:color w:val="333399"/>
                <w:sz w:val="20"/>
                <w:szCs w:val="20"/>
              </w:rPr>
            </w:pPr>
            <w:r w:rsidRPr="005C2186">
              <w:rPr>
                <w:rFonts w:ascii="Century" w:hAnsi="Century"/>
                <w:i/>
                <w:noProof/>
                <w:color w:val="333399"/>
                <w:sz w:val="20"/>
                <w:szCs w:val="20"/>
              </w:rPr>
              <w:drawing>
                <wp:inline distT="0" distB="0" distL="0" distR="0" wp14:anchorId="7C403ABD" wp14:editId="471A5F3E">
                  <wp:extent cx="6154420" cy="170942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54420" cy="1709420"/>
                          </a:xfrm>
                          <a:prstGeom prst="rect">
                            <a:avLst/>
                          </a:prstGeom>
                          <a:noFill/>
                          <a:ln>
                            <a:noFill/>
                          </a:ln>
                        </pic:spPr>
                      </pic:pic>
                    </a:graphicData>
                  </a:graphic>
                </wp:inline>
              </w:drawing>
            </w:r>
          </w:p>
          <w:p w:rsidR="007909D7" w:rsidRPr="005C2186" w:rsidRDefault="007909D7" w:rsidP="00FD05AA">
            <w:pPr>
              <w:jc w:val="both"/>
              <w:rPr>
                <w:rFonts w:ascii="Century" w:hAnsi="Century"/>
                <w:i/>
                <w:sz w:val="16"/>
              </w:rPr>
            </w:pPr>
          </w:p>
        </w:tc>
      </w:tr>
      <w:tr w:rsidR="007909D7" w:rsidRPr="00B10D90" w:rsidTr="00441D50">
        <w:trPr>
          <w:gridAfter w:val="1"/>
          <w:wAfter w:w="20" w:type="dxa"/>
          <w:trHeight w:val="607"/>
        </w:trPr>
        <w:tc>
          <w:tcPr>
            <w:tcW w:w="4760" w:type="dxa"/>
            <w:shd w:val="clear" w:color="auto" w:fill="FFFFFF" w:themeFill="background1"/>
          </w:tcPr>
          <w:p w:rsidR="007909D7" w:rsidRPr="00AA5546" w:rsidRDefault="007909D7" w:rsidP="00E44D13">
            <w:pPr>
              <w:jc w:val="both"/>
              <w:rPr>
                <w:rFonts w:ascii="Century" w:hAnsi="Century"/>
                <w:sz w:val="22"/>
                <w:szCs w:val="22"/>
              </w:rPr>
            </w:pPr>
            <w:r w:rsidRPr="00AA5546">
              <w:rPr>
                <w:rFonts w:ascii="Century" w:hAnsi="Century"/>
                <w:sz w:val="22"/>
                <w:szCs w:val="22"/>
              </w:rPr>
              <w:t xml:space="preserve">Yangın ve Doğal </w:t>
            </w:r>
            <w:r>
              <w:rPr>
                <w:rFonts w:ascii="Century" w:hAnsi="Century"/>
                <w:sz w:val="22"/>
                <w:szCs w:val="22"/>
              </w:rPr>
              <w:t>Afetler Branşı prim üretimi 2016</w:t>
            </w:r>
            <w:r w:rsidRPr="00AA5546">
              <w:rPr>
                <w:rFonts w:ascii="Century" w:hAnsi="Century"/>
                <w:sz w:val="22"/>
                <w:szCs w:val="22"/>
              </w:rPr>
              <w:t xml:space="preserve"> yılından itibaren önemli ölçüde artış göstermiş, teknik karlılık oranı 2015 ve 2016 yıllarında gerilemesine rağmen 2017 yılından itibaren yeniden yükselişe geçmiştir. </w:t>
            </w:r>
          </w:p>
          <w:p w:rsidR="007909D7" w:rsidRPr="00AA5546" w:rsidRDefault="007909D7" w:rsidP="00E44D13">
            <w:pPr>
              <w:jc w:val="both"/>
              <w:rPr>
                <w:rFonts w:ascii="Century" w:hAnsi="Century"/>
              </w:rPr>
            </w:pPr>
          </w:p>
        </w:tc>
        <w:tc>
          <w:tcPr>
            <w:tcW w:w="273" w:type="dxa"/>
            <w:gridSpan w:val="6"/>
            <w:shd w:val="clear" w:color="auto" w:fill="FFFFFF" w:themeFill="background1"/>
          </w:tcPr>
          <w:p w:rsidR="007909D7" w:rsidRPr="00B10D90" w:rsidRDefault="007909D7" w:rsidP="00700CE3">
            <w:pPr>
              <w:rPr>
                <w:rFonts w:ascii="Century" w:hAnsi="Century"/>
                <w:highlight w:val="yellow"/>
              </w:rPr>
            </w:pPr>
          </w:p>
        </w:tc>
        <w:tc>
          <w:tcPr>
            <w:tcW w:w="4805" w:type="dxa"/>
            <w:gridSpan w:val="8"/>
            <w:shd w:val="clear" w:color="auto" w:fill="auto"/>
          </w:tcPr>
          <w:p w:rsidR="007909D7" w:rsidRPr="00AA5546" w:rsidRDefault="007909D7" w:rsidP="0003495B">
            <w:pPr>
              <w:jc w:val="both"/>
              <w:rPr>
                <w:rFonts w:ascii="Century" w:hAnsi="Century"/>
                <w:color w:val="333333"/>
                <w:sz w:val="22"/>
                <w:szCs w:val="22"/>
              </w:rPr>
            </w:pPr>
            <w:r w:rsidRPr="00AA5546">
              <w:rPr>
                <w:rFonts w:ascii="Century" w:hAnsi="Century"/>
                <w:color w:val="333333"/>
                <w:sz w:val="22"/>
                <w:szCs w:val="22"/>
              </w:rPr>
              <w:t>Total premium in fire and natural disaster business in</w:t>
            </w:r>
            <w:r>
              <w:rPr>
                <w:rFonts w:ascii="Century" w:hAnsi="Century"/>
                <w:color w:val="333333"/>
                <w:sz w:val="22"/>
                <w:szCs w:val="22"/>
              </w:rPr>
              <w:t>creased substantially after 2016</w:t>
            </w:r>
            <w:r w:rsidRPr="00AA5546">
              <w:rPr>
                <w:rFonts w:ascii="Century" w:hAnsi="Century"/>
                <w:color w:val="333333"/>
                <w:sz w:val="22"/>
                <w:szCs w:val="22"/>
              </w:rPr>
              <w:t>. However, technical profitability has decreased due to the rise on incurred loss and operating expenses in 2015 and 2016. Therefore technical profitability shows an increasing trend in 2017 again.</w:t>
            </w:r>
          </w:p>
          <w:p w:rsidR="007909D7" w:rsidRPr="00B10D90" w:rsidRDefault="007909D7" w:rsidP="009024C4">
            <w:pPr>
              <w:jc w:val="both"/>
              <w:rPr>
                <w:rFonts w:ascii="Century" w:hAnsi="Century"/>
                <w:color w:val="333333"/>
                <w:sz w:val="16"/>
                <w:szCs w:val="16"/>
                <w:highlight w:val="yellow"/>
              </w:rPr>
            </w:pPr>
          </w:p>
        </w:tc>
      </w:tr>
      <w:tr w:rsidR="007909D7" w:rsidRPr="00B10D90" w:rsidTr="00441D50">
        <w:trPr>
          <w:gridAfter w:val="1"/>
          <w:wAfter w:w="20" w:type="dxa"/>
          <w:trHeight w:val="227"/>
        </w:trPr>
        <w:tc>
          <w:tcPr>
            <w:tcW w:w="9838" w:type="dxa"/>
            <w:gridSpan w:val="15"/>
          </w:tcPr>
          <w:p w:rsidR="007909D7" w:rsidRPr="00AA5546" w:rsidRDefault="007909D7" w:rsidP="00700CE3">
            <w:pPr>
              <w:jc w:val="center"/>
              <w:rPr>
                <w:rFonts w:ascii="Century" w:hAnsi="Century"/>
                <w:i/>
                <w:color w:val="000080"/>
                <w:sz w:val="20"/>
                <w:szCs w:val="20"/>
              </w:rPr>
            </w:pPr>
            <w:r w:rsidRPr="00AA5546">
              <w:rPr>
                <w:rFonts w:ascii="Century" w:hAnsi="Century"/>
                <w:b/>
                <w:color w:val="000080"/>
                <w:sz w:val="20"/>
                <w:szCs w:val="20"/>
              </w:rPr>
              <w:t xml:space="preserve">Tablo 4.2.10: Yangın ve Doğal Afetler Branşı Teknik Verileri </w:t>
            </w:r>
            <w:r w:rsidRPr="00AA5546">
              <w:rPr>
                <w:rFonts w:ascii="Century" w:hAnsi="Century"/>
                <w:color w:val="000080"/>
                <w:sz w:val="20"/>
                <w:szCs w:val="20"/>
              </w:rPr>
              <w:t>(Zorunlu Deprem Dahil)</w:t>
            </w:r>
          </w:p>
          <w:p w:rsidR="007909D7" w:rsidRPr="00AA5546" w:rsidRDefault="007909D7" w:rsidP="00700CE3">
            <w:pPr>
              <w:jc w:val="center"/>
              <w:rPr>
                <w:rFonts w:ascii="Century" w:hAnsi="Century"/>
                <w:i/>
                <w:color w:val="000080"/>
                <w:sz w:val="20"/>
                <w:szCs w:val="20"/>
              </w:rPr>
            </w:pPr>
            <w:r w:rsidRPr="00AA5546">
              <w:rPr>
                <w:rFonts w:ascii="Century" w:hAnsi="Century"/>
                <w:i/>
                <w:color w:val="000080"/>
                <w:sz w:val="20"/>
                <w:szCs w:val="20"/>
              </w:rPr>
              <w:t>Technical Figures of Fire and Natural Disasters Business (Included Compulsory Earthquake)</w:t>
            </w:r>
          </w:p>
          <w:p w:rsidR="007909D7" w:rsidRPr="00AA5546" w:rsidRDefault="007909D7" w:rsidP="00700CE3">
            <w:pPr>
              <w:jc w:val="center"/>
              <w:rPr>
                <w:rFonts w:ascii="Century" w:hAnsi="Century"/>
                <w:i/>
                <w:color w:val="000080"/>
                <w:sz w:val="20"/>
                <w:szCs w:val="20"/>
              </w:rPr>
            </w:pPr>
            <w:r w:rsidRPr="00AA5546">
              <w:rPr>
                <w:rFonts w:ascii="Century" w:hAnsi="Century"/>
                <w:i/>
                <w:noProof/>
                <w:color w:val="000080"/>
                <w:sz w:val="20"/>
                <w:szCs w:val="20"/>
              </w:rPr>
              <w:drawing>
                <wp:inline distT="0" distB="0" distL="0" distR="0" wp14:anchorId="59C4ADA8" wp14:editId="6946E197">
                  <wp:extent cx="6106795" cy="2218690"/>
                  <wp:effectExtent l="0" t="0" r="825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6795" cy="2218690"/>
                          </a:xfrm>
                          <a:prstGeom prst="rect">
                            <a:avLst/>
                          </a:prstGeom>
                          <a:noFill/>
                          <a:ln>
                            <a:noFill/>
                          </a:ln>
                        </pic:spPr>
                      </pic:pic>
                    </a:graphicData>
                  </a:graphic>
                </wp:inline>
              </w:drawing>
            </w:r>
          </w:p>
          <w:p w:rsidR="007909D7" w:rsidRPr="00AA5546" w:rsidRDefault="007909D7" w:rsidP="00C55910">
            <w:pPr>
              <w:jc w:val="both"/>
              <w:rPr>
                <w:rFonts w:ascii="Century" w:hAnsi="Century"/>
                <w:color w:val="404040"/>
                <w:sz w:val="16"/>
                <w:szCs w:val="16"/>
              </w:rPr>
            </w:pPr>
            <w:r w:rsidRPr="00AA5546">
              <w:rPr>
                <w:rFonts w:ascii="Century" w:hAnsi="Century"/>
                <w:sz w:val="16"/>
                <w:szCs w:val="16"/>
              </w:rPr>
              <w:t xml:space="preserve">(*) Dönem içinde tahakkuk eden komisyon tutarları. </w:t>
            </w:r>
            <w:r w:rsidRPr="00AA5546">
              <w:rPr>
                <w:rFonts w:ascii="Century" w:hAnsi="Century"/>
                <w:i/>
                <w:sz w:val="16"/>
                <w:szCs w:val="16"/>
              </w:rPr>
              <w:t>Commission amount incurred during the year.</w:t>
            </w:r>
          </w:p>
        </w:tc>
      </w:tr>
      <w:tr w:rsidR="007909D7" w:rsidRPr="00B10D90" w:rsidTr="00441D50">
        <w:trPr>
          <w:gridAfter w:val="1"/>
          <w:wAfter w:w="20" w:type="dxa"/>
          <w:trHeight w:val="227"/>
        </w:trPr>
        <w:tc>
          <w:tcPr>
            <w:tcW w:w="9838" w:type="dxa"/>
            <w:gridSpan w:val="15"/>
          </w:tcPr>
          <w:p w:rsidR="007909D7" w:rsidRPr="00B10D90" w:rsidRDefault="007909D7" w:rsidP="00700CE3">
            <w:pPr>
              <w:jc w:val="center"/>
              <w:rPr>
                <w:rFonts w:ascii="Century" w:hAnsi="Century"/>
                <w:b/>
                <w:color w:val="000080"/>
                <w:sz w:val="16"/>
                <w:szCs w:val="16"/>
                <w:highlight w:val="yellow"/>
              </w:rPr>
            </w:pPr>
          </w:p>
        </w:tc>
      </w:tr>
      <w:tr w:rsidR="007909D7" w:rsidRPr="00B10D90" w:rsidTr="00441D50">
        <w:trPr>
          <w:gridAfter w:val="1"/>
          <w:wAfter w:w="20" w:type="dxa"/>
          <w:trHeight w:val="3356"/>
        </w:trPr>
        <w:tc>
          <w:tcPr>
            <w:tcW w:w="9838" w:type="dxa"/>
            <w:gridSpan w:val="15"/>
          </w:tcPr>
          <w:p w:rsidR="007909D7" w:rsidRPr="00AA5546" w:rsidRDefault="007909D7" w:rsidP="00700CE3">
            <w:pPr>
              <w:jc w:val="center"/>
              <w:rPr>
                <w:rFonts w:ascii="Century" w:hAnsi="Century"/>
                <w:b/>
                <w:color w:val="000080"/>
                <w:sz w:val="20"/>
                <w:szCs w:val="20"/>
              </w:rPr>
            </w:pPr>
            <w:r w:rsidRPr="00AA5546">
              <w:rPr>
                <w:rFonts w:ascii="Century" w:hAnsi="Century"/>
                <w:b/>
                <w:color w:val="000080"/>
                <w:sz w:val="20"/>
                <w:szCs w:val="20"/>
              </w:rPr>
              <w:t>Grafik 4.2.12: Yangın ve Doğal Afetler Branşı Teknik Oranları (Zorunlu Deprem Hariç) (Brüt, %)</w:t>
            </w:r>
          </w:p>
          <w:p w:rsidR="007909D7" w:rsidRPr="00AA5546" w:rsidRDefault="007909D7" w:rsidP="00700CE3">
            <w:pPr>
              <w:jc w:val="center"/>
              <w:rPr>
                <w:rFonts w:ascii="Century" w:hAnsi="Century"/>
                <w:i/>
                <w:color w:val="000080"/>
                <w:sz w:val="20"/>
                <w:szCs w:val="20"/>
              </w:rPr>
            </w:pPr>
            <w:r w:rsidRPr="00AA5546">
              <w:rPr>
                <w:rFonts w:ascii="Century" w:hAnsi="Century"/>
                <w:i/>
                <w:color w:val="000080"/>
                <w:sz w:val="20"/>
                <w:szCs w:val="20"/>
              </w:rPr>
              <w:t>Technical Ratios for Fire and Natural Disasters Business (Excluded Compulsory Earthquake) (Gross %)</w:t>
            </w:r>
          </w:p>
          <w:p w:rsidR="007909D7" w:rsidRPr="00AA5546" w:rsidRDefault="007909D7" w:rsidP="008B0164">
            <w:pPr>
              <w:jc w:val="center"/>
              <w:rPr>
                <w:rFonts w:ascii="Century" w:hAnsi="Century"/>
              </w:rPr>
            </w:pPr>
            <w:r w:rsidRPr="00AA5546">
              <w:rPr>
                <w:rFonts w:ascii="Century" w:hAnsi="Century"/>
                <w:noProof/>
              </w:rPr>
              <w:drawing>
                <wp:inline distT="0" distB="0" distL="0" distR="0" wp14:anchorId="5F495CB5" wp14:editId="1C767974">
                  <wp:extent cx="6106795" cy="2154555"/>
                  <wp:effectExtent l="0" t="0" r="825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06795" cy="2154555"/>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342B8B" w:rsidRDefault="007909D7" w:rsidP="007D65D8">
            <w:pPr>
              <w:pStyle w:val="Heading3"/>
              <w:keepNext w:val="0"/>
              <w:spacing w:before="0" w:after="0"/>
              <w:ind w:left="0"/>
              <w:jc w:val="both"/>
              <w:rPr>
                <w:rFonts w:ascii="Century" w:hAnsi="Century"/>
                <w:color w:val="000080"/>
                <w:sz w:val="22"/>
                <w:szCs w:val="22"/>
              </w:rPr>
            </w:pPr>
            <w:bookmarkStart w:id="240" w:name="_Toc358380211"/>
            <w:bookmarkStart w:id="241" w:name="_Toc12957683"/>
            <w:r w:rsidRPr="00342B8B">
              <w:rPr>
                <w:rFonts w:ascii="Century" w:hAnsi="Century"/>
                <w:color w:val="000080"/>
                <w:sz w:val="22"/>
                <w:szCs w:val="22"/>
              </w:rPr>
              <w:lastRenderedPageBreak/>
              <w:t>Genel Zararlar Branşı</w:t>
            </w:r>
            <w:bookmarkEnd w:id="240"/>
            <w:bookmarkEnd w:id="241"/>
          </w:p>
          <w:p w:rsidR="007909D7" w:rsidRPr="00342B8B" w:rsidRDefault="007909D7" w:rsidP="00700CE3">
            <w:pPr>
              <w:jc w:val="both"/>
              <w:rPr>
                <w:rFonts w:ascii="Century" w:hAnsi="Century"/>
                <w:sz w:val="22"/>
                <w:szCs w:val="22"/>
              </w:rPr>
            </w:pPr>
          </w:p>
          <w:p w:rsidR="007909D7" w:rsidRPr="00B10D90" w:rsidRDefault="007909D7" w:rsidP="0059532A">
            <w:pPr>
              <w:jc w:val="both"/>
              <w:rPr>
                <w:rFonts w:ascii="Century" w:hAnsi="Century"/>
                <w:sz w:val="22"/>
                <w:szCs w:val="22"/>
                <w:highlight w:val="yellow"/>
              </w:rPr>
            </w:pPr>
            <w:r w:rsidRPr="00342B8B">
              <w:rPr>
                <w:rFonts w:ascii="Century" w:hAnsi="Century"/>
                <w:sz w:val="22"/>
                <w:szCs w:val="22"/>
              </w:rPr>
              <w:t>Sektörde hayat dışı direkt prim üretiminde Genel Zararlar Branşı %10</w:t>
            </w:r>
            <w:proofErr w:type="gramStart"/>
            <w:r w:rsidRPr="00342B8B">
              <w:rPr>
                <w:rFonts w:ascii="Century" w:hAnsi="Century"/>
                <w:sz w:val="22"/>
                <w:szCs w:val="22"/>
              </w:rPr>
              <w:t>,5</w:t>
            </w:r>
            <w:proofErr w:type="gramEnd"/>
            <w:r w:rsidRPr="00342B8B">
              <w:rPr>
                <w:rFonts w:ascii="Century" w:hAnsi="Century"/>
                <w:sz w:val="22"/>
                <w:szCs w:val="22"/>
              </w:rPr>
              <w:t xml:space="preserve"> oranında bir paya sahiptir. 2018 yılında anılan branşta 34 sigorta şirketi prim üretiminde bulunmuş </w:t>
            </w:r>
            <w:r w:rsidRPr="00EA3A19">
              <w:rPr>
                <w:rFonts w:ascii="Century" w:hAnsi="Century"/>
                <w:sz w:val="22"/>
                <w:szCs w:val="22"/>
              </w:rPr>
              <w:t>ve 1.756.428 adedi Devlet Destekli (DD) Tarım Sigortası olmak üzere toplam 7.526.868 adet poliçe düzenlemiştir. Diğer branşlarda düzenlenen sözleşmeler içerisinde verilen Genel Zararlar Branşına ait teminatlar da dikkate alındığında, genel zararlar teminatı içeren sözleşme sayısı 18.479.8</w:t>
            </w:r>
            <w:r>
              <w:rPr>
                <w:rFonts w:ascii="Century" w:hAnsi="Century"/>
                <w:sz w:val="22"/>
                <w:szCs w:val="22"/>
              </w:rPr>
              <w:t>41</w:t>
            </w:r>
            <w:r w:rsidRPr="00EA3A19">
              <w:rPr>
                <w:rFonts w:ascii="Century" w:hAnsi="Century"/>
                <w:sz w:val="22"/>
                <w:szCs w:val="22"/>
              </w:rPr>
              <w:t xml:space="preserve"> adede yükselmektedir.</w:t>
            </w:r>
          </w:p>
        </w:tc>
        <w:tc>
          <w:tcPr>
            <w:tcW w:w="273" w:type="dxa"/>
            <w:gridSpan w:val="6"/>
          </w:tcPr>
          <w:p w:rsidR="007909D7" w:rsidRPr="00B10D90" w:rsidRDefault="007909D7" w:rsidP="00700CE3">
            <w:pPr>
              <w:rPr>
                <w:rFonts w:ascii="Century" w:hAnsi="Century"/>
                <w:highlight w:val="yellow"/>
              </w:rPr>
            </w:pPr>
          </w:p>
          <w:p w:rsidR="007909D7" w:rsidRPr="00B10D90" w:rsidRDefault="007909D7" w:rsidP="00700CE3">
            <w:pPr>
              <w:rPr>
                <w:rFonts w:ascii="Century" w:hAnsi="Century"/>
                <w:highlight w:val="yellow"/>
              </w:rPr>
            </w:pPr>
          </w:p>
          <w:p w:rsidR="007909D7" w:rsidRPr="00B10D90" w:rsidRDefault="007909D7" w:rsidP="00700CE3">
            <w:pPr>
              <w:rPr>
                <w:rFonts w:ascii="Century" w:hAnsi="Century"/>
                <w:highlight w:val="yellow"/>
              </w:rPr>
            </w:pPr>
          </w:p>
        </w:tc>
        <w:tc>
          <w:tcPr>
            <w:tcW w:w="4805" w:type="dxa"/>
            <w:gridSpan w:val="8"/>
          </w:tcPr>
          <w:p w:rsidR="007909D7" w:rsidRPr="00342B8B" w:rsidRDefault="007909D7" w:rsidP="00700CE3">
            <w:pPr>
              <w:jc w:val="both"/>
              <w:rPr>
                <w:rFonts w:ascii="Century" w:hAnsi="Century"/>
                <w:b/>
                <w:color w:val="003366"/>
                <w:sz w:val="22"/>
                <w:szCs w:val="22"/>
              </w:rPr>
            </w:pPr>
            <w:r w:rsidRPr="00342B8B">
              <w:rPr>
                <w:rFonts w:ascii="Century" w:hAnsi="Century"/>
                <w:b/>
                <w:color w:val="003366"/>
                <w:sz w:val="22"/>
                <w:szCs w:val="22"/>
              </w:rPr>
              <w:t>4.2.6. General Damages Insurance</w:t>
            </w:r>
          </w:p>
          <w:p w:rsidR="007909D7" w:rsidRPr="00342B8B" w:rsidRDefault="007909D7" w:rsidP="00700CE3">
            <w:pPr>
              <w:jc w:val="both"/>
              <w:rPr>
                <w:rFonts w:ascii="Century" w:hAnsi="Century"/>
                <w:color w:val="333333"/>
                <w:sz w:val="22"/>
                <w:szCs w:val="22"/>
              </w:rPr>
            </w:pPr>
          </w:p>
          <w:p w:rsidR="007909D7" w:rsidRPr="00B10D90" w:rsidRDefault="007909D7" w:rsidP="00244A2D">
            <w:pPr>
              <w:jc w:val="both"/>
              <w:rPr>
                <w:rFonts w:ascii="Century" w:hAnsi="Century"/>
                <w:color w:val="333333"/>
                <w:sz w:val="22"/>
                <w:szCs w:val="22"/>
                <w:highlight w:val="yellow"/>
              </w:rPr>
            </w:pPr>
            <w:r w:rsidRPr="00342B8B">
              <w:rPr>
                <w:rFonts w:ascii="Century" w:hAnsi="Century"/>
                <w:color w:val="333333"/>
                <w:sz w:val="22"/>
                <w:szCs w:val="22"/>
              </w:rPr>
              <w:t xml:space="preserve">General damage business generated 10.5% of the non-life direct premium volume in 2018. 34 insurance companies </w:t>
            </w:r>
            <w:proofErr w:type="gramStart"/>
            <w:r w:rsidRPr="00342B8B">
              <w:rPr>
                <w:rFonts w:ascii="Century" w:hAnsi="Century"/>
                <w:color w:val="333333"/>
                <w:sz w:val="22"/>
                <w:szCs w:val="22"/>
              </w:rPr>
              <w:t>has</w:t>
            </w:r>
            <w:proofErr w:type="gramEnd"/>
            <w:r w:rsidRPr="00342B8B">
              <w:rPr>
                <w:rFonts w:ascii="Century" w:hAnsi="Century"/>
                <w:color w:val="333333"/>
                <w:sz w:val="22"/>
                <w:szCs w:val="22"/>
              </w:rPr>
              <w:t xml:space="preserve"> operated at that business and </w:t>
            </w:r>
            <w:r w:rsidRPr="00EA3A19">
              <w:rPr>
                <w:rFonts w:ascii="Century" w:hAnsi="Century"/>
                <w:color w:val="333333"/>
                <w:sz w:val="22"/>
                <w:szCs w:val="22"/>
              </w:rPr>
              <w:t xml:space="preserve">issued 7,526,868 policies, 1,756,428 of which were in the state subsidized agriculture insurance. </w:t>
            </w:r>
          </w:p>
          <w:p w:rsidR="007909D7" w:rsidRPr="00B10D90" w:rsidRDefault="007909D7" w:rsidP="00244A2D">
            <w:pPr>
              <w:jc w:val="both"/>
              <w:rPr>
                <w:rFonts w:ascii="Century" w:hAnsi="Century"/>
                <w:color w:val="333333"/>
                <w:sz w:val="22"/>
                <w:szCs w:val="22"/>
                <w:highlight w:val="yellow"/>
              </w:rPr>
            </w:pPr>
          </w:p>
          <w:p w:rsidR="007909D7" w:rsidRPr="00B10D90" w:rsidRDefault="007909D7" w:rsidP="0059532A">
            <w:pPr>
              <w:jc w:val="both"/>
              <w:rPr>
                <w:rFonts w:ascii="Century" w:hAnsi="Century"/>
                <w:color w:val="333333"/>
                <w:sz w:val="22"/>
                <w:szCs w:val="22"/>
                <w:highlight w:val="yellow"/>
              </w:rPr>
            </w:pPr>
            <w:r w:rsidRPr="00EA3A19">
              <w:rPr>
                <w:rFonts w:ascii="Century" w:hAnsi="Century"/>
                <w:color w:val="333333"/>
                <w:sz w:val="22"/>
                <w:szCs w:val="22"/>
              </w:rPr>
              <w:t>Total number of policies in general damage business reached 18.479.8</w:t>
            </w:r>
            <w:r>
              <w:rPr>
                <w:rFonts w:ascii="Century" w:hAnsi="Century"/>
                <w:color w:val="333333"/>
                <w:sz w:val="22"/>
                <w:szCs w:val="22"/>
              </w:rPr>
              <w:t>41</w:t>
            </w:r>
            <w:r w:rsidRPr="00EA3A19">
              <w:rPr>
                <w:rFonts w:ascii="Century" w:hAnsi="Century"/>
                <w:color w:val="333333"/>
                <w:sz w:val="22"/>
                <w:szCs w:val="22"/>
              </w:rPr>
              <w:t xml:space="preserve"> along with general damages coverage which is given by some other lines of business as an additional cover. </w:t>
            </w:r>
          </w:p>
        </w:tc>
      </w:tr>
      <w:tr w:rsidR="007909D7" w:rsidRPr="00B10D90" w:rsidTr="00441D50">
        <w:trPr>
          <w:gridAfter w:val="1"/>
          <w:wAfter w:w="20" w:type="dxa"/>
        </w:trPr>
        <w:tc>
          <w:tcPr>
            <w:tcW w:w="4760" w:type="dxa"/>
          </w:tcPr>
          <w:p w:rsidR="007909D7" w:rsidRPr="00B10D90" w:rsidRDefault="007909D7" w:rsidP="00D974D6">
            <w:pPr>
              <w:pStyle w:val="Heading3"/>
              <w:keepNext w:val="0"/>
              <w:numPr>
                <w:ilvl w:val="0"/>
                <w:numId w:val="0"/>
              </w:numPr>
              <w:spacing w:before="0" w:after="0"/>
              <w:jc w:val="both"/>
              <w:rPr>
                <w:rFonts w:ascii="Century" w:hAnsi="Century"/>
                <w:color w:val="000080"/>
                <w:sz w:val="20"/>
                <w:szCs w:val="20"/>
                <w:highlight w:val="yellow"/>
              </w:rPr>
            </w:pPr>
          </w:p>
        </w:tc>
        <w:tc>
          <w:tcPr>
            <w:tcW w:w="273" w:type="dxa"/>
            <w:gridSpan w:val="6"/>
          </w:tcPr>
          <w:p w:rsidR="007909D7" w:rsidRPr="00B10D90" w:rsidRDefault="007909D7" w:rsidP="00700CE3">
            <w:pPr>
              <w:rPr>
                <w:rFonts w:ascii="Century" w:hAnsi="Century"/>
                <w:sz w:val="20"/>
                <w:szCs w:val="20"/>
                <w:highlight w:val="yellow"/>
              </w:rPr>
            </w:pPr>
          </w:p>
        </w:tc>
        <w:tc>
          <w:tcPr>
            <w:tcW w:w="4805" w:type="dxa"/>
            <w:gridSpan w:val="8"/>
          </w:tcPr>
          <w:p w:rsidR="007909D7" w:rsidRPr="00B10D90" w:rsidRDefault="007909D7" w:rsidP="00700CE3">
            <w:pPr>
              <w:jc w:val="both"/>
              <w:rPr>
                <w:rFonts w:ascii="Century" w:hAnsi="Century"/>
                <w:b/>
                <w:color w:val="003366"/>
                <w:sz w:val="20"/>
                <w:szCs w:val="20"/>
                <w:highlight w:val="yellow"/>
              </w:rPr>
            </w:pPr>
          </w:p>
        </w:tc>
      </w:tr>
      <w:tr w:rsidR="007909D7" w:rsidRPr="00B10D90" w:rsidTr="00441D50">
        <w:trPr>
          <w:gridAfter w:val="1"/>
          <w:wAfter w:w="20" w:type="dxa"/>
        </w:trPr>
        <w:tc>
          <w:tcPr>
            <w:tcW w:w="9838" w:type="dxa"/>
            <w:gridSpan w:val="15"/>
          </w:tcPr>
          <w:p w:rsidR="007909D7" w:rsidRPr="00EA3A19" w:rsidRDefault="007909D7" w:rsidP="002968F6">
            <w:pPr>
              <w:pStyle w:val="Caption"/>
              <w:jc w:val="center"/>
              <w:rPr>
                <w:rFonts w:ascii="Century" w:hAnsi="Century"/>
                <w:color w:val="000080"/>
              </w:rPr>
            </w:pPr>
            <w:r w:rsidRPr="00EA3A19">
              <w:rPr>
                <w:rFonts w:ascii="Century" w:hAnsi="Century"/>
                <w:color w:val="000080"/>
              </w:rPr>
              <w:t>Tablo 4.2.11: Genel Zararlar Branşı Üretim Bilgileri</w:t>
            </w:r>
          </w:p>
          <w:p w:rsidR="007909D7" w:rsidRDefault="007909D7" w:rsidP="002968F6">
            <w:pPr>
              <w:pStyle w:val="Caption"/>
              <w:jc w:val="center"/>
              <w:rPr>
                <w:rFonts w:ascii="Century" w:hAnsi="Century"/>
                <w:b w:val="0"/>
                <w:i/>
                <w:color w:val="000080"/>
              </w:rPr>
            </w:pPr>
            <w:r w:rsidRPr="00EA3A19">
              <w:rPr>
                <w:rFonts w:ascii="Century" w:hAnsi="Century"/>
                <w:b w:val="0"/>
                <w:i/>
                <w:color w:val="000080"/>
              </w:rPr>
              <w:t>Policy, Premium and Losses Figures of General Damages</w:t>
            </w:r>
          </w:p>
          <w:p w:rsidR="007909D7" w:rsidRDefault="007909D7" w:rsidP="00EB73DD">
            <w:r>
              <w:rPr>
                <w:noProof/>
              </w:rPr>
              <w:drawing>
                <wp:inline distT="0" distB="0" distL="0" distR="0" wp14:anchorId="081E079F" wp14:editId="0317263F">
                  <wp:extent cx="6106602" cy="1661823"/>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6795" cy="1661876"/>
                          </a:xfrm>
                          <a:prstGeom prst="rect">
                            <a:avLst/>
                          </a:prstGeom>
                          <a:noFill/>
                          <a:ln>
                            <a:noFill/>
                          </a:ln>
                        </pic:spPr>
                      </pic:pic>
                    </a:graphicData>
                  </a:graphic>
                </wp:inline>
              </w:drawing>
            </w:r>
          </w:p>
          <w:p w:rsidR="007909D7" w:rsidRPr="00EA3A19" w:rsidRDefault="007909D7" w:rsidP="00EA3A19">
            <w:pPr>
              <w:rPr>
                <w:rFonts w:ascii="Century" w:hAnsi="Century"/>
                <w:b/>
                <w:color w:val="003366"/>
                <w:sz w:val="22"/>
                <w:szCs w:val="22"/>
              </w:rPr>
            </w:pPr>
          </w:p>
        </w:tc>
      </w:tr>
      <w:tr w:rsidR="007909D7" w:rsidRPr="00B10D90" w:rsidTr="00441D50">
        <w:trPr>
          <w:gridAfter w:val="1"/>
          <w:wAfter w:w="20" w:type="dxa"/>
        </w:trPr>
        <w:tc>
          <w:tcPr>
            <w:tcW w:w="4760" w:type="dxa"/>
          </w:tcPr>
          <w:p w:rsidR="007909D7" w:rsidRPr="00EA3A19" w:rsidRDefault="007909D7" w:rsidP="000E417F">
            <w:pPr>
              <w:jc w:val="both"/>
              <w:rPr>
                <w:rFonts w:ascii="Century" w:hAnsi="Century"/>
                <w:sz w:val="22"/>
                <w:szCs w:val="22"/>
              </w:rPr>
            </w:pPr>
            <w:r w:rsidRPr="00EA3A19">
              <w:rPr>
                <w:rFonts w:ascii="Century" w:hAnsi="Century"/>
                <w:sz w:val="22"/>
                <w:szCs w:val="22"/>
              </w:rPr>
              <w:t>Genel Zararlar Branşı içinde Mühendislik Sigortaları hem poliçe sayısı hem de prim ve tazminat tutarı açısından en yüksek paya sahiptir.</w:t>
            </w:r>
          </w:p>
          <w:p w:rsidR="007909D7" w:rsidRPr="00B10D90" w:rsidRDefault="007909D7" w:rsidP="00D974D6">
            <w:pPr>
              <w:pStyle w:val="Heading3"/>
              <w:keepNext w:val="0"/>
              <w:numPr>
                <w:ilvl w:val="0"/>
                <w:numId w:val="0"/>
              </w:numPr>
              <w:spacing w:before="0" w:after="0"/>
              <w:jc w:val="both"/>
              <w:rPr>
                <w:rFonts w:ascii="Century" w:hAnsi="Century"/>
                <w:color w:val="000080"/>
                <w:sz w:val="22"/>
                <w:szCs w:val="22"/>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A919D7">
            <w:pPr>
              <w:jc w:val="both"/>
              <w:rPr>
                <w:rFonts w:ascii="Century" w:hAnsi="Century"/>
                <w:b/>
                <w:color w:val="003366"/>
                <w:sz w:val="22"/>
                <w:szCs w:val="22"/>
                <w:highlight w:val="yellow"/>
              </w:rPr>
            </w:pPr>
            <w:r w:rsidRPr="00EA3A19">
              <w:rPr>
                <w:rFonts w:ascii="Century" w:hAnsi="Century"/>
                <w:color w:val="333333"/>
                <w:sz w:val="22"/>
                <w:szCs w:val="22"/>
              </w:rPr>
              <w:t>In the general damage business, engineering insurance has the largest share in terms of total claim payments, written premium and also the number of policies issued.</w:t>
            </w:r>
          </w:p>
        </w:tc>
      </w:tr>
      <w:tr w:rsidR="007909D7" w:rsidRPr="00B10D90" w:rsidTr="00441D50">
        <w:trPr>
          <w:gridAfter w:val="1"/>
          <w:wAfter w:w="20" w:type="dxa"/>
        </w:trPr>
        <w:tc>
          <w:tcPr>
            <w:tcW w:w="9838" w:type="dxa"/>
            <w:gridSpan w:val="15"/>
          </w:tcPr>
          <w:p w:rsidR="007909D7" w:rsidRPr="00EA3A19" w:rsidRDefault="007909D7" w:rsidP="002968F6">
            <w:pPr>
              <w:pStyle w:val="Caption"/>
              <w:jc w:val="center"/>
              <w:rPr>
                <w:rFonts w:ascii="Century" w:hAnsi="Century"/>
                <w:b w:val="0"/>
                <w:color w:val="000080"/>
              </w:rPr>
            </w:pPr>
            <w:r w:rsidRPr="00EA3A19">
              <w:rPr>
                <w:rFonts w:ascii="Century" w:hAnsi="Century"/>
                <w:color w:val="000080"/>
              </w:rPr>
              <w:t>Grafik 4.2.13: Genel Zararlar Branşı Üretim Bilgileri Yüzdeleri</w:t>
            </w:r>
          </w:p>
          <w:p w:rsidR="007909D7" w:rsidRPr="00EA3A19" w:rsidRDefault="007909D7" w:rsidP="002968F6">
            <w:pPr>
              <w:pStyle w:val="Caption"/>
              <w:jc w:val="center"/>
              <w:rPr>
                <w:rFonts w:ascii="Century" w:hAnsi="Century"/>
                <w:b w:val="0"/>
                <w:i/>
                <w:color w:val="000080"/>
              </w:rPr>
            </w:pPr>
            <w:r w:rsidRPr="00EA3A19">
              <w:rPr>
                <w:rFonts w:ascii="Century" w:hAnsi="Century"/>
                <w:b w:val="0"/>
                <w:i/>
                <w:color w:val="000080"/>
              </w:rPr>
              <w:t>Policy, Premium and Losses Figures as Percentage of General Damages</w:t>
            </w:r>
          </w:p>
          <w:p w:rsidR="007909D7" w:rsidRPr="00EA3A19" w:rsidRDefault="007909D7" w:rsidP="00EA3A19">
            <w:pPr>
              <w:rPr>
                <w:rFonts w:ascii="Century" w:hAnsi="Century"/>
                <w:b/>
                <w:color w:val="003366"/>
                <w:sz w:val="22"/>
                <w:szCs w:val="22"/>
              </w:rPr>
            </w:pPr>
            <w:r w:rsidRPr="00EA3A19">
              <w:rPr>
                <w:rFonts w:ascii="Century" w:hAnsi="Century"/>
                <w:b/>
                <w:noProof/>
                <w:color w:val="003366"/>
                <w:sz w:val="22"/>
                <w:szCs w:val="22"/>
              </w:rPr>
              <w:drawing>
                <wp:inline distT="0" distB="0" distL="0" distR="0" wp14:anchorId="2A22FD4E" wp14:editId="1B5C5895">
                  <wp:extent cx="5971429" cy="2981739"/>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71540" cy="2981794"/>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B10D90" w:rsidRDefault="007909D7" w:rsidP="00486895">
            <w:pPr>
              <w:jc w:val="both"/>
              <w:rPr>
                <w:rFonts w:ascii="Century" w:hAnsi="Century"/>
                <w:color w:val="000080"/>
                <w:sz w:val="20"/>
                <w:szCs w:val="20"/>
                <w:highlight w:val="yellow"/>
              </w:rPr>
            </w:pPr>
            <w:r w:rsidRPr="00623E53">
              <w:rPr>
                <w:rFonts w:ascii="Century" w:hAnsi="Century"/>
                <w:sz w:val="22"/>
                <w:szCs w:val="22"/>
              </w:rPr>
              <w:lastRenderedPageBreak/>
              <w:t xml:space="preserve">Genel Zararlar Branşı içinde yer alan ve birden fazla alt branşa sahip olan Tarım Sigortaları grubunda police ve prim  dağılımına göre Devlet Destekli (DD) Tarım Sigortaları en yüksek paya sahiptir. DD Tarım Sigortalarına ilişkin veriler Raporun 2.2. </w:t>
            </w:r>
            <w:proofErr w:type="gramStart"/>
            <w:r w:rsidRPr="00623E53">
              <w:rPr>
                <w:rFonts w:ascii="Century" w:hAnsi="Century"/>
                <w:sz w:val="22"/>
                <w:szCs w:val="22"/>
              </w:rPr>
              <w:t>numaralı</w:t>
            </w:r>
            <w:proofErr w:type="gramEnd"/>
            <w:r w:rsidRPr="00623E53">
              <w:rPr>
                <w:rFonts w:ascii="Century" w:hAnsi="Century"/>
                <w:sz w:val="22"/>
                <w:szCs w:val="22"/>
              </w:rPr>
              <w:t xml:space="preserve"> bölümünde detaylı olarak açıklanmıştır.</w:t>
            </w: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D73651">
            <w:pPr>
              <w:jc w:val="both"/>
              <w:rPr>
                <w:rFonts w:ascii="Century" w:hAnsi="Century"/>
                <w:b/>
                <w:color w:val="003366"/>
                <w:sz w:val="22"/>
                <w:szCs w:val="22"/>
                <w:highlight w:val="yellow"/>
              </w:rPr>
            </w:pPr>
            <w:r w:rsidRPr="00623E53">
              <w:rPr>
                <w:rFonts w:ascii="Century" w:hAnsi="Century"/>
                <w:color w:val="333333"/>
                <w:sz w:val="22"/>
                <w:szCs w:val="22"/>
              </w:rPr>
              <w:t>Subsidized agriculture insurances hold a significant portion in terms of policy numbers and premium production among agricultural insurance group in the general damages lines. Detailed information about subsidized agricultural insurance is also given in the Section 2.2 of the Report.</w:t>
            </w:r>
          </w:p>
        </w:tc>
      </w:tr>
      <w:tr w:rsidR="007909D7" w:rsidRPr="00B10D90" w:rsidTr="00441D50">
        <w:trPr>
          <w:gridAfter w:val="1"/>
          <w:wAfter w:w="20" w:type="dxa"/>
        </w:trPr>
        <w:tc>
          <w:tcPr>
            <w:tcW w:w="9838" w:type="dxa"/>
            <w:gridSpan w:val="15"/>
          </w:tcPr>
          <w:p w:rsidR="007909D7" w:rsidRPr="00623E53" w:rsidRDefault="007909D7" w:rsidP="002968F6">
            <w:pPr>
              <w:jc w:val="center"/>
              <w:rPr>
                <w:rFonts w:ascii="Century" w:hAnsi="Century"/>
                <w:i/>
                <w:sz w:val="20"/>
                <w:szCs w:val="20"/>
              </w:rPr>
            </w:pPr>
            <w:r w:rsidRPr="00623E53">
              <w:rPr>
                <w:rFonts w:ascii="Century" w:hAnsi="Century"/>
                <w:b/>
                <w:color w:val="000080"/>
                <w:sz w:val="20"/>
                <w:szCs w:val="20"/>
              </w:rPr>
              <w:t>Tablo 4.2.12: Tarım Sigortaları Üretim Bilgileri</w:t>
            </w:r>
          </w:p>
          <w:p w:rsidR="007909D7" w:rsidRPr="00623E53" w:rsidRDefault="007909D7" w:rsidP="002968F6">
            <w:pPr>
              <w:jc w:val="center"/>
              <w:rPr>
                <w:rFonts w:ascii="Century" w:hAnsi="Century"/>
                <w:i/>
                <w:color w:val="000080"/>
                <w:sz w:val="20"/>
                <w:szCs w:val="20"/>
              </w:rPr>
            </w:pPr>
            <w:r w:rsidRPr="00623E53">
              <w:rPr>
                <w:rFonts w:ascii="Century" w:hAnsi="Century"/>
                <w:i/>
                <w:color w:val="000080"/>
                <w:sz w:val="20"/>
                <w:szCs w:val="20"/>
              </w:rPr>
              <w:t>Policy, Premium and Losses Figures in Agricultural Insurance</w:t>
            </w:r>
          </w:p>
          <w:p w:rsidR="007909D7" w:rsidRPr="00623E53" w:rsidRDefault="007909D7" w:rsidP="001613BB">
            <w:pPr>
              <w:jc w:val="center"/>
              <w:rPr>
                <w:rFonts w:ascii="Century" w:hAnsi="Century"/>
                <w:b/>
                <w:color w:val="003366"/>
                <w:sz w:val="22"/>
                <w:szCs w:val="22"/>
              </w:rPr>
            </w:pPr>
            <w:r w:rsidRPr="00623E53">
              <w:rPr>
                <w:rFonts w:ascii="Century" w:hAnsi="Century"/>
                <w:b/>
                <w:noProof/>
                <w:color w:val="003366"/>
                <w:sz w:val="22"/>
                <w:szCs w:val="22"/>
              </w:rPr>
              <w:drawing>
                <wp:inline distT="0" distB="0" distL="0" distR="0" wp14:anchorId="40BEFBEF" wp14:editId="79D3D550">
                  <wp:extent cx="6106795" cy="2695575"/>
                  <wp:effectExtent l="0" t="0" r="825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6795" cy="2695575"/>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623E53" w:rsidRDefault="007909D7" w:rsidP="000E417F">
            <w:pPr>
              <w:jc w:val="both"/>
              <w:rPr>
                <w:rFonts w:ascii="Century" w:hAnsi="Century"/>
                <w:highlight w:val="yellow"/>
              </w:rPr>
            </w:pPr>
          </w:p>
          <w:p w:rsidR="007909D7" w:rsidRDefault="007909D7" w:rsidP="00C30B33">
            <w:pPr>
              <w:jc w:val="both"/>
              <w:rPr>
                <w:rFonts w:ascii="Century" w:hAnsi="Century"/>
                <w:sz w:val="22"/>
                <w:szCs w:val="22"/>
              </w:rPr>
            </w:pPr>
            <w:r w:rsidRPr="00623E53">
              <w:rPr>
                <w:rFonts w:ascii="Century" w:hAnsi="Century"/>
                <w:sz w:val="22"/>
                <w:szCs w:val="22"/>
              </w:rPr>
              <w:t>Prim üretimine göre branş içinde en büyük paya sahip olan Mühendislik Sigortaları, Genel Zararlar Branşı içinde ayrı bir bölüm olarak incelenmiştir. Mühendislik grubunda yer alan sigortalara ilişkin bilgiler aşağıdaki tabloda verilmiştir.</w:t>
            </w:r>
          </w:p>
          <w:p w:rsidR="007909D7" w:rsidRPr="00623E53" w:rsidRDefault="007909D7" w:rsidP="00C30B33">
            <w:pPr>
              <w:jc w:val="both"/>
              <w:rPr>
                <w:rFonts w:ascii="Century" w:hAnsi="Century"/>
                <w:sz w:val="22"/>
                <w:szCs w:val="22"/>
              </w:rPr>
            </w:pPr>
          </w:p>
          <w:p w:rsidR="007909D7" w:rsidRPr="00B10D90" w:rsidRDefault="007909D7" w:rsidP="00C30B33">
            <w:pPr>
              <w:jc w:val="both"/>
              <w:rPr>
                <w:rFonts w:ascii="Century" w:hAnsi="Century"/>
                <w:color w:val="000080"/>
                <w:sz w:val="10"/>
                <w:szCs w:val="10"/>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623E53" w:rsidRDefault="007909D7" w:rsidP="00DF1D76">
            <w:pPr>
              <w:jc w:val="both"/>
              <w:rPr>
                <w:rFonts w:ascii="Century" w:hAnsi="Century"/>
                <w:color w:val="333333"/>
                <w:highlight w:val="yellow"/>
              </w:rPr>
            </w:pPr>
          </w:p>
          <w:p w:rsidR="007909D7" w:rsidRPr="00B10D90" w:rsidRDefault="007909D7" w:rsidP="00C30B33">
            <w:pPr>
              <w:jc w:val="both"/>
              <w:rPr>
                <w:rFonts w:ascii="Century" w:hAnsi="Century"/>
                <w:b/>
                <w:color w:val="003366"/>
                <w:sz w:val="20"/>
                <w:szCs w:val="20"/>
                <w:highlight w:val="yellow"/>
              </w:rPr>
            </w:pPr>
            <w:r w:rsidRPr="00623E53">
              <w:rPr>
                <w:rFonts w:ascii="Century" w:hAnsi="Century"/>
                <w:color w:val="333333"/>
                <w:sz w:val="22"/>
                <w:szCs w:val="22"/>
              </w:rPr>
              <w:t>Engineering insurance having the biggest share in general damages line of business, has been analyzed separately. The following table provides detailed information on insurance types taking place in engineering insurance within general damages LoB.</w:t>
            </w:r>
          </w:p>
        </w:tc>
      </w:tr>
      <w:tr w:rsidR="007909D7" w:rsidRPr="00B10D90" w:rsidTr="00441D50">
        <w:trPr>
          <w:gridAfter w:val="1"/>
          <w:wAfter w:w="20" w:type="dxa"/>
        </w:trPr>
        <w:tc>
          <w:tcPr>
            <w:tcW w:w="9838" w:type="dxa"/>
            <w:gridSpan w:val="15"/>
            <w:shd w:val="clear" w:color="auto" w:fill="auto"/>
          </w:tcPr>
          <w:p w:rsidR="007909D7" w:rsidRPr="00623E53" w:rsidRDefault="007909D7" w:rsidP="00DF1D76">
            <w:pPr>
              <w:jc w:val="center"/>
              <w:rPr>
                <w:rFonts w:ascii="Century" w:hAnsi="Century"/>
                <w:b/>
                <w:sz w:val="20"/>
                <w:szCs w:val="20"/>
              </w:rPr>
            </w:pPr>
            <w:r w:rsidRPr="00623E53">
              <w:rPr>
                <w:rFonts w:ascii="Century" w:hAnsi="Century"/>
                <w:b/>
                <w:color w:val="333399"/>
                <w:sz w:val="20"/>
                <w:szCs w:val="20"/>
              </w:rPr>
              <w:t>Tablo 4.2.13: Mühendislik Sigortaları Üretim Bilgileri</w:t>
            </w:r>
          </w:p>
          <w:p w:rsidR="007909D7" w:rsidRPr="00623E53" w:rsidRDefault="007909D7" w:rsidP="00DF1D76">
            <w:pPr>
              <w:jc w:val="center"/>
              <w:rPr>
                <w:rFonts w:ascii="Century" w:hAnsi="Century"/>
                <w:i/>
                <w:color w:val="000080"/>
                <w:sz w:val="20"/>
                <w:szCs w:val="20"/>
              </w:rPr>
            </w:pPr>
            <w:r w:rsidRPr="00623E53">
              <w:rPr>
                <w:rFonts w:ascii="Century" w:hAnsi="Century"/>
                <w:i/>
                <w:color w:val="000080"/>
                <w:sz w:val="20"/>
                <w:szCs w:val="20"/>
              </w:rPr>
              <w:t>Policy, Premium and Losses Figures of Engineering Insurances</w:t>
            </w:r>
          </w:p>
          <w:p w:rsidR="007909D7" w:rsidRPr="00623E53" w:rsidRDefault="007909D7" w:rsidP="00DF1D76">
            <w:pPr>
              <w:jc w:val="center"/>
              <w:rPr>
                <w:rFonts w:ascii="Century" w:hAnsi="Century"/>
                <w:i/>
                <w:color w:val="000080"/>
                <w:sz w:val="20"/>
                <w:szCs w:val="20"/>
              </w:rPr>
            </w:pPr>
            <w:r w:rsidRPr="00623E53">
              <w:rPr>
                <w:rFonts w:ascii="Century" w:hAnsi="Century"/>
                <w:i/>
                <w:noProof/>
                <w:color w:val="000080"/>
                <w:sz w:val="20"/>
                <w:szCs w:val="20"/>
              </w:rPr>
              <w:drawing>
                <wp:inline distT="0" distB="0" distL="0" distR="0" wp14:anchorId="4EAB67EE" wp14:editId="20BEF7B2">
                  <wp:extent cx="5613400" cy="1454785"/>
                  <wp:effectExtent l="0" t="0" r="635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3400" cy="1454785"/>
                          </a:xfrm>
                          <a:prstGeom prst="rect">
                            <a:avLst/>
                          </a:prstGeom>
                          <a:noFill/>
                          <a:ln>
                            <a:noFill/>
                          </a:ln>
                        </pic:spPr>
                      </pic:pic>
                    </a:graphicData>
                  </a:graphic>
                </wp:inline>
              </w:drawing>
            </w:r>
          </w:p>
          <w:p w:rsidR="007909D7" w:rsidRPr="00623E53" w:rsidRDefault="007909D7" w:rsidP="00700CE3">
            <w:pPr>
              <w:jc w:val="both"/>
              <w:rPr>
                <w:rFonts w:ascii="Century" w:hAnsi="Century"/>
                <w:b/>
                <w:color w:val="003366"/>
                <w:sz w:val="20"/>
                <w:szCs w:val="20"/>
              </w:rPr>
            </w:pPr>
          </w:p>
        </w:tc>
      </w:tr>
      <w:tr w:rsidR="007909D7" w:rsidRPr="00B10D90" w:rsidTr="00441D50">
        <w:trPr>
          <w:gridAfter w:val="1"/>
          <w:wAfter w:w="20" w:type="dxa"/>
        </w:trPr>
        <w:tc>
          <w:tcPr>
            <w:tcW w:w="4760" w:type="dxa"/>
          </w:tcPr>
          <w:p w:rsidR="007909D7" w:rsidRDefault="007909D7" w:rsidP="00162220">
            <w:pPr>
              <w:jc w:val="both"/>
              <w:rPr>
                <w:rFonts w:ascii="Century" w:hAnsi="Century"/>
                <w:sz w:val="22"/>
                <w:szCs w:val="22"/>
              </w:rPr>
            </w:pPr>
            <w:r w:rsidRPr="00623E53">
              <w:rPr>
                <w:rFonts w:ascii="Century" w:hAnsi="Century"/>
                <w:sz w:val="22"/>
                <w:szCs w:val="22"/>
              </w:rPr>
              <w:t>Mühendislik Sigortaları içinde sözleşme sayısı açısından Elektronik Cihaz Sigortaları en yüksek paya sahip iken, prim ve ödenen tazminat bakımından Makine Kırılması Sigortası ilk sırada yer almaktadır.</w:t>
            </w:r>
          </w:p>
          <w:p w:rsidR="007909D7" w:rsidRPr="00623E53" w:rsidRDefault="007909D7" w:rsidP="00162220">
            <w:pPr>
              <w:jc w:val="both"/>
              <w:rPr>
                <w:rFonts w:ascii="Century" w:hAnsi="Century"/>
                <w:sz w:val="22"/>
                <w:szCs w:val="22"/>
              </w:rPr>
            </w:pPr>
          </w:p>
        </w:tc>
        <w:tc>
          <w:tcPr>
            <w:tcW w:w="273" w:type="dxa"/>
            <w:gridSpan w:val="6"/>
          </w:tcPr>
          <w:p w:rsidR="007909D7" w:rsidRPr="00623E53" w:rsidRDefault="007909D7" w:rsidP="00700CE3">
            <w:pPr>
              <w:rPr>
                <w:rFonts w:ascii="Century" w:hAnsi="Century"/>
              </w:rPr>
            </w:pPr>
          </w:p>
        </w:tc>
        <w:tc>
          <w:tcPr>
            <w:tcW w:w="4805" w:type="dxa"/>
            <w:gridSpan w:val="8"/>
          </w:tcPr>
          <w:p w:rsidR="007909D7" w:rsidRPr="00623E53" w:rsidRDefault="007909D7" w:rsidP="00700CE3">
            <w:pPr>
              <w:jc w:val="both"/>
              <w:rPr>
                <w:rFonts w:ascii="Century" w:hAnsi="Century"/>
                <w:color w:val="404040"/>
                <w:sz w:val="22"/>
                <w:szCs w:val="22"/>
              </w:rPr>
            </w:pPr>
            <w:r w:rsidRPr="00623E53">
              <w:rPr>
                <w:rFonts w:ascii="Century" w:hAnsi="Century"/>
                <w:color w:val="404040"/>
                <w:sz w:val="22"/>
                <w:szCs w:val="22"/>
              </w:rPr>
              <w:t>While electronic equipment insurance has the greatest share in terms of policy numbers in engineering insurance, machinery breakdown insurance holds the first rank in terms of claim payments and premiums.</w:t>
            </w:r>
          </w:p>
        </w:tc>
      </w:tr>
      <w:tr w:rsidR="007909D7" w:rsidRPr="00B10D90" w:rsidTr="00441D50">
        <w:trPr>
          <w:gridAfter w:val="1"/>
          <w:wAfter w:w="20" w:type="dxa"/>
        </w:trPr>
        <w:tc>
          <w:tcPr>
            <w:tcW w:w="9838" w:type="dxa"/>
            <w:gridSpan w:val="15"/>
          </w:tcPr>
          <w:p w:rsidR="007909D7" w:rsidRPr="00D276B3" w:rsidRDefault="007909D7" w:rsidP="00DF1D76">
            <w:pPr>
              <w:jc w:val="center"/>
              <w:rPr>
                <w:rFonts w:ascii="Century" w:hAnsi="Century"/>
                <w:b/>
                <w:sz w:val="20"/>
                <w:szCs w:val="20"/>
              </w:rPr>
            </w:pPr>
            <w:r w:rsidRPr="00D276B3">
              <w:rPr>
                <w:rFonts w:ascii="Century" w:hAnsi="Century"/>
                <w:b/>
                <w:color w:val="000080"/>
                <w:sz w:val="20"/>
                <w:szCs w:val="20"/>
              </w:rPr>
              <w:lastRenderedPageBreak/>
              <w:t>Grafik 4.2.14: Mühendislik Sigortaları Üretim Verileri Yüzdeleri</w:t>
            </w:r>
          </w:p>
          <w:p w:rsidR="007909D7" w:rsidRDefault="007909D7" w:rsidP="00DF1D76">
            <w:pPr>
              <w:jc w:val="center"/>
              <w:rPr>
                <w:rFonts w:ascii="Century" w:hAnsi="Century"/>
                <w:i/>
                <w:color w:val="000080"/>
                <w:sz w:val="20"/>
                <w:szCs w:val="20"/>
              </w:rPr>
            </w:pPr>
            <w:r w:rsidRPr="00D276B3">
              <w:rPr>
                <w:rFonts w:ascii="Century" w:hAnsi="Century"/>
                <w:i/>
                <w:color w:val="000080"/>
                <w:sz w:val="20"/>
                <w:szCs w:val="20"/>
              </w:rPr>
              <w:t>Policy, Premium and Losses Figures as Pecrentage in General Damages Insurance</w:t>
            </w:r>
          </w:p>
          <w:p w:rsidR="007909D7" w:rsidRPr="00D276B3" w:rsidRDefault="007909D7" w:rsidP="00E874C3">
            <w:pPr>
              <w:jc w:val="center"/>
              <w:rPr>
                <w:rFonts w:ascii="Century" w:hAnsi="Century"/>
                <w:b/>
                <w:color w:val="003366"/>
                <w:sz w:val="22"/>
                <w:szCs w:val="22"/>
              </w:rPr>
            </w:pPr>
            <w:r>
              <w:rPr>
                <w:rFonts w:ascii="Century" w:hAnsi="Century"/>
                <w:i/>
                <w:noProof/>
                <w:color w:val="000080"/>
                <w:sz w:val="20"/>
                <w:szCs w:val="20"/>
              </w:rPr>
              <w:drawing>
                <wp:inline distT="0" distB="0" distL="0" distR="0" wp14:anchorId="59312029" wp14:editId="4CAB9D16">
                  <wp:extent cx="6106578" cy="1757239"/>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06795" cy="1757301"/>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6867B8" w:rsidRDefault="007909D7" w:rsidP="00D276B3">
            <w:pPr>
              <w:jc w:val="both"/>
              <w:rPr>
                <w:rFonts w:ascii="Century" w:hAnsi="Century"/>
                <w:sz w:val="22"/>
                <w:szCs w:val="22"/>
              </w:rPr>
            </w:pPr>
            <w:r w:rsidRPr="006867B8">
              <w:rPr>
                <w:rFonts w:ascii="Century" w:hAnsi="Century"/>
                <w:sz w:val="22"/>
                <w:szCs w:val="22"/>
              </w:rPr>
              <w:t>Mühendislik Sigortalarında son beş yıllık süreçte prim üretiminde sürekli bir artış gözlenmiş, ancak gerçekleşen tazminattaki yüksek oranlı artış teknik karlılığı olumsuz olarak etkilemiştir.</w:t>
            </w:r>
          </w:p>
        </w:tc>
        <w:tc>
          <w:tcPr>
            <w:tcW w:w="273" w:type="dxa"/>
            <w:gridSpan w:val="6"/>
          </w:tcPr>
          <w:p w:rsidR="007909D7" w:rsidRPr="006867B8" w:rsidRDefault="007909D7" w:rsidP="003A7612">
            <w:pPr>
              <w:rPr>
                <w:rFonts w:ascii="Century" w:hAnsi="Century"/>
              </w:rPr>
            </w:pPr>
          </w:p>
        </w:tc>
        <w:tc>
          <w:tcPr>
            <w:tcW w:w="4805" w:type="dxa"/>
            <w:gridSpan w:val="8"/>
          </w:tcPr>
          <w:p w:rsidR="006867B8" w:rsidRPr="006867B8" w:rsidRDefault="006867B8" w:rsidP="006867B8">
            <w:pPr>
              <w:jc w:val="both"/>
              <w:rPr>
                <w:rFonts w:ascii="Century" w:hAnsi="Century"/>
                <w:color w:val="333333"/>
                <w:sz w:val="22"/>
                <w:szCs w:val="22"/>
              </w:rPr>
            </w:pPr>
            <w:r w:rsidRPr="006867B8">
              <w:rPr>
                <w:rFonts w:ascii="Century" w:hAnsi="Century"/>
                <w:color w:val="333333"/>
                <w:sz w:val="22"/>
                <w:szCs w:val="22"/>
              </w:rPr>
              <w:t>In the last five years, a continuous rise was observed in premium production in engineering insurance but high level of increase in incurred loss negatively affected the technical balance.</w:t>
            </w:r>
          </w:p>
          <w:p w:rsidR="007909D7" w:rsidRPr="006867B8" w:rsidRDefault="007909D7" w:rsidP="00AB2DC2">
            <w:pPr>
              <w:jc w:val="both"/>
              <w:rPr>
                <w:rFonts w:ascii="Century" w:hAnsi="Century"/>
                <w:color w:val="333333"/>
                <w:sz w:val="6"/>
                <w:szCs w:val="6"/>
              </w:rPr>
            </w:pPr>
          </w:p>
        </w:tc>
      </w:tr>
      <w:tr w:rsidR="007909D7" w:rsidRPr="00B10D90" w:rsidTr="00441D50">
        <w:trPr>
          <w:gridAfter w:val="1"/>
          <w:wAfter w:w="20" w:type="dxa"/>
        </w:trPr>
        <w:tc>
          <w:tcPr>
            <w:tcW w:w="9838" w:type="dxa"/>
            <w:gridSpan w:val="15"/>
          </w:tcPr>
          <w:p w:rsidR="007909D7" w:rsidRPr="00D276B3" w:rsidRDefault="007909D7" w:rsidP="00DF1D76">
            <w:pPr>
              <w:jc w:val="center"/>
              <w:rPr>
                <w:rFonts w:ascii="Century" w:hAnsi="Century"/>
                <w:b/>
                <w:sz w:val="20"/>
                <w:szCs w:val="20"/>
              </w:rPr>
            </w:pPr>
            <w:r w:rsidRPr="00D276B3">
              <w:rPr>
                <w:rFonts w:ascii="Century" w:hAnsi="Century"/>
                <w:b/>
                <w:color w:val="000080"/>
                <w:sz w:val="20"/>
                <w:szCs w:val="20"/>
              </w:rPr>
              <w:t>Tablo 4.2.14: Mühendislik Sigortaları Teknik Verileri</w:t>
            </w:r>
          </w:p>
          <w:p w:rsidR="007909D7" w:rsidRPr="00D276B3" w:rsidRDefault="007909D7" w:rsidP="00DF1D76">
            <w:pPr>
              <w:jc w:val="center"/>
              <w:rPr>
                <w:rFonts w:ascii="Century" w:hAnsi="Century"/>
                <w:i/>
                <w:color w:val="000080"/>
                <w:sz w:val="20"/>
                <w:szCs w:val="20"/>
              </w:rPr>
            </w:pPr>
            <w:r w:rsidRPr="00D276B3">
              <w:rPr>
                <w:rFonts w:ascii="Century" w:hAnsi="Century"/>
                <w:i/>
                <w:color w:val="000080"/>
                <w:sz w:val="20"/>
                <w:szCs w:val="20"/>
              </w:rPr>
              <w:t>Technical Figures in Engineering Insurance</w:t>
            </w:r>
          </w:p>
          <w:p w:rsidR="007909D7" w:rsidRPr="00D276B3" w:rsidRDefault="007909D7" w:rsidP="00DF1D76">
            <w:pPr>
              <w:jc w:val="center"/>
              <w:rPr>
                <w:rFonts w:ascii="Century" w:hAnsi="Century"/>
                <w:i/>
                <w:color w:val="000080"/>
                <w:sz w:val="20"/>
                <w:szCs w:val="20"/>
              </w:rPr>
            </w:pPr>
            <w:r w:rsidRPr="00D276B3">
              <w:rPr>
                <w:rFonts w:ascii="Century" w:hAnsi="Century"/>
                <w:i/>
                <w:noProof/>
                <w:color w:val="000080"/>
                <w:sz w:val="20"/>
                <w:szCs w:val="20"/>
              </w:rPr>
              <w:drawing>
                <wp:inline distT="0" distB="0" distL="0" distR="0" wp14:anchorId="6EB626D0" wp14:editId="5CFBE0E3">
                  <wp:extent cx="6106197" cy="211504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06197" cy="2115047"/>
                          </a:xfrm>
                          <a:prstGeom prst="rect">
                            <a:avLst/>
                          </a:prstGeom>
                          <a:noFill/>
                          <a:ln>
                            <a:noFill/>
                          </a:ln>
                        </pic:spPr>
                      </pic:pic>
                    </a:graphicData>
                  </a:graphic>
                </wp:inline>
              </w:drawing>
            </w:r>
          </w:p>
          <w:p w:rsidR="007909D7" w:rsidRPr="00D276B3" w:rsidRDefault="007909D7" w:rsidP="00D276B3">
            <w:pPr>
              <w:rPr>
                <w:rFonts w:ascii="Century" w:hAnsi="Century"/>
                <w:i/>
                <w:sz w:val="16"/>
                <w:szCs w:val="16"/>
              </w:rPr>
            </w:pPr>
            <w:r w:rsidRPr="00D276B3">
              <w:rPr>
                <w:rFonts w:ascii="Century" w:hAnsi="Century"/>
                <w:sz w:val="16"/>
                <w:szCs w:val="16"/>
              </w:rPr>
              <w:t xml:space="preserve">(*) Dönem içinde tahakkuk eden komisyon tutarları. </w:t>
            </w:r>
            <w:r w:rsidRPr="00D276B3">
              <w:rPr>
                <w:rFonts w:ascii="Century" w:hAnsi="Century"/>
                <w:i/>
                <w:sz w:val="16"/>
                <w:szCs w:val="16"/>
              </w:rPr>
              <w:t>Commission amount incurred during the year</w:t>
            </w:r>
          </w:p>
          <w:p w:rsidR="007909D7" w:rsidRPr="00D276B3" w:rsidRDefault="007909D7" w:rsidP="00D276B3">
            <w:pPr>
              <w:rPr>
                <w:rFonts w:ascii="Century" w:hAnsi="Century"/>
                <w:b/>
                <w:color w:val="003366"/>
                <w:sz w:val="6"/>
                <w:szCs w:val="6"/>
              </w:rPr>
            </w:pPr>
          </w:p>
        </w:tc>
      </w:tr>
      <w:tr w:rsidR="007909D7" w:rsidRPr="00B10D90" w:rsidTr="00441D50">
        <w:trPr>
          <w:gridAfter w:val="1"/>
          <w:wAfter w:w="20" w:type="dxa"/>
        </w:trPr>
        <w:tc>
          <w:tcPr>
            <w:tcW w:w="4760" w:type="dxa"/>
          </w:tcPr>
          <w:p w:rsidR="007909D7" w:rsidRPr="006867B8" w:rsidRDefault="007909D7" w:rsidP="00D276B3">
            <w:pPr>
              <w:jc w:val="both"/>
              <w:rPr>
                <w:rFonts w:ascii="Century" w:hAnsi="Century"/>
                <w:sz w:val="10"/>
                <w:szCs w:val="10"/>
              </w:rPr>
            </w:pPr>
            <w:r w:rsidRPr="006867B8">
              <w:rPr>
                <w:rFonts w:ascii="Century" w:hAnsi="Century"/>
                <w:sz w:val="22"/>
                <w:szCs w:val="22"/>
              </w:rPr>
              <w:t>Mühendislik Sigortalarında masraf oranında son yıllarda önemli bir değişiklik gözlenmez iken, hasar oranında 2017 yılında 24 puanlık, 2018 yılında ise 4 puanlık artış yaşanmış, 2018 yılında teknik karlılık oranı 2,5 puan düşerek %6 olarak gerçekleşmiştir.</w:t>
            </w:r>
          </w:p>
        </w:tc>
        <w:tc>
          <w:tcPr>
            <w:tcW w:w="273" w:type="dxa"/>
            <w:gridSpan w:val="6"/>
          </w:tcPr>
          <w:p w:rsidR="007909D7" w:rsidRPr="006867B8" w:rsidRDefault="007909D7" w:rsidP="00700CE3">
            <w:pPr>
              <w:rPr>
                <w:rFonts w:ascii="Century" w:hAnsi="Century"/>
              </w:rPr>
            </w:pPr>
          </w:p>
        </w:tc>
        <w:tc>
          <w:tcPr>
            <w:tcW w:w="4805" w:type="dxa"/>
            <w:gridSpan w:val="8"/>
          </w:tcPr>
          <w:p w:rsidR="007909D7" w:rsidRPr="006867B8" w:rsidRDefault="006867B8" w:rsidP="006867B8">
            <w:pPr>
              <w:jc w:val="both"/>
              <w:rPr>
                <w:rFonts w:ascii="Century" w:hAnsi="Century"/>
                <w:b/>
                <w:color w:val="003366"/>
                <w:sz w:val="22"/>
                <w:szCs w:val="22"/>
              </w:rPr>
            </w:pPr>
            <w:r w:rsidRPr="006867B8">
              <w:rPr>
                <w:rFonts w:ascii="Century" w:hAnsi="Century"/>
                <w:color w:val="333333"/>
                <w:sz w:val="22"/>
                <w:szCs w:val="22"/>
              </w:rPr>
              <w:t>As it can be seen from</w:t>
            </w:r>
            <w:r w:rsidRPr="006867B8">
              <w:rPr>
                <w:rFonts w:ascii="Century" w:hAnsi="Century"/>
                <w:color w:val="333333"/>
                <w:sz w:val="22"/>
              </w:rPr>
              <w:t xml:space="preserve"> the </w:t>
            </w:r>
            <w:r w:rsidRPr="006867B8">
              <w:rPr>
                <w:rFonts w:ascii="Century" w:hAnsi="Century"/>
                <w:color w:val="333333"/>
                <w:sz w:val="22"/>
                <w:szCs w:val="22"/>
              </w:rPr>
              <w:t>graph below, while expense ratio did not change significantly</w:t>
            </w:r>
            <w:r w:rsidRPr="006867B8">
              <w:rPr>
                <w:rFonts w:ascii="Century" w:hAnsi="Century"/>
                <w:color w:val="333333"/>
                <w:sz w:val="22"/>
              </w:rPr>
              <w:t xml:space="preserve"> in engineering business in recent years, loss ratio increased by 24% and 4% in 2017 and 2018 respectively. Therefore, </w:t>
            </w:r>
            <w:r w:rsidRPr="006867B8">
              <w:rPr>
                <w:rFonts w:ascii="Century" w:hAnsi="Century"/>
                <w:color w:val="333333"/>
                <w:sz w:val="22"/>
                <w:szCs w:val="22"/>
              </w:rPr>
              <w:t>technical</w:t>
            </w:r>
            <w:r w:rsidRPr="006867B8">
              <w:rPr>
                <w:rFonts w:ascii="Century" w:hAnsi="Century"/>
                <w:color w:val="333333"/>
                <w:sz w:val="22"/>
              </w:rPr>
              <w:t xml:space="preserve"> profitability decreased by 2.5% and realized as 6% in 2018.</w:t>
            </w:r>
          </w:p>
        </w:tc>
      </w:tr>
      <w:tr w:rsidR="007909D7" w:rsidRPr="00B10D90" w:rsidTr="00441D50">
        <w:trPr>
          <w:gridAfter w:val="1"/>
          <w:wAfter w:w="20" w:type="dxa"/>
          <w:trHeight w:val="1800"/>
        </w:trPr>
        <w:tc>
          <w:tcPr>
            <w:tcW w:w="9838" w:type="dxa"/>
            <w:gridSpan w:val="15"/>
          </w:tcPr>
          <w:p w:rsidR="007909D7" w:rsidRPr="00D276B3" w:rsidRDefault="007909D7" w:rsidP="00DF1D76">
            <w:pPr>
              <w:jc w:val="center"/>
              <w:rPr>
                <w:rFonts w:ascii="Century" w:hAnsi="Century"/>
                <w:b/>
                <w:color w:val="000080"/>
                <w:sz w:val="20"/>
                <w:szCs w:val="20"/>
              </w:rPr>
            </w:pPr>
            <w:r w:rsidRPr="00D276B3">
              <w:rPr>
                <w:rFonts w:ascii="Century" w:hAnsi="Century"/>
                <w:b/>
                <w:color w:val="000080"/>
                <w:sz w:val="20"/>
                <w:szCs w:val="20"/>
              </w:rPr>
              <w:t>Grafik 4.2.15: Mühendislik Sigortaları Teknik Oranları (Brüt, %)</w:t>
            </w:r>
          </w:p>
          <w:p w:rsidR="007909D7" w:rsidRDefault="007909D7" w:rsidP="00DF1D76">
            <w:pPr>
              <w:jc w:val="center"/>
              <w:rPr>
                <w:rFonts w:ascii="Century" w:hAnsi="Century"/>
                <w:color w:val="000080"/>
                <w:sz w:val="20"/>
                <w:szCs w:val="20"/>
              </w:rPr>
            </w:pPr>
            <w:r w:rsidRPr="00D276B3">
              <w:rPr>
                <w:rFonts w:ascii="Century" w:hAnsi="Century"/>
                <w:color w:val="000080"/>
                <w:sz w:val="20"/>
                <w:szCs w:val="20"/>
              </w:rPr>
              <w:t>Technical Ratios for Engineering Insurance (Gross, %)</w:t>
            </w:r>
          </w:p>
          <w:p w:rsidR="007909D7" w:rsidRPr="00DF1899" w:rsidRDefault="007909D7" w:rsidP="00DF1899">
            <w:pPr>
              <w:jc w:val="center"/>
              <w:rPr>
                <w:rFonts w:ascii="Century" w:hAnsi="Century"/>
                <w:color w:val="000080"/>
                <w:sz w:val="20"/>
                <w:szCs w:val="20"/>
              </w:rPr>
            </w:pPr>
            <w:r>
              <w:rPr>
                <w:rFonts w:ascii="Century" w:hAnsi="Century"/>
                <w:noProof/>
                <w:color w:val="000080"/>
                <w:sz w:val="20"/>
                <w:szCs w:val="20"/>
              </w:rPr>
              <w:drawing>
                <wp:inline distT="0" distB="0" distL="0" distR="0" wp14:anchorId="45EF50E3" wp14:editId="08FEE7F0">
                  <wp:extent cx="6086475" cy="1666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6475" cy="1666875"/>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C30E0D" w:rsidRDefault="007909D7" w:rsidP="007D65D8">
            <w:pPr>
              <w:pStyle w:val="Heading3"/>
              <w:keepNext w:val="0"/>
              <w:spacing w:before="0" w:after="0"/>
              <w:ind w:left="0"/>
              <w:jc w:val="both"/>
              <w:rPr>
                <w:rFonts w:ascii="Century" w:hAnsi="Century"/>
                <w:color w:val="000080"/>
                <w:sz w:val="22"/>
                <w:szCs w:val="22"/>
              </w:rPr>
            </w:pPr>
            <w:bookmarkStart w:id="242" w:name="_Toc358380212"/>
            <w:bookmarkStart w:id="243" w:name="_Toc12957684"/>
            <w:r w:rsidRPr="00C30E0D">
              <w:rPr>
                <w:rFonts w:ascii="Century" w:hAnsi="Century"/>
                <w:color w:val="000080"/>
                <w:sz w:val="22"/>
                <w:szCs w:val="22"/>
              </w:rPr>
              <w:lastRenderedPageBreak/>
              <w:t>Nakliyat ve Su Araçları Branşı</w:t>
            </w:r>
            <w:bookmarkEnd w:id="242"/>
            <w:bookmarkEnd w:id="243"/>
          </w:p>
          <w:p w:rsidR="007909D7" w:rsidRPr="00C30E0D" w:rsidRDefault="007909D7" w:rsidP="00D974D6">
            <w:pPr>
              <w:jc w:val="both"/>
              <w:rPr>
                <w:rFonts w:ascii="Century" w:hAnsi="Century"/>
                <w:sz w:val="22"/>
                <w:szCs w:val="22"/>
              </w:rPr>
            </w:pPr>
          </w:p>
          <w:p w:rsidR="007909D7" w:rsidRPr="00C30E0D" w:rsidRDefault="007909D7" w:rsidP="00973C54">
            <w:pPr>
              <w:jc w:val="both"/>
              <w:rPr>
                <w:rFonts w:ascii="Century" w:hAnsi="Century"/>
                <w:sz w:val="22"/>
                <w:szCs w:val="22"/>
              </w:rPr>
            </w:pPr>
            <w:r w:rsidRPr="00C30E0D">
              <w:rPr>
                <w:rFonts w:ascii="Century" w:hAnsi="Century"/>
                <w:sz w:val="22"/>
                <w:szCs w:val="22"/>
              </w:rPr>
              <w:t>Nakliyat Branşı hayat dışı direkt prim üretiminde %1</w:t>
            </w:r>
            <w:proofErr w:type="gramStart"/>
            <w:r w:rsidRPr="00C30E0D">
              <w:rPr>
                <w:rFonts w:ascii="Century" w:hAnsi="Century"/>
                <w:sz w:val="22"/>
                <w:szCs w:val="22"/>
              </w:rPr>
              <w:t>,8</w:t>
            </w:r>
            <w:proofErr w:type="gramEnd"/>
            <w:r w:rsidRPr="00C30E0D">
              <w:rPr>
                <w:rFonts w:ascii="Century" w:hAnsi="Century"/>
                <w:sz w:val="22"/>
                <w:szCs w:val="22"/>
              </w:rPr>
              <w:t xml:space="preserve"> oranında bir paya sahiptir. 2018 yılında anılan branşta 33 şirket prim üretiminde bulunmuş ve nakliyat sigortası teminatı içeren 1.273.941 adet sözleşme düzenlemiştir. </w:t>
            </w:r>
          </w:p>
          <w:p w:rsidR="007909D7" w:rsidRPr="00B10D90" w:rsidRDefault="007909D7" w:rsidP="00973C54">
            <w:pPr>
              <w:jc w:val="both"/>
              <w:rPr>
                <w:rFonts w:ascii="Century" w:hAnsi="Century"/>
                <w:sz w:val="16"/>
                <w:szCs w:val="16"/>
                <w:highlight w:val="yellow"/>
              </w:rPr>
            </w:pPr>
          </w:p>
          <w:p w:rsidR="007909D7" w:rsidRPr="00B10D90" w:rsidRDefault="007909D7" w:rsidP="00C30E0D">
            <w:pPr>
              <w:jc w:val="both"/>
              <w:rPr>
                <w:rFonts w:ascii="Century" w:hAnsi="Century"/>
                <w:color w:val="000080"/>
                <w:sz w:val="22"/>
                <w:szCs w:val="22"/>
                <w:highlight w:val="yellow"/>
              </w:rPr>
            </w:pPr>
            <w:r w:rsidRPr="00C30E0D">
              <w:rPr>
                <w:rFonts w:ascii="Century" w:hAnsi="Century"/>
                <w:sz w:val="22"/>
                <w:szCs w:val="22"/>
              </w:rPr>
              <w:t>5684 sayılı Kanun kapsamında branşların yeniden düzenlenmesi sonucunda Su Araçları Branşı oluşturulmuş ve 2008 yılına kadar Nakliyat Branşı içinde yer alan Tekne Sigortası anılan branşa dahil edilmiştir. Su Araçları Branşının hayat dışı direkt prim üretimindeki payı %0,6 olup, 2018 yılında adı geçen branşta 28 şirket Su Araçları Sigortası teminatı içeren toplam 23.820 adet sözleşme düzenlemiştir. Nakliyat ve Su Araçları Branşlarının üretim bilgileri aşağıdaki tabloda verilmiştir.</w:t>
            </w: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C30E0D" w:rsidRDefault="007909D7" w:rsidP="00D974D6">
            <w:pPr>
              <w:jc w:val="both"/>
              <w:rPr>
                <w:rFonts w:ascii="Century" w:hAnsi="Century"/>
                <w:b/>
                <w:color w:val="003366"/>
                <w:sz w:val="22"/>
                <w:szCs w:val="22"/>
              </w:rPr>
            </w:pPr>
            <w:r w:rsidRPr="00C30E0D">
              <w:rPr>
                <w:rFonts w:ascii="Century" w:hAnsi="Century"/>
                <w:b/>
                <w:color w:val="003366"/>
                <w:sz w:val="22"/>
                <w:szCs w:val="22"/>
              </w:rPr>
              <w:t xml:space="preserve">4.2.7. Transportation and </w:t>
            </w:r>
            <w:r w:rsidR="0018022F">
              <w:rPr>
                <w:rFonts w:ascii="Century" w:hAnsi="Century"/>
                <w:b/>
                <w:color w:val="003366"/>
                <w:sz w:val="22"/>
                <w:szCs w:val="22"/>
              </w:rPr>
              <w:t>Hull &amp; Machinery</w:t>
            </w:r>
          </w:p>
          <w:p w:rsidR="007909D7" w:rsidRPr="00745DEB" w:rsidRDefault="007909D7" w:rsidP="00D974D6">
            <w:pPr>
              <w:jc w:val="both"/>
              <w:rPr>
                <w:rFonts w:ascii="Century" w:hAnsi="Century"/>
                <w:color w:val="003366"/>
                <w:sz w:val="22"/>
                <w:szCs w:val="22"/>
                <w:highlight w:val="yellow"/>
              </w:rPr>
            </w:pPr>
          </w:p>
          <w:p w:rsidR="007909D7" w:rsidRPr="00C30E0D" w:rsidRDefault="007909D7" w:rsidP="00973C54">
            <w:pPr>
              <w:ind w:left="9"/>
              <w:jc w:val="both"/>
              <w:rPr>
                <w:rFonts w:ascii="Century" w:hAnsi="Century"/>
                <w:color w:val="333333"/>
                <w:sz w:val="22"/>
                <w:szCs w:val="22"/>
              </w:rPr>
            </w:pPr>
            <w:r w:rsidRPr="00C30E0D">
              <w:rPr>
                <w:rFonts w:ascii="Century" w:hAnsi="Century"/>
                <w:color w:val="333333"/>
                <w:sz w:val="22"/>
                <w:szCs w:val="22"/>
              </w:rPr>
              <w:t xml:space="preserve">Transportation insurance accounted for 1.8% of non-life direct premium volume in 2018. There were 33 insurance companies operating in that line of business and 1,273,941 contracts were issued during the year. </w:t>
            </w:r>
          </w:p>
          <w:p w:rsidR="007909D7" w:rsidRPr="00B10D90" w:rsidRDefault="007909D7" w:rsidP="00973C54">
            <w:pPr>
              <w:ind w:left="9"/>
              <w:jc w:val="both"/>
              <w:rPr>
                <w:rFonts w:ascii="Century" w:hAnsi="Century"/>
                <w:color w:val="333333"/>
                <w:sz w:val="16"/>
                <w:szCs w:val="16"/>
                <w:highlight w:val="yellow"/>
              </w:rPr>
            </w:pPr>
          </w:p>
          <w:p w:rsidR="007909D7" w:rsidRPr="00B10D90" w:rsidRDefault="007909D7" w:rsidP="0018022F">
            <w:pPr>
              <w:jc w:val="both"/>
              <w:rPr>
                <w:rFonts w:ascii="Century" w:hAnsi="Century"/>
                <w:b/>
                <w:color w:val="003366"/>
                <w:sz w:val="22"/>
                <w:szCs w:val="22"/>
                <w:highlight w:val="yellow"/>
              </w:rPr>
            </w:pPr>
            <w:r w:rsidRPr="00C30E0D">
              <w:rPr>
                <w:rFonts w:ascii="Century" w:hAnsi="Century"/>
                <w:color w:val="333333"/>
                <w:sz w:val="22"/>
                <w:szCs w:val="22"/>
              </w:rPr>
              <w:t xml:space="preserve">Cargo sub LoB, followed under transportation line till 2008, was included to the </w:t>
            </w:r>
            <w:r w:rsidR="0018022F">
              <w:rPr>
                <w:rFonts w:ascii="Century" w:hAnsi="Century"/>
                <w:color w:val="333333"/>
                <w:sz w:val="22"/>
                <w:szCs w:val="22"/>
              </w:rPr>
              <w:t>hull and machinery</w:t>
            </w:r>
            <w:r w:rsidRPr="00C30E0D">
              <w:rPr>
                <w:rFonts w:ascii="Century" w:hAnsi="Century"/>
                <w:color w:val="333333"/>
                <w:sz w:val="22"/>
                <w:szCs w:val="22"/>
              </w:rPr>
              <w:t xml:space="preserve"> insurance with the new regulation (Law no: 5684). </w:t>
            </w:r>
            <w:r w:rsidR="0018022F">
              <w:rPr>
                <w:rFonts w:ascii="Century" w:hAnsi="Century"/>
                <w:color w:val="333333"/>
                <w:sz w:val="22"/>
                <w:szCs w:val="22"/>
              </w:rPr>
              <w:t>Hull and machinery</w:t>
            </w:r>
            <w:r w:rsidRPr="00C30E0D">
              <w:rPr>
                <w:rFonts w:ascii="Century" w:hAnsi="Century"/>
                <w:color w:val="333333"/>
                <w:sz w:val="22"/>
                <w:szCs w:val="22"/>
              </w:rPr>
              <w:t xml:space="preserve"> insurance accounted for 0.6% of non-life direct premium volume and there were 28 insurance companies operating in that LoB and 2</w:t>
            </w:r>
            <w:r>
              <w:rPr>
                <w:rFonts w:ascii="Century" w:hAnsi="Century"/>
                <w:color w:val="333333"/>
                <w:sz w:val="22"/>
                <w:szCs w:val="22"/>
              </w:rPr>
              <w:t>3</w:t>
            </w:r>
            <w:r w:rsidRPr="00C30E0D">
              <w:rPr>
                <w:rFonts w:ascii="Century" w:hAnsi="Century"/>
                <w:color w:val="333333"/>
                <w:sz w:val="22"/>
                <w:szCs w:val="22"/>
              </w:rPr>
              <w:t>,</w:t>
            </w:r>
            <w:r>
              <w:rPr>
                <w:rFonts w:ascii="Century" w:hAnsi="Century"/>
                <w:color w:val="333333"/>
                <w:sz w:val="22"/>
                <w:szCs w:val="22"/>
              </w:rPr>
              <w:t>820</w:t>
            </w:r>
            <w:r w:rsidRPr="00C30E0D">
              <w:rPr>
                <w:rFonts w:ascii="Century" w:hAnsi="Century"/>
                <w:color w:val="333333"/>
                <w:sz w:val="22"/>
                <w:szCs w:val="22"/>
              </w:rPr>
              <w:t xml:space="preserve"> contracts were issued in 201</w:t>
            </w:r>
            <w:r>
              <w:rPr>
                <w:rFonts w:ascii="Century" w:hAnsi="Century"/>
                <w:color w:val="333333"/>
                <w:sz w:val="22"/>
                <w:szCs w:val="22"/>
              </w:rPr>
              <w:t>8</w:t>
            </w:r>
            <w:r w:rsidRPr="00C30E0D">
              <w:rPr>
                <w:rFonts w:ascii="Century" w:hAnsi="Century"/>
                <w:color w:val="333333"/>
                <w:sz w:val="22"/>
                <w:szCs w:val="22"/>
              </w:rPr>
              <w:t xml:space="preserve">. The table below represents some data of transportation and </w:t>
            </w:r>
            <w:r w:rsidR="0018022F">
              <w:rPr>
                <w:rFonts w:ascii="Century" w:hAnsi="Century"/>
                <w:color w:val="333333"/>
                <w:sz w:val="22"/>
                <w:szCs w:val="22"/>
              </w:rPr>
              <w:t>hull and machinery</w:t>
            </w:r>
            <w:r w:rsidRPr="00C30E0D">
              <w:rPr>
                <w:rFonts w:ascii="Century" w:hAnsi="Century"/>
                <w:color w:val="333333"/>
                <w:sz w:val="22"/>
                <w:szCs w:val="22"/>
              </w:rPr>
              <w:t xml:space="preserve"> business in 2018.</w:t>
            </w:r>
          </w:p>
        </w:tc>
      </w:tr>
      <w:tr w:rsidR="007909D7" w:rsidRPr="00B10D90" w:rsidTr="00441D50">
        <w:trPr>
          <w:gridAfter w:val="1"/>
          <w:wAfter w:w="20" w:type="dxa"/>
          <w:trHeight w:val="560"/>
        </w:trPr>
        <w:tc>
          <w:tcPr>
            <w:tcW w:w="9838" w:type="dxa"/>
            <w:gridSpan w:val="15"/>
          </w:tcPr>
          <w:p w:rsidR="007909D7" w:rsidRPr="00770512" w:rsidRDefault="007909D7" w:rsidP="00700CE3">
            <w:pPr>
              <w:jc w:val="center"/>
              <w:rPr>
                <w:rFonts w:ascii="Century" w:hAnsi="Century"/>
                <w:b/>
                <w:color w:val="000080"/>
                <w:sz w:val="10"/>
                <w:szCs w:val="10"/>
              </w:rPr>
            </w:pPr>
          </w:p>
          <w:p w:rsidR="007909D7" w:rsidRPr="00C30E0D" w:rsidRDefault="007909D7" w:rsidP="00700CE3">
            <w:pPr>
              <w:jc w:val="center"/>
              <w:rPr>
                <w:rFonts w:ascii="Century" w:hAnsi="Century"/>
                <w:b/>
                <w:color w:val="000080"/>
                <w:sz w:val="20"/>
                <w:szCs w:val="20"/>
              </w:rPr>
            </w:pPr>
            <w:r w:rsidRPr="00C30E0D">
              <w:rPr>
                <w:rFonts w:ascii="Century" w:hAnsi="Century"/>
                <w:b/>
                <w:color w:val="000080"/>
                <w:sz w:val="20"/>
                <w:szCs w:val="20"/>
              </w:rPr>
              <w:t xml:space="preserve">Tablo 4.2.15: Nakliyat ve Su Araçları Branşları Üretim Bilgileri </w:t>
            </w:r>
          </w:p>
          <w:p w:rsidR="007909D7" w:rsidRDefault="007909D7" w:rsidP="00700CE3">
            <w:pPr>
              <w:jc w:val="center"/>
              <w:rPr>
                <w:rFonts w:ascii="Century" w:hAnsi="Century"/>
                <w:i/>
                <w:color w:val="000080"/>
                <w:sz w:val="20"/>
                <w:szCs w:val="20"/>
              </w:rPr>
            </w:pPr>
            <w:r w:rsidRPr="00C30E0D">
              <w:rPr>
                <w:rFonts w:ascii="Century" w:hAnsi="Century"/>
                <w:i/>
                <w:color w:val="000080"/>
                <w:sz w:val="20"/>
                <w:szCs w:val="20"/>
              </w:rPr>
              <w:t xml:space="preserve">Policy, Premium and Losses Figures of Transport and </w:t>
            </w:r>
            <w:r w:rsidR="00A0480E">
              <w:rPr>
                <w:rFonts w:ascii="Century" w:hAnsi="Century"/>
                <w:i/>
                <w:color w:val="000080"/>
                <w:sz w:val="20"/>
                <w:szCs w:val="20"/>
              </w:rPr>
              <w:t>Hull &amp; Machinery</w:t>
            </w:r>
            <w:r w:rsidRPr="00C30E0D">
              <w:rPr>
                <w:rFonts w:ascii="Century" w:hAnsi="Century"/>
                <w:i/>
                <w:color w:val="000080"/>
                <w:sz w:val="20"/>
                <w:szCs w:val="20"/>
              </w:rPr>
              <w:t xml:space="preserve"> Business</w:t>
            </w:r>
          </w:p>
          <w:p w:rsidR="007909D7" w:rsidRPr="0018022F" w:rsidRDefault="0018022F" w:rsidP="0018022F">
            <w:pPr>
              <w:jc w:val="center"/>
              <w:rPr>
                <w:rFonts w:ascii="Century" w:hAnsi="Century"/>
                <w:i/>
                <w:color w:val="000080"/>
                <w:sz w:val="20"/>
                <w:szCs w:val="20"/>
              </w:rPr>
            </w:pPr>
            <w:r>
              <w:rPr>
                <w:rFonts w:ascii="Century" w:hAnsi="Century"/>
                <w:i/>
                <w:noProof/>
                <w:color w:val="000080"/>
                <w:sz w:val="20"/>
                <w:szCs w:val="20"/>
              </w:rPr>
              <w:drawing>
                <wp:inline distT="0" distB="0" distL="0" distR="0" wp14:anchorId="755C99AC" wp14:editId="7C8062A7">
                  <wp:extent cx="5667375" cy="13239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1323975"/>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B10D90" w:rsidRDefault="007909D7" w:rsidP="000E1F70">
            <w:pPr>
              <w:jc w:val="both"/>
              <w:rPr>
                <w:rFonts w:ascii="Century" w:hAnsi="Century"/>
                <w:sz w:val="10"/>
                <w:szCs w:val="10"/>
                <w:highlight w:val="yellow"/>
              </w:rPr>
            </w:pPr>
          </w:p>
          <w:p w:rsidR="007909D7" w:rsidRPr="00B10D90" w:rsidRDefault="007909D7" w:rsidP="000E1F70">
            <w:pPr>
              <w:jc w:val="both"/>
              <w:rPr>
                <w:rFonts w:ascii="Century" w:hAnsi="Century"/>
                <w:sz w:val="22"/>
                <w:szCs w:val="22"/>
                <w:highlight w:val="yellow"/>
              </w:rPr>
            </w:pPr>
            <w:r w:rsidRPr="00770512">
              <w:rPr>
                <w:rFonts w:ascii="Century" w:hAnsi="Century"/>
                <w:sz w:val="22"/>
                <w:szCs w:val="22"/>
              </w:rPr>
              <w:t xml:space="preserve">Poliçe sayısı ile prim ve tazminat tutarları karşılaştırıldığında, Su Araçları Branşında Nakliyat Branşına kıyasla daha az poliçe düzenlenmiş olmasına rağmen, toplam üretim ve tazminat tutarları içindeki payının oransal olarak daha yüksek olduğu görülmektedir. </w:t>
            </w:r>
          </w:p>
        </w:tc>
        <w:tc>
          <w:tcPr>
            <w:tcW w:w="273" w:type="dxa"/>
            <w:gridSpan w:val="6"/>
          </w:tcPr>
          <w:p w:rsidR="007909D7" w:rsidRPr="00B10D90" w:rsidRDefault="007909D7" w:rsidP="003A7612">
            <w:pPr>
              <w:rPr>
                <w:rFonts w:ascii="Century" w:hAnsi="Century"/>
                <w:highlight w:val="yellow"/>
              </w:rPr>
            </w:pPr>
          </w:p>
        </w:tc>
        <w:tc>
          <w:tcPr>
            <w:tcW w:w="4805" w:type="dxa"/>
            <w:gridSpan w:val="8"/>
          </w:tcPr>
          <w:p w:rsidR="007909D7" w:rsidRPr="00B10D90" w:rsidRDefault="007909D7" w:rsidP="000E1F70">
            <w:pPr>
              <w:jc w:val="both"/>
              <w:rPr>
                <w:rFonts w:ascii="Century" w:hAnsi="Century"/>
                <w:color w:val="333333"/>
                <w:sz w:val="10"/>
                <w:szCs w:val="10"/>
                <w:highlight w:val="yellow"/>
              </w:rPr>
            </w:pPr>
          </w:p>
          <w:p w:rsidR="007909D7" w:rsidRPr="00B10D90" w:rsidRDefault="007909D7" w:rsidP="000E1F70">
            <w:pPr>
              <w:jc w:val="both"/>
              <w:rPr>
                <w:rFonts w:ascii="Century" w:hAnsi="Century"/>
                <w:color w:val="333333"/>
                <w:sz w:val="22"/>
                <w:szCs w:val="22"/>
                <w:highlight w:val="yellow"/>
              </w:rPr>
            </w:pPr>
            <w:r w:rsidRPr="00770512">
              <w:rPr>
                <w:rFonts w:ascii="Century" w:hAnsi="Century"/>
                <w:color w:val="333333"/>
                <w:sz w:val="22"/>
                <w:szCs w:val="22"/>
              </w:rPr>
              <w:t>While the number of policies issued in marine vehicles insurance is less than transportation business, the share of the marine vehicle business in total premium volume and claim payments were bigger than transportation business.</w:t>
            </w:r>
          </w:p>
        </w:tc>
      </w:tr>
      <w:tr w:rsidR="007909D7" w:rsidRPr="00B10D90" w:rsidTr="00441D50">
        <w:trPr>
          <w:gridAfter w:val="1"/>
          <w:wAfter w:w="20" w:type="dxa"/>
          <w:trHeight w:val="308"/>
        </w:trPr>
        <w:tc>
          <w:tcPr>
            <w:tcW w:w="9838" w:type="dxa"/>
            <w:gridSpan w:val="15"/>
          </w:tcPr>
          <w:p w:rsidR="007909D7" w:rsidRPr="00770512" w:rsidRDefault="007909D7" w:rsidP="00700CE3">
            <w:pPr>
              <w:jc w:val="center"/>
              <w:rPr>
                <w:rFonts w:ascii="Century" w:hAnsi="Century"/>
                <w:b/>
                <w:color w:val="000080"/>
                <w:sz w:val="20"/>
                <w:szCs w:val="20"/>
              </w:rPr>
            </w:pPr>
            <w:r w:rsidRPr="00770512">
              <w:rPr>
                <w:rFonts w:ascii="Century" w:hAnsi="Century"/>
                <w:b/>
                <w:color w:val="000080"/>
                <w:sz w:val="20"/>
                <w:szCs w:val="20"/>
              </w:rPr>
              <w:t>Grafik 4.2.16: Nakliyat ve Su Araçları Branşı Verileri Yüzdeleri</w:t>
            </w:r>
          </w:p>
          <w:p w:rsidR="007909D7" w:rsidRPr="00770512" w:rsidRDefault="007909D7" w:rsidP="00700CE3">
            <w:pPr>
              <w:jc w:val="center"/>
              <w:rPr>
                <w:rFonts w:ascii="Century" w:hAnsi="Century"/>
                <w:i/>
                <w:color w:val="000080"/>
                <w:sz w:val="20"/>
                <w:szCs w:val="20"/>
              </w:rPr>
            </w:pPr>
            <w:r w:rsidRPr="00770512">
              <w:rPr>
                <w:rFonts w:ascii="Century" w:hAnsi="Century"/>
                <w:i/>
                <w:color w:val="000080"/>
                <w:sz w:val="20"/>
                <w:szCs w:val="20"/>
              </w:rPr>
              <w:t xml:space="preserve">Premium and Loss Figures as Percentage in Transport and </w:t>
            </w:r>
            <w:r w:rsidR="00A0480E">
              <w:rPr>
                <w:rFonts w:ascii="Century" w:hAnsi="Century"/>
                <w:i/>
                <w:color w:val="000080"/>
                <w:sz w:val="20"/>
                <w:szCs w:val="20"/>
              </w:rPr>
              <w:t>Hull &amp; Machinery</w:t>
            </w:r>
            <w:r w:rsidRPr="00770512">
              <w:rPr>
                <w:rFonts w:ascii="Century" w:hAnsi="Century"/>
                <w:i/>
                <w:color w:val="000080"/>
                <w:sz w:val="20"/>
                <w:szCs w:val="20"/>
              </w:rPr>
              <w:t xml:space="preserve"> Business</w:t>
            </w:r>
          </w:p>
          <w:p w:rsidR="007909D7" w:rsidRPr="00770512" w:rsidRDefault="0018022F" w:rsidP="00A0480E">
            <w:pPr>
              <w:jc w:val="center"/>
              <w:rPr>
                <w:rFonts w:ascii="Century" w:hAnsi="Century"/>
                <w:noProof/>
                <w:color w:val="404040"/>
              </w:rPr>
            </w:pPr>
            <w:r>
              <w:rPr>
                <w:rFonts w:ascii="Century" w:hAnsi="Century"/>
                <w:noProof/>
                <w:color w:val="404040"/>
              </w:rPr>
              <w:drawing>
                <wp:inline distT="0" distB="0" distL="0" distR="0" wp14:anchorId="7C7CA6C7" wp14:editId="55170898">
                  <wp:extent cx="6124575" cy="2066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4575" cy="2066925"/>
                          </a:xfrm>
                          <a:prstGeom prst="rect">
                            <a:avLst/>
                          </a:prstGeom>
                          <a:noFill/>
                          <a:ln>
                            <a:noFill/>
                          </a:ln>
                        </pic:spPr>
                      </pic:pic>
                    </a:graphicData>
                  </a:graphic>
                </wp:inline>
              </w:drawing>
            </w:r>
          </w:p>
        </w:tc>
      </w:tr>
      <w:tr w:rsidR="007909D7" w:rsidRPr="00B10D90" w:rsidTr="00441D50">
        <w:trPr>
          <w:gridAfter w:val="1"/>
          <w:wAfter w:w="20" w:type="dxa"/>
          <w:trHeight w:val="1140"/>
        </w:trPr>
        <w:tc>
          <w:tcPr>
            <w:tcW w:w="4760" w:type="dxa"/>
          </w:tcPr>
          <w:p w:rsidR="007909D7" w:rsidRPr="006867B8" w:rsidRDefault="007909D7" w:rsidP="002A547F">
            <w:pPr>
              <w:jc w:val="both"/>
              <w:rPr>
                <w:rFonts w:ascii="Century" w:hAnsi="Century"/>
                <w:sz w:val="22"/>
                <w:szCs w:val="22"/>
              </w:rPr>
            </w:pPr>
            <w:r w:rsidRPr="006867B8">
              <w:rPr>
                <w:rFonts w:ascii="Century" w:hAnsi="Century"/>
                <w:sz w:val="22"/>
                <w:szCs w:val="22"/>
              </w:rPr>
              <w:lastRenderedPageBreak/>
              <w:t>Tablo 4.2.16’ya göre, prim üretiminde sürekli artış yaşandığı, buna karşılık gerçekleşen tazminat tutarlarında dalgalı bir seyir izlendiği görülmektedir. 2018 yılında hasar oranında bir puanlı artış meydana gelmesine rağmen teknik karlılık oranı 6</w:t>
            </w:r>
            <w:proofErr w:type="gramStart"/>
            <w:r w:rsidRPr="006867B8">
              <w:rPr>
                <w:rFonts w:ascii="Century" w:hAnsi="Century"/>
                <w:sz w:val="22"/>
                <w:szCs w:val="22"/>
              </w:rPr>
              <w:t>,6</w:t>
            </w:r>
            <w:proofErr w:type="gramEnd"/>
            <w:r w:rsidRPr="006867B8">
              <w:rPr>
                <w:rFonts w:ascii="Century" w:hAnsi="Century"/>
                <w:sz w:val="22"/>
                <w:szCs w:val="22"/>
              </w:rPr>
              <w:t xml:space="preserve"> puan artış göstermiştir. </w:t>
            </w:r>
          </w:p>
        </w:tc>
        <w:tc>
          <w:tcPr>
            <w:tcW w:w="273" w:type="dxa"/>
            <w:gridSpan w:val="6"/>
          </w:tcPr>
          <w:p w:rsidR="007909D7" w:rsidRPr="006867B8" w:rsidRDefault="007909D7" w:rsidP="003A7612">
            <w:pPr>
              <w:rPr>
                <w:rFonts w:ascii="Century" w:hAnsi="Century"/>
              </w:rPr>
            </w:pPr>
          </w:p>
        </w:tc>
        <w:tc>
          <w:tcPr>
            <w:tcW w:w="4805" w:type="dxa"/>
            <w:gridSpan w:val="8"/>
          </w:tcPr>
          <w:p w:rsidR="007909D7" w:rsidRPr="006867B8" w:rsidRDefault="006867B8" w:rsidP="003A7612">
            <w:pPr>
              <w:jc w:val="both"/>
              <w:rPr>
                <w:rFonts w:ascii="Century" w:hAnsi="Century"/>
                <w:color w:val="333333"/>
                <w:sz w:val="22"/>
                <w:szCs w:val="22"/>
              </w:rPr>
            </w:pPr>
            <w:r w:rsidRPr="006867B8">
              <w:rPr>
                <w:rFonts w:ascii="Century" w:hAnsi="Century"/>
                <w:color w:val="333333"/>
                <w:sz w:val="22"/>
              </w:rPr>
              <w:t xml:space="preserve">According to the Table 4.2.16, a steady increase has been realized in premium </w:t>
            </w:r>
            <w:r w:rsidRPr="006867B8">
              <w:rPr>
                <w:rFonts w:ascii="Century" w:hAnsi="Century"/>
                <w:color w:val="333333"/>
                <w:sz w:val="22"/>
                <w:szCs w:val="22"/>
              </w:rPr>
              <w:t>volume, whereas incurred losses performed a fluctuating trend. Despite of a decrase of 1% in loss ratio, technical profability ratio increased by 6.6% in 2018</w:t>
            </w:r>
          </w:p>
          <w:p w:rsidR="007909D7" w:rsidRPr="006867B8" w:rsidRDefault="007909D7" w:rsidP="003A7612">
            <w:pPr>
              <w:jc w:val="both"/>
              <w:rPr>
                <w:rFonts w:ascii="Century" w:hAnsi="Century"/>
                <w:color w:val="333333"/>
                <w:sz w:val="22"/>
              </w:rPr>
            </w:pPr>
          </w:p>
        </w:tc>
      </w:tr>
      <w:tr w:rsidR="007909D7" w:rsidRPr="00B10D90" w:rsidTr="00441D50">
        <w:trPr>
          <w:gridAfter w:val="1"/>
          <w:wAfter w:w="20" w:type="dxa"/>
          <w:trHeight w:val="585"/>
        </w:trPr>
        <w:tc>
          <w:tcPr>
            <w:tcW w:w="9838" w:type="dxa"/>
            <w:gridSpan w:val="15"/>
          </w:tcPr>
          <w:p w:rsidR="00327B97" w:rsidRDefault="00327B97" w:rsidP="00700CE3">
            <w:pPr>
              <w:jc w:val="center"/>
              <w:rPr>
                <w:rFonts w:ascii="Century" w:hAnsi="Century"/>
                <w:b/>
                <w:color w:val="000080"/>
                <w:sz w:val="20"/>
                <w:szCs w:val="20"/>
              </w:rPr>
            </w:pPr>
          </w:p>
          <w:p w:rsidR="007909D7" w:rsidRPr="00770512" w:rsidRDefault="007909D7" w:rsidP="00700CE3">
            <w:pPr>
              <w:jc w:val="center"/>
              <w:rPr>
                <w:rFonts w:ascii="Century" w:hAnsi="Century"/>
                <w:b/>
                <w:color w:val="000080"/>
                <w:sz w:val="20"/>
                <w:szCs w:val="20"/>
              </w:rPr>
            </w:pPr>
            <w:r w:rsidRPr="00770512">
              <w:rPr>
                <w:rFonts w:ascii="Century" w:hAnsi="Century"/>
                <w:b/>
                <w:color w:val="000080"/>
                <w:sz w:val="20"/>
                <w:szCs w:val="20"/>
              </w:rPr>
              <w:t>Tablo 4.2.16: Nakliyat ve Su Araçları Branşı Teknik Verileri</w:t>
            </w:r>
          </w:p>
          <w:p w:rsidR="007909D7" w:rsidRPr="00770512" w:rsidRDefault="007909D7" w:rsidP="00700CE3">
            <w:pPr>
              <w:jc w:val="center"/>
              <w:rPr>
                <w:rFonts w:ascii="Century" w:hAnsi="Century"/>
                <w:i/>
                <w:color w:val="000080"/>
                <w:sz w:val="20"/>
                <w:szCs w:val="20"/>
              </w:rPr>
            </w:pPr>
            <w:r w:rsidRPr="00770512">
              <w:rPr>
                <w:rFonts w:ascii="Century" w:hAnsi="Century"/>
                <w:i/>
                <w:color w:val="000080"/>
                <w:sz w:val="20"/>
                <w:szCs w:val="20"/>
              </w:rPr>
              <w:t xml:space="preserve">Technical Figures in Transport and </w:t>
            </w:r>
            <w:r w:rsidR="00A0480E">
              <w:rPr>
                <w:rFonts w:ascii="Century" w:hAnsi="Century"/>
                <w:i/>
                <w:color w:val="000080"/>
                <w:sz w:val="20"/>
                <w:szCs w:val="20"/>
              </w:rPr>
              <w:t>Hull &amp; Machinery</w:t>
            </w:r>
            <w:r w:rsidRPr="00770512">
              <w:rPr>
                <w:rFonts w:ascii="Century" w:hAnsi="Century"/>
                <w:i/>
                <w:color w:val="000080"/>
                <w:sz w:val="20"/>
                <w:szCs w:val="20"/>
              </w:rPr>
              <w:t xml:space="preserve"> Business</w:t>
            </w:r>
          </w:p>
          <w:p w:rsidR="007909D7" w:rsidRPr="00770512" w:rsidRDefault="007909D7" w:rsidP="00E9251B">
            <w:pPr>
              <w:jc w:val="center"/>
              <w:rPr>
                <w:rFonts w:ascii="Century" w:hAnsi="Century"/>
                <w:i/>
                <w:color w:val="000080"/>
                <w:sz w:val="20"/>
                <w:szCs w:val="20"/>
              </w:rPr>
            </w:pPr>
            <w:r w:rsidRPr="00770512">
              <w:rPr>
                <w:rFonts w:ascii="Century" w:hAnsi="Century"/>
                <w:i/>
                <w:noProof/>
                <w:color w:val="000080"/>
                <w:sz w:val="20"/>
                <w:szCs w:val="20"/>
              </w:rPr>
              <w:drawing>
                <wp:inline distT="0" distB="0" distL="0" distR="0" wp14:anchorId="0204563A" wp14:editId="7B6CA34B">
                  <wp:extent cx="6106795" cy="2250440"/>
                  <wp:effectExtent l="0" t="0" r="825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06795" cy="2250440"/>
                          </a:xfrm>
                          <a:prstGeom prst="rect">
                            <a:avLst/>
                          </a:prstGeom>
                          <a:noFill/>
                          <a:ln>
                            <a:noFill/>
                          </a:ln>
                        </pic:spPr>
                      </pic:pic>
                    </a:graphicData>
                  </a:graphic>
                </wp:inline>
              </w:drawing>
            </w:r>
          </w:p>
          <w:p w:rsidR="007909D7" w:rsidRPr="00770512" w:rsidRDefault="007909D7" w:rsidP="00700CE3">
            <w:pPr>
              <w:jc w:val="both"/>
              <w:rPr>
                <w:rFonts w:ascii="Century" w:hAnsi="Century"/>
                <w:i/>
                <w:sz w:val="16"/>
                <w:szCs w:val="16"/>
              </w:rPr>
            </w:pPr>
            <w:r w:rsidRPr="00770512">
              <w:rPr>
                <w:rFonts w:ascii="Century" w:hAnsi="Century"/>
                <w:sz w:val="16"/>
                <w:szCs w:val="16"/>
              </w:rPr>
              <w:t xml:space="preserve">(*) Dönem içinde tahakkuk eden komisyon tutarları. </w:t>
            </w:r>
            <w:r w:rsidRPr="00770512">
              <w:rPr>
                <w:rFonts w:ascii="Century" w:hAnsi="Century"/>
                <w:i/>
                <w:sz w:val="16"/>
                <w:szCs w:val="16"/>
              </w:rPr>
              <w:t>Commission amount incurred during the year.</w:t>
            </w:r>
          </w:p>
          <w:p w:rsidR="007909D7" w:rsidRPr="00770512" w:rsidRDefault="007909D7" w:rsidP="00700CE3">
            <w:pPr>
              <w:jc w:val="both"/>
              <w:rPr>
                <w:rFonts w:ascii="Century" w:hAnsi="Century"/>
                <w:sz w:val="16"/>
                <w:szCs w:val="16"/>
              </w:rPr>
            </w:pPr>
          </w:p>
          <w:p w:rsidR="007909D7" w:rsidRPr="00770512" w:rsidRDefault="007909D7" w:rsidP="00700CE3">
            <w:pPr>
              <w:jc w:val="both"/>
              <w:rPr>
                <w:rFonts w:ascii="Century" w:hAnsi="Century"/>
                <w:sz w:val="16"/>
                <w:szCs w:val="16"/>
              </w:rPr>
            </w:pPr>
          </w:p>
          <w:p w:rsidR="007909D7" w:rsidRPr="00770512" w:rsidRDefault="007909D7" w:rsidP="00700CE3">
            <w:pPr>
              <w:jc w:val="both"/>
              <w:rPr>
                <w:rFonts w:ascii="Century" w:hAnsi="Century"/>
                <w:sz w:val="16"/>
                <w:szCs w:val="16"/>
              </w:rPr>
            </w:pPr>
          </w:p>
        </w:tc>
      </w:tr>
      <w:tr w:rsidR="007909D7" w:rsidRPr="00B10D90" w:rsidTr="00441D50">
        <w:trPr>
          <w:gridAfter w:val="1"/>
          <w:wAfter w:w="20" w:type="dxa"/>
          <w:trHeight w:val="3686"/>
        </w:trPr>
        <w:tc>
          <w:tcPr>
            <w:tcW w:w="9838" w:type="dxa"/>
            <w:gridSpan w:val="15"/>
          </w:tcPr>
          <w:p w:rsidR="007909D7" w:rsidRPr="00770512" w:rsidRDefault="007909D7" w:rsidP="00700CE3">
            <w:pPr>
              <w:jc w:val="center"/>
              <w:rPr>
                <w:rFonts w:ascii="Century" w:hAnsi="Century"/>
                <w:b/>
                <w:color w:val="000080"/>
                <w:sz w:val="20"/>
                <w:szCs w:val="20"/>
              </w:rPr>
            </w:pPr>
            <w:r w:rsidRPr="00770512">
              <w:rPr>
                <w:rFonts w:ascii="Century" w:hAnsi="Century"/>
                <w:b/>
                <w:color w:val="000080"/>
                <w:sz w:val="20"/>
                <w:szCs w:val="20"/>
              </w:rPr>
              <w:t>Grafik 4.2.17: Nakliyat ve Su Araçları Branşı Teknik Oranları (Brüt, %)</w:t>
            </w:r>
          </w:p>
          <w:p w:rsidR="007909D7" w:rsidRPr="00770512" w:rsidRDefault="007909D7" w:rsidP="00700CE3">
            <w:pPr>
              <w:jc w:val="center"/>
              <w:rPr>
                <w:rFonts w:ascii="Century" w:hAnsi="Century"/>
                <w:i/>
                <w:color w:val="000080"/>
                <w:sz w:val="20"/>
                <w:szCs w:val="20"/>
              </w:rPr>
            </w:pPr>
            <w:r w:rsidRPr="00770512">
              <w:rPr>
                <w:rFonts w:ascii="Century" w:hAnsi="Century"/>
                <w:i/>
                <w:color w:val="000080"/>
                <w:sz w:val="20"/>
                <w:szCs w:val="20"/>
              </w:rPr>
              <w:t xml:space="preserve">Technical Ratios for Transportation and </w:t>
            </w:r>
            <w:r w:rsidR="00A0480E">
              <w:rPr>
                <w:rFonts w:ascii="Century" w:hAnsi="Century"/>
                <w:i/>
                <w:color w:val="000080"/>
                <w:sz w:val="20"/>
                <w:szCs w:val="20"/>
              </w:rPr>
              <w:t>Hull &amp; Machinery</w:t>
            </w:r>
            <w:r w:rsidRPr="00770512">
              <w:rPr>
                <w:rFonts w:ascii="Century" w:hAnsi="Century"/>
                <w:i/>
                <w:color w:val="000080"/>
                <w:sz w:val="20"/>
                <w:szCs w:val="20"/>
              </w:rPr>
              <w:t xml:space="preserve"> (Gross, %)</w:t>
            </w:r>
          </w:p>
          <w:p w:rsidR="007909D7" w:rsidRPr="00770512" w:rsidRDefault="007909D7" w:rsidP="00700CE3">
            <w:pPr>
              <w:jc w:val="center"/>
              <w:rPr>
                <w:rFonts w:ascii="Century" w:hAnsi="Century"/>
                <w:i/>
                <w:color w:val="000080"/>
                <w:sz w:val="20"/>
                <w:szCs w:val="20"/>
              </w:rPr>
            </w:pPr>
            <w:r w:rsidRPr="00770512">
              <w:rPr>
                <w:rFonts w:ascii="Century" w:hAnsi="Century"/>
                <w:i/>
                <w:noProof/>
                <w:color w:val="000080"/>
                <w:sz w:val="20"/>
                <w:szCs w:val="20"/>
              </w:rPr>
              <w:drawing>
                <wp:inline distT="0" distB="0" distL="0" distR="0" wp14:anchorId="11C1653E" wp14:editId="4355C2C8">
                  <wp:extent cx="5549900" cy="2528570"/>
                  <wp:effectExtent l="0" t="0" r="0"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9900" cy="2528570"/>
                          </a:xfrm>
                          <a:prstGeom prst="rect">
                            <a:avLst/>
                          </a:prstGeom>
                          <a:noFill/>
                          <a:ln>
                            <a:noFill/>
                          </a:ln>
                        </pic:spPr>
                      </pic:pic>
                    </a:graphicData>
                  </a:graphic>
                </wp:inline>
              </w:drawing>
            </w:r>
          </w:p>
          <w:p w:rsidR="007909D7" w:rsidRPr="00770512" w:rsidRDefault="007909D7" w:rsidP="00700CE3">
            <w:pPr>
              <w:jc w:val="center"/>
              <w:rPr>
                <w:rFonts w:ascii="Century" w:hAnsi="Century"/>
                <w:i/>
                <w:color w:val="000080"/>
                <w:sz w:val="20"/>
                <w:szCs w:val="20"/>
              </w:rPr>
            </w:pPr>
          </w:p>
          <w:p w:rsidR="007909D7" w:rsidRPr="00770512" w:rsidRDefault="007909D7" w:rsidP="00700CE3">
            <w:pPr>
              <w:jc w:val="center"/>
              <w:rPr>
                <w:rFonts w:ascii="Century" w:hAnsi="Century"/>
                <w:i/>
                <w:color w:val="000080"/>
                <w:sz w:val="20"/>
                <w:szCs w:val="20"/>
              </w:rPr>
            </w:pPr>
          </w:p>
          <w:p w:rsidR="007909D7" w:rsidRPr="00770512" w:rsidRDefault="007909D7" w:rsidP="00700CE3">
            <w:pPr>
              <w:jc w:val="center"/>
              <w:rPr>
                <w:rFonts w:ascii="Century" w:hAnsi="Century"/>
                <w:b/>
                <w:i/>
                <w:color w:val="000080"/>
                <w:sz w:val="20"/>
                <w:szCs w:val="20"/>
              </w:rPr>
            </w:pPr>
          </w:p>
          <w:p w:rsidR="007909D7" w:rsidRPr="00770512" w:rsidRDefault="007909D7" w:rsidP="007425C2">
            <w:pPr>
              <w:rPr>
                <w:rFonts w:ascii="Century" w:hAnsi="Century"/>
                <w:color w:val="404040"/>
              </w:rPr>
            </w:pPr>
          </w:p>
        </w:tc>
      </w:tr>
      <w:tr w:rsidR="007909D7" w:rsidRPr="00B10D90" w:rsidTr="00441D50">
        <w:trPr>
          <w:gridAfter w:val="1"/>
          <w:wAfter w:w="20" w:type="dxa"/>
          <w:trHeight w:val="3402"/>
        </w:trPr>
        <w:tc>
          <w:tcPr>
            <w:tcW w:w="4760" w:type="dxa"/>
          </w:tcPr>
          <w:p w:rsidR="007909D7" w:rsidRPr="00C15B47" w:rsidRDefault="007909D7" w:rsidP="007D65D8">
            <w:pPr>
              <w:pStyle w:val="Heading3"/>
              <w:keepNext w:val="0"/>
              <w:spacing w:before="0" w:after="0"/>
              <w:ind w:left="0"/>
              <w:jc w:val="both"/>
              <w:rPr>
                <w:rFonts w:ascii="Century" w:hAnsi="Century"/>
                <w:color w:val="000080"/>
                <w:sz w:val="22"/>
                <w:szCs w:val="22"/>
              </w:rPr>
            </w:pPr>
            <w:bookmarkStart w:id="244" w:name="_Toc327793355"/>
            <w:bookmarkStart w:id="245" w:name="_Toc358380213"/>
            <w:bookmarkStart w:id="246" w:name="_Toc12957685"/>
            <w:r w:rsidRPr="00C15B47">
              <w:rPr>
                <w:rFonts w:ascii="Century" w:hAnsi="Century"/>
                <w:color w:val="000080"/>
                <w:sz w:val="22"/>
                <w:szCs w:val="22"/>
              </w:rPr>
              <w:lastRenderedPageBreak/>
              <w:t>Genel Sorumluluk Branşı</w:t>
            </w:r>
            <w:bookmarkEnd w:id="244"/>
            <w:bookmarkEnd w:id="245"/>
            <w:bookmarkEnd w:id="246"/>
          </w:p>
          <w:p w:rsidR="007909D7" w:rsidRPr="00C15B47" w:rsidRDefault="007909D7" w:rsidP="00700CE3">
            <w:pPr>
              <w:rPr>
                <w:rFonts w:ascii="Century" w:hAnsi="Century"/>
                <w:sz w:val="22"/>
                <w:szCs w:val="22"/>
              </w:rPr>
            </w:pPr>
          </w:p>
          <w:p w:rsidR="007909D7" w:rsidRPr="00B10D90" w:rsidRDefault="007909D7" w:rsidP="00C15B47">
            <w:pPr>
              <w:jc w:val="both"/>
              <w:rPr>
                <w:rFonts w:ascii="Century" w:hAnsi="Century"/>
                <w:sz w:val="22"/>
                <w:szCs w:val="22"/>
                <w:highlight w:val="yellow"/>
              </w:rPr>
            </w:pPr>
            <w:r w:rsidRPr="00C15B47">
              <w:rPr>
                <w:rFonts w:ascii="Century" w:hAnsi="Century"/>
                <w:sz w:val="22"/>
                <w:szCs w:val="22"/>
              </w:rPr>
              <w:t>Genel Sorumluluk Branşı hayat dışı branşlar direkt prim üretimi içinde %2</w:t>
            </w:r>
            <w:proofErr w:type="gramStart"/>
            <w:r w:rsidRPr="00C15B47">
              <w:rPr>
                <w:rFonts w:ascii="Century" w:hAnsi="Century"/>
                <w:sz w:val="22"/>
                <w:szCs w:val="22"/>
              </w:rPr>
              <w:t>,8</w:t>
            </w:r>
            <w:proofErr w:type="gramEnd"/>
            <w:r w:rsidRPr="00C15B47">
              <w:rPr>
                <w:rFonts w:ascii="Century" w:hAnsi="Century"/>
                <w:sz w:val="22"/>
                <w:szCs w:val="22"/>
              </w:rPr>
              <w:t xml:space="preserve"> oranında bir paya sahiptir. 2018 yılında 33 sigorta şirketi anılan branşta üretim gerçekleştirmiş ve 656.779 adet poliçe düzenlemiştir. Söz konusu branş altında yer alan alt branşlar için diğer branşlarda düzenlenen sözleşmeler içerisinde verilen teminatlar da dikkate alındığında, Genel Sorumluluk Teminatı içeren sözleşme sayısı 3.939.812 adede yükselmektedir.</w:t>
            </w:r>
          </w:p>
        </w:tc>
        <w:tc>
          <w:tcPr>
            <w:tcW w:w="273" w:type="dxa"/>
            <w:gridSpan w:val="6"/>
          </w:tcPr>
          <w:p w:rsidR="007909D7" w:rsidRPr="00B10D90" w:rsidRDefault="007909D7" w:rsidP="00700CE3">
            <w:pPr>
              <w:rPr>
                <w:rFonts w:ascii="Century" w:hAnsi="Century"/>
                <w:sz w:val="22"/>
                <w:szCs w:val="22"/>
                <w:highlight w:val="yellow"/>
              </w:rPr>
            </w:pPr>
          </w:p>
          <w:p w:rsidR="007909D7" w:rsidRPr="00B10D90" w:rsidRDefault="007909D7" w:rsidP="00700CE3">
            <w:pPr>
              <w:rPr>
                <w:rFonts w:ascii="Century" w:hAnsi="Century"/>
                <w:sz w:val="22"/>
                <w:szCs w:val="22"/>
                <w:highlight w:val="yellow"/>
              </w:rPr>
            </w:pPr>
          </w:p>
          <w:p w:rsidR="007909D7" w:rsidRPr="00B10D90" w:rsidRDefault="007909D7" w:rsidP="00700CE3">
            <w:pPr>
              <w:rPr>
                <w:rFonts w:ascii="Century" w:hAnsi="Century"/>
                <w:sz w:val="22"/>
                <w:szCs w:val="22"/>
                <w:highlight w:val="yellow"/>
              </w:rPr>
            </w:pPr>
          </w:p>
          <w:p w:rsidR="007909D7" w:rsidRPr="00B10D90" w:rsidRDefault="007909D7" w:rsidP="00700CE3">
            <w:pPr>
              <w:rPr>
                <w:rFonts w:ascii="Century" w:hAnsi="Century"/>
                <w:sz w:val="22"/>
                <w:szCs w:val="22"/>
                <w:highlight w:val="yellow"/>
              </w:rPr>
            </w:pPr>
          </w:p>
        </w:tc>
        <w:tc>
          <w:tcPr>
            <w:tcW w:w="4805" w:type="dxa"/>
            <w:gridSpan w:val="8"/>
          </w:tcPr>
          <w:p w:rsidR="007909D7" w:rsidRPr="00C15B47" w:rsidRDefault="007909D7" w:rsidP="00700CE3">
            <w:pPr>
              <w:jc w:val="both"/>
              <w:rPr>
                <w:rFonts w:ascii="Century" w:hAnsi="Century"/>
                <w:b/>
                <w:color w:val="003366"/>
                <w:sz w:val="22"/>
                <w:szCs w:val="22"/>
              </w:rPr>
            </w:pPr>
            <w:r w:rsidRPr="00C15B47">
              <w:rPr>
                <w:rFonts w:ascii="Century" w:hAnsi="Century"/>
                <w:b/>
                <w:color w:val="003366"/>
                <w:sz w:val="22"/>
                <w:szCs w:val="22"/>
              </w:rPr>
              <w:t>4.2.8. General Liability Insurance</w:t>
            </w:r>
          </w:p>
          <w:p w:rsidR="007909D7" w:rsidRPr="00C15B47" w:rsidRDefault="007909D7" w:rsidP="00700CE3">
            <w:pPr>
              <w:jc w:val="both"/>
              <w:rPr>
                <w:rFonts w:ascii="Century" w:hAnsi="Century"/>
                <w:color w:val="404040"/>
                <w:sz w:val="22"/>
                <w:szCs w:val="22"/>
              </w:rPr>
            </w:pPr>
          </w:p>
          <w:p w:rsidR="007909D7" w:rsidRPr="00C15B47" w:rsidRDefault="007909D7" w:rsidP="001F7086">
            <w:pPr>
              <w:jc w:val="both"/>
              <w:rPr>
                <w:rFonts w:ascii="Century" w:hAnsi="Century"/>
                <w:color w:val="333333"/>
                <w:sz w:val="22"/>
                <w:szCs w:val="22"/>
              </w:rPr>
            </w:pPr>
            <w:r w:rsidRPr="00C15B47">
              <w:rPr>
                <w:rFonts w:ascii="Century" w:hAnsi="Century"/>
                <w:color w:val="333333"/>
                <w:sz w:val="22"/>
                <w:szCs w:val="22"/>
              </w:rPr>
              <w:t>General liability LoB generated 2.8% of the non-life direct premium volume and the companies issued 656.779 insurance policies in 2018. There were 33 non-life insurance companies operating in this business.</w:t>
            </w:r>
          </w:p>
          <w:p w:rsidR="007909D7" w:rsidRPr="00C15B47" w:rsidRDefault="007909D7" w:rsidP="001F7086">
            <w:pPr>
              <w:jc w:val="both"/>
              <w:rPr>
                <w:rFonts w:ascii="Century" w:hAnsi="Century"/>
                <w:color w:val="333333"/>
                <w:sz w:val="22"/>
                <w:szCs w:val="22"/>
              </w:rPr>
            </w:pPr>
          </w:p>
          <w:p w:rsidR="007909D7" w:rsidRPr="00C15B47" w:rsidRDefault="007909D7" w:rsidP="001F7086">
            <w:pPr>
              <w:jc w:val="both"/>
              <w:rPr>
                <w:rFonts w:ascii="Century" w:hAnsi="Century"/>
                <w:color w:val="333333"/>
                <w:sz w:val="22"/>
                <w:szCs w:val="22"/>
              </w:rPr>
            </w:pPr>
            <w:r w:rsidRPr="00C15B47">
              <w:rPr>
                <w:rFonts w:ascii="Century" w:hAnsi="Century"/>
                <w:color w:val="333333"/>
                <w:sz w:val="22"/>
                <w:szCs w:val="22"/>
              </w:rPr>
              <w:t xml:space="preserve">Total number of policies issued in the general liability business reached to 3,939,812 along with insurance coverage given under the other lines of business. </w:t>
            </w:r>
          </w:p>
          <w:p w:rsidR="007909D7" w:rsidRPr="00B10D90" w:rsidRDefault="007909D7" w:rsidP="00700CE3">
            <w:pPr>
              <w:jc w:val="both"/>
              <w:rPr>
                <w:rFonts w:ascii="Century" w:hAnsi="Century"/>
                <w:color w:val="404040"/>
                <w:sz w:val="22"/>
                <w:szCs w:val="22"/>
                <w:highlight w:val="yellow"/>
              </w:rPr>
            </w:pPr>
          </w:p>
        </w:tc>
      </w:tr>
      <w:tr w:rsidR="007909D7" w:rsidRPr="00B10D90" w:rsidTr="00441D50">
        <w:trPr>
          <w:gridAfter w:val="1"/>
          <w:wAfter w:w="20" w:type="dxa"/>
          <w:trHeight w:val="239"/>
        </w:trPr>
        <w:tc>
          <w:tcPr>
            <w:tcW w:w="4760" w:type="dxa"/>
          </w:tcPr>
          <w:p w:rsidR="007909D7" w:rsidRPr="00B10D90" w:rsidRDefault="007909D7" w:rsidP="002B0429">
            <w:pPr>
              <w:pStyle w:val="Heading4"/>
              <w:keepNext w:val="0"/>
              <w:spacing w:before="0" w:after="0"/>
              <w:ind w:left="1044" w:hanging="864"/>
              <w:rPr>
                <w:rFonts w:ascii="Century" w:hAnsi="Century"/>
                <w:color w:val="000080"/>
                <w:sz w:val="16"/>
                <w:szCs w:val="16"/>
                <w:highlight w:val="yellow"/>
              </w:rPr>
            </w:pPr>
          </w:p>
        </w:tc>
        <w:tc>
          <w:tcPr>
            <w:tcW w:w="273" w:type="dxa"/>
            <w:gridSpan w:val="6"/>
          </w:tcPr>
          <w:p w:rsidR="007909D7" w:rsidRPr="00B10D90" w:rsidRDefault="007909D7" w:rsidP="00700CE3">
            <w:pPr>
              <w:rPr>
                <w:rFonts w:ascii="Century" w:hAnsi="Century"/>
                <w:sz w:val="22"/>
                <w:szCs w:val="22"/>
                <w:highlight w:val="yellow"/>
              </w:rPr>
            </w:pPr>
          </w:p>
        </w:tc>
        <w:tc>
          <w:tcPr>
            <w:tcW w:w="4805" w:type="dxa"/>
            <w:gridSpan w:val="8"/>
          </w:tcPr>
          <w:p w:rsidR="007909D7" w:rsidRPr="00B10D90" w:rsidRDefault="007909D7" w:rsidP="00700CE3">
            <w:pPr>
              <w:jc w:val="both"/>
              <w:rPr>
                <w:rFonts w:ascii="Century" w:hAnsi="Century"/>
                <w:b/>
                <w:color w:val="003366"/>
                <w:sz w:val="22"/>
                <w:szCs w:val="22"/>
                <w:highlight w:val="yellow"/>
              </w:rPr>
            </w:pPr>
          </w:p>
        </w:tc>
      </w:tr>
      <w:tr w:rsidR="007909D7" w:rsidRPr="00B10D90" w:rsidTr="00441D50">
        <w:trPr>
          <w:gridAfter w:val="1"/>
          <w:wAfter w:w="20" w:type="dxa"/>
          <w:trHeight w:val="4220"/>
        </w:trPr>
        <w:tc>
          <w:tcPr>
            <w:tcW w:w="9838" w:type="dxa"/>
            <w:gridSpan w:val="15"/>
          </w:tcPr>
          <w:p w:rsidR="007909D7" w:rsidRPr="00C15B47" w:rsidRDefault="007909D7" w:rsidP="00700CE3">
            <w:pPr>
              <w:jc w:val="center"/>
              <w:rPr>
                <w:rFonts w:ascii="Century" w:hAnsi="Century"/>
                <w:b/>
                <w:color w:val="000080"/>
                <w:sz w:val="20"/>
                <w:szCs w:val="20"/>
              </w:rPr>
            </w:pPr>
            <w:r w:rsidRPr="00C15B47">
              <w:rPr>
                <w:rFonts w:ascii="Century" w:hAnsi="Century"/>
                <w:b/>
                <w:color w:val="000080"/>
                <w:sz w:val="20"/>
                <w:szCs w:val="20"/>
              </w:rPr>
              <w:t>Tablo 4.2.17: Genel Sorumluluk Branşı Üretim ve Tazminat Verileri</w:t>
            </w:r>
          </w:p>
          <w:p w:rsidR="007909D7" w:rsidRPr="00C15B47" w:rsidRDefault="007909D7" w:rsidP="00700CE3">
            <w:pPr>
              <w:jc w:val="center"/>
              <w:rPr>
                <w:rFonts w:ascii="Century" w:hAnsi="Century"/>
                <w:i/>
                <w:color w:val="000080"/>
                <w:sz w:val="20"/>
                <w:szCs w:val="20"/>
              </w:rPr>
            </w:pPr>
            <w:r w:rsidRPr="00C15B47">
              <w:rPr>
                <w:rFonts w:ascii="Century" w:hAnsi="Century"/>
                <w:i/>
                <w:color w:val="000080"/>
                <w:sz w:val="20"/>
                <w:szCs w:val="20"/>
              </w:rPr>
              <w:t>Policy, Premium and Losses Figures in General Liability Insurance For Sub LoB</w:t>
            </w:r>
          </w:p>
          <w:p w:rsidR="007909D7" w:rsidRPr="00C15B47" w:rsidRDefault="007909D7" w:rsidP="00D542E4">
            <w:pPr>
              <w:jc w:val="center"/>
              <w:rPr>
                <w:rFonts w:ascii="Century" w:hAnsi="Century"/>
                <w:sz w:val="22"/>
                <w:szCs w:val="22"/>
              </w:rPr>
            </w:pPr>
            <w:r w:rsidRPr="00C15B47">
              <w:rPr>
                <w:rFonts w:ascii="Century" w:hAnsi="Century"/>
                <w:noProof/>
                <w:sz w:val="22"/>
                <w:szCs w:val="22"/>
              </w:rPr>
              <w:drawing>
                <wp:inline distT="0" distB="0" distL="0" distR="0" wp14:anchorId="4C1E4288" wp14:editId="3FEB2702">
                  <wp:extent cx="6106795" cy="3100705"/>
                  <wp:effectExtent l="0" t="0" r="8255"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06795" cy="3100705"/>
                          </a:xfrm>
                          <a:prstGeom prst="rect">
                            <a:avLst/>
                          </a:prstGeom>
                          <a:noFill/>
                          <a:ln>
                            <a:noFill/>
                          </a:ln>
                        </pic:spPr>
                      </pic:pic>
                    </a:graphicData>
                  </a:graphic>
                </wp:inline>
              </w:drawing>
            </w:r>
          </w:p>
        </w:tc>
      </w:tr>
      <w:tr w:rsidR="007909D7" w:rsidRPr="00B10D90" w:rsidTr="00441D50">
        <w:trPr>
          <w:gridAfter w:val="1"/>
          <w:wAfter w:w="20" w:type="dxa"/>
          <w:trHeight w:val="3665"/>
        </w:trPr>
        <w:tc>
          <w:tcPr>
            <w:tcW w:w="4760" w:type="dxa"/>
          </w:tcPr>
          <w:p w:rsidR="007909D7" w:rsidRPr="006867B8" w:rsidRDefault="007909D7" w:rsidP="003A7612">
            <w:pPr>
              <w:jc w:val="both"/>
              <w:rPr>
                <w:rFonts w:ascii="Century" w:hAnsi="Century"/>
                <w:sz w:val="22"/>
                <w:szCs w:val="22"/>
              </w:rPr>
            </w:pPr>
          </w:p>
          <w:p w:rsidR="007909D7" w:rsidRPr="006867B8" w:rsidRDefault="007909D7" w:rsidP="003A7612">
            <w:pPr>
              <w:jc w:val="both"/>
              <w:rPr>
                <w:rFonts w:ascii="Century" w:hAnsi="Century"/>
                <w:sz w:val="22"/>
                <w:szCs w:val="22"/>
              </w:rPr>
            </w:pPr>
            <w:r w:rsidRPr="006867B8">
              <w:rPr>
                <w:rFonts w:ascii="Century" w:hAnsi="Century"/>
                <w:sz w:val="22"/>
                <w:szCs w:val="22"/>
              </w:rPr>
              <w:t>Genel Sorumluluk Branşında düzenlenen sözleşmelerin %66’sı Üçüncü Şahıs Mali Sorumluluk Sigortasına, %18</w:t>
            </w:r>
            <w:proofErr w:type="gramStart"/>
            <w:r w:rsidRPr="006867B8">
              <w:rPr>
                <w:rFonts w:ascii="Century" w:hAnsi="Century"/>
                <w:sz w:val="22"/>
                <w:szCs w:val="22"/>
              </w:rPr>
              <w:t>,5’i</w:t>
            </w:r>
            <w:proofErr w:type="gramEnd"/>
            <w:r w:rsidRPr="006867B8">
              <w:rPr>
                <w:rFonts w:ascii="Century" w:hAnsi="Century"/>
                <w:sz w:val="22"/>
                <w:szCs w:val="22"/>
              </w:rPr>
              <w:t xml:space="preserve"> Mesleki Sorumluluk Sigortasına, %9,4’ü ise İşveren Mali Sorumluluk Sigortasına aittir. </w:t>
            </w:r>
          </w:p>
          <w:p w:rsidR="007909D7" w:rsidRPr="006867B8" w:rsidRDefault="007909D7" w:rsidP="003A7612">
            <w:pPr>
              <w:jc w:val="both"/>
              <w:rPr>
                <w:rFonts w:ascii="Century" w:hAnsi="Century"/>
                <w:sz w:val="22"/>
                <w:szCs w:val="22"/>
              </w:rPr>
            </w:pPr>
          </w:p>
          <w:p w:rsidR="007909D7" w:rsidRPr="006867B8" w:rsidRDefault="007909D7" w:rsidP="003A7612">
            <w:pPr>
              <w:jc w:val="both"/>
              <w:rPr>
                <w:rFonts w:ascii="Century" w:hAnsi="Century"/>
                <w:sz w:val="22"/>
                <w:szCs w:val="22"/>
              </w:rPr>
            </w:pPr>
            <w:r w:rsidRPr="006867B8">
              <w:rPr>
                <w:rFonts w:ascii="Century" w:hAnsi="Century"/>
                <w:sz w:val="22"/>
                <w:szCs w:val="22"/>
              </w:rPr>
              <w:t>Branş içinde prim ve tazminat dağılımına bakıldığında, İşveren Mali Sorumluluk Sigortasının toplam sözleşme sayısı içindeki payı %9,4 iken, prim üretimindeki payının %29,1, ödenen tazminatlardaki payının ise %35,4, olarak gerçekleştiği görülmektedir.</w:t>
            </w:r>
          </w:p>
          <w:p w:rsidR="007909D7" w:rsidRPr="006867B8" w:rsidRDefault="007909D7" w:rsidP="003A7612">
            <w:pPr>
              <w:jc w:val="both"/>
              <w:rPr>
                <w:rFonts w:ascii="Century" w:hAnsi="Century"/>
                <w:sz w:val="22"/>
                <w:szCs w:val="22"/>
              </w:rPr>
            </w:pPr>
          </w:p>
          <w:p w:rsidR="007909D7" w:rsidRPr="006867B8" w:rsidRDefault="007909D7" w:rsidP="003A7612">
            <w:pPr>
              <w:jc w:val="both"/>
              <w:rPr>
                <w:rFonts w:ascii="Century" w:hAnsi="Century"/>
                <w:sz w:val="22"/>
                <w:szCs w:val="22"/>
              </w:rPr>
            </w:pPr>
          </w:p>
          <w:p w:rsidR="007909D7" w:rsidRPr="006867B8" w:rsidRDefault="007909D7" w:rsidP="003A7612">
            <w:pPr>
              <w:jc w:val="both"/>
              <w:rPr>
                <w:rFonts w:ascii="Century" w:hAnsi="Century"/>
                <w:sz w:val="22"/>
                <w:szCs w:val="22"/>
              </w:rPr>
            </w:pPr>
          </w:p>
        </w:tc>
        <w:tc>
          <w:tcPr>
            <w:tcW w:w="273" w:type="dxa"/>
            <w:gridSpan w:val="6"/>
          </w:tcPr>
          <w:p w:rsidR="007909D7" w:rsidRPr="006867B8" w:rsidRDefault="007909D7" w:rsidP="003A7612">
            <w:pPr>
              <w:rPr>
                <w:rFonts w:ascii="Century" w:hAnsi="Century"/>
                <w:sz w:val="22"/>
                <w:szCs w:val="22"/>
              </w:rPr>
            </w:pPr>
          </w:p>
          <w:p w:rsidR="007909D7" w:rsidRPr="006867B8" w:rsidRDefault="007909D7" w:rsidP="003A7612">
            <w:pPr>
              <w:rPr>
                <w:rFonts w:ascii="Century" w:hAnsi="Century"/>
                <w:sz w:val="22"/>
                <w:szCs w:val="22"/>
              </w:rPr>
            </w:pPr>
          </w:p>
          <w:p w:rsidR="007909D7" w:rsidRPr="006867B8" w:rsidRDefault="007909D7" w:rsidP="003A7612">
            <w:pPr>
              <w:rPr>
                <w:rFonts w:ascii="Century" w:hAnsi="Century"/>
                <w:sz w:val="22"/>
                <w:szCs w:val="22"/>
              </w:rPr>
            </w:pPr>
          </w:p>
        </w:tc>
        <w:tc>
          <w:tcPr>
            <w:tcW w:w="4805" w:type="dxa"/>
            <w:gridSpan w:val="8"/>
          </w:tcPr>
          <w:p w:rsidR="007909D7" w:rsidRPr="006867B8" w:rsidRDefault="007909D7" w:rsidP="003A7612">
            <w:pPr>
              <w:jc w:val="both"/>
              <w:rPr>
                <w:rFonts w:ascii="Century" w:hAnsi="Century"/>
                <w:color w:val="333333"/>
                <w:sz w:val="22"/>
                <w:szCs w:val="22"/>
              </w:rPr>
            </w:pPr>
          </w:p>
          <w:p w:rsidR="007909D7" w:rsidRPr="006867B8" w:rsidRDefault="007909D7" w:rsidP="003A7612">
            <w:pPr>
              <w:jc w:val="both"/>
              <w:rPr>
                <w:rFonts w:ascii="Century" w:hAnsi="Century"/>
                <w:color w:val="333333"/>
                <w:sz w:val="22"/>
                <w:szCs w:val="22"/>
              </w:rPr>
            </w:pPr>
            <w:r w:rsidRPr="006867B8">
              <w:rPr>
                <w:rFonts w:ascii="Century" w:hAnsi="Century"/>
                <w:color w:val="333333"/>
                <w:sz w:val="22"/>
                <w:szCs w:val="22"/>
              </w:rPr>
              <w:t>General third party liability insurance represents 66% of the policies generated in the liability insurance. Employer third party liability insurance and occupational liability insurance represents a share of 9.4% and 18.5%, respectively.</w:t>
            </w:r>
          </w:p>
          <w:p w:rsidR="007909D7" w:rsidRPr="006867B8" w:rsidRDefault="007909D7" w:rsidP="003A7612">
            <w:pPr>
              <w:jc w:val="both"/>
              <w:rPr>
                <w:rFonts w:ascii="Century" w:hAnsi="Century"/>
                <w:color w:val="333333"/>
                <w:sz w:val="22"/>
                <w:szCs w:val="22"/>
              </w:rPr>
            </w:pPr>
          </w:p>
          <w:p w:rsidR="007909D7" w:rsidRPr="006867B8" w:rsidRDefault="006867B8" w:rsidP="00114640">
            <w:pPr>
              <w:jc w:val="both"/>
              <w:rPr>
                <w:rFonts w:ascii="Century" w:hAnsi="Century"/>
                <w:color w:val="404040"/>
                <w:sz w:val="22"/>
                <w:szCs w:val="22"/>
              </w:rPr>
            </w:pPr>
            <w:r w:rsidRPr="006867B8">
              <w:rPr>
                <w:rFonts w:ascii="Century" w:hAnsi="Century"/>
                <w:color w:val="333333"/>
                <w:sz w:val="22"/>
                <w:szCs w:val="22"/>
              </w:rPr>
              <w:t>In terms of distribution of claim payments and written premiums according to the sub LoB, employer third party liability insurance accounted for 9.4% of total number of policies, 29.1% of written premium and 35.4% of paid losses in general liability insurance business.</w:t>
            </w:r>
          </w:p>
        </w:tc>
      </w:tr>
      <w:tr w:rsidR="007909D7" w:rsidRPr="00B10D90" w:rsidTr="00441D50">
        <w:trPr>
          <w:gridAfter w:val="1"/>
          <w:wAfter w:w="20" w:type="dxa"/>
          <w:trHeight w:val="690"/>
        </w:trPr>
        <w:tc>
          <w:tcPr>
            <w:tcW w:w="9838" w:type="dxa"/>
            <w:gridSpan w:val="15"/>
          </w:tcPr>
          <w:p w:rsidR="007909D7" w:rsidRPr="00C15B47" w:rsidRDefault="007909D7" w:rsidP="00700CE3">
            <w:pPr>
              <w:jc w:val="center"/>
              <w:rPr>
                <w:rFonts w:ascii="Century" w:hAnsi="Century"/>
                <w:i/>
                <w:color w:val="000080"/>
                <w:sz w:val="20"/>
                <w:szCs w:val="20"/>
              </w:rPr>
            </w:pPr>
            <w:r w:rsidRPr="00C15B47">
              <w:rPr>
                <w:rFonts w:ascii="Century" w:hAnsi="Century"/>
                <w:b/>
                <w:color w:val="000080"/>
                <w:sz w:val="20"/>
                <w:szCs w:val="20"/>
              </w:rPr>
              <w:lastRenderedPageBreak/>
              <w:t>Grafik 4.2.18: Genel Sorumluluk Branşı Verileri Yüzdeleri</w:t>
            </w:r>
            <w:r w:rsidRPr="00C15B47">
              <w:rPr>
                <w:rFonts w:ascii="Century" w:hAnsi="Century"/>
                <w:i/>
                <w:color w:val="000080"/>
                <w:sz w:val="20"/>
                <w:szCs w:val="20"/>
              </w:rPr>
              <w:t xml:space="preserve"> (%)</w:t>
            </w:r>
          </w:p>
          <w:p w:rsidR="007909D7" w:rsidRPr="00C15B47" w:rsidRDefault="007909D7" w:rsidP="00700CE3">
            <w:pPr>
              <w:jc w:val="center"/>
              <w:rPr>
                <w:rFonts w:ascii="Century" w:hAnsi="Century"/>
                <w:i/>
                <w:color w:val="000080"/>
                <w:sz w:val="20"/>
                <w:szCs w:val="20"/>
              </w:rPr>
            </w:pPr>
            <w:r w:rsidRPr="00C15B47">
              <w:rPr>
                <w:rFonts w:ascii="Century" w:hAnsi="Century"/>
                <w:i/>
                <w:color w:val="000080"/>
                <w:sz w:val="20"/>
                <w:szCs w:val="20"/>
              </w:rPr>
              <w:t>Policy, Premium and Losses Shares inPublic Liability Business (%)</w:t>
            </w:r>
          </w:p>
          <w:p w:rsidR="007909D7" w:rsidRPr="00C15B47" w:rsidRDefault="007909D7" w:rsidP="00700CE3">
            <w:pPr>
              <w:jc w:val="center"/>
              <w:rPr>
                <w:rFonts w:ascii="Century" w:hAnsi="Century"/>
                <w:i/>
                <w:color w:val="000080"/>
                <w:sz w:val="20"/>
                <w:szCs w:val="20"/>
              </w:rPr>
            </w:pPr>
            <w:r w:rsidRPr="00C15B47">
              <w:rPr>
                <w:rFonts w:ascii="Century" w:hAnsi="Century"/>
                <w:i/>
                <w:noProof/>
                <w:color w:val="000080"/>
                <w:sz w:val="20"/>
                <w:szCs w:val="20"/>
              </w:rPr>
              <w:drawing>
                <wp:inline distT="0" distB="0" distL="0" distR="0" wp14:anchorId="3B445C22" wp14:editId="488F471D">
                  <wp:extent cx="6105881" cy="139942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06795" cy="1399638"/>
                          </a:xfrm>
                          <a:prstGeom prst="rect">
                            <a:avLst/>
                          </a:prstGeom>
                          <a:noFill/>
                          <a:ln>
                            <a:noFill/>
                          </a:ln>
                        </pic:spPr>
                      </pic:pic>
                    </a:graphicData>
                  </a:graphic>
                </wp:inline>
              </w:drawing>
            </w:r>
          </w:p>
          <w:p w:rsidR="007909D7" w:rsidRPr="00C15B47" w:rsidRDefault="007909D7" w:rsidP="002B0429">
            <w:pPr>
              <w:rPr>
                <w:rFonts w:ascii="Century" w:hAnsi="Century"/>
                <w:sz w:val="16"/>
                <w:szCs w:val="16"/>
              </w:rPr>
            </w:pPr>
          </w:p>
        </w:tc>
      </w:tr>
      <w:tr w:rsidR="007909D7" w:rsidRPr="00B10D90" w:rsidTr="00441D50">
        <w:trPr>
          <w:gridAfter w:val="1"/>
          <w:wAfter w:w="20" w:type="dxa"/>
          <w:trHeight w:val="502"/>
        </w:trPr>
        <w:tc>
          <w:tcPr>
            <w:tcW w:w="4760" w:type="dxa"/>
          </w:tcPr>
          <w:p w:rsidR="007909D7" w:rsidRPr="006867B8" w:rsidRDefault="007909D7" w:rsidP="002E2AF9">
            <w:pPr>
              <w:jc w:val="both"/>
              <w:rPr>
                <w:rFonts w:ascii="Century" w:hAnsi="Century"/>
                <w:color w:val="000000" w:themeColor="text1"/>
                <w:sz w:val="22"/>
                <w:szCs w:val="22"/>
              </w:rPr>
            </w:pPr>
            <w:r w:rsidRPr="006867B8">
              <w:rPr>
                <w:rFonts w:ascii="Century" w:hAnsi="Century"/>
                <w:color w:val="000000" w:themeColor="text1"/>
                <w:sz w:val="22"/>
                <w:szCs w:val="22"/>
              </w:rPr>
              <w:t xml:space="preserve">Branş teknik verilerinin son yıllardaki gelişimi incelendiğinde, prim üretiminde 2016 yılı dışında %20 ve üzerinde artışlar meydana gelmesine rağmen anılan branşta hasar oranlarının %100’e yakın ve üzerinde gerçekleşmesi nedeniyle istenen teknik karlılık seviyelerine ulaşılamamıştır. Ancak 2018 yılında hasar oranı bir önceki yıla göre 39 puan artış göstererek %137 seviyesinde gerçekleşmesine rağmen teknik olmayan bölümden aktarılan yatırım gelirlerindeki yüksek oranlı artış nedeniyle teknik karlılık oranı söz konusu yılda yaklaşık %2 seviyelerinde gerçekleşmiştir. </w:t>
            </w:r>
          </w:p>
        </w:tc>
        <w:tc>
          <w:tcPr>
            <w:tcW w:w="273" w:type="dxa"/>
            <w:gridSpan w:val="6"/>
          </w:tcPr>
          <w:p w:rsidR="007909D7" w:rsidRPr="006867B8" w:rsidRDefault="007909D7" w:rsidP="003A7612">
            <w:pPr>
              <w:rPr>
                <w:rFonts w:ascii="Century" w:hAnsi="Century"/>
                <w:sz w:val="22"/>
                <w:szCs w:val="22"/>
              </w:rPr>
            </w:pPr>
          </w:p>
        </w:tc>
        <w:tc>
          <w:tcPr>
            <w:tcW w:w="4805" w:type="dxa"/>
            <w:gridSpan w:val="8"/>
          </w:tcPr>
          <w:p w:rsidR="007909D7" w:rsidRPr="006867B8" w:rsidRDefault="006867B8" w:rsidP="00D6425C">
            <w:pPr>
              <w:jc w:val="both"/>
              <w:rPr>
                <w:rFonts w:ascii="Century" w:hAnsi="Century"/>
                <w:color w:val="333333"/>
                <w:sz w:val="22"/>
                <w:szCs w:val="22"/>
              </w:rPr>
            </w:pPr>
            <w:r w:rsidRPr="006867B8">
              <w:rPr>
                <w:rFonts w:ascii="Century" w:hAnsi="Century"/>
                <w:color w:val="333333"/>
                <w:sz w:val="22"/>
                <w:szCs w:val="22"/>
              </w:rPr>
              <w:t>As it seen from the development of technical values in recent years, although there has been a steady increase above 20% in gross premiums, a desired technical profit could not obtain due to high loss ratio closed to 100%. Although loss ratio increased by 39% and reached to 137% in 2018, there was a technical profit of 2% thanks to high increase in investment income transferred from non-technical section.</w:t>
            </w:r>
          </w:p>
        </w:tc>
      </w:tr>
      <w:tr w:rsidR="007909D7" w:rsidRPr="00336E1F" w:rsidTr="00441D50">
        <w:trPr>
          <w:gridAfter w:val="1"/>
          <w:wAfter w:w="20" w:type="dxa"/>
          <w:trHeight w:val="569"/>
        </w:trPr>
        <w:tc>
          <w:tcPr>
            <w:tcW w:w="9838" w:type="dxa"/>
            <w:gridSpan w:val="15"/>
          </w:tcPr>
          <w:p w:rsidR="007909D7" w:rsidRPr="00336E1F" w:rsidRDefault="007909D7" w:rsidP="004004DF">
            <w:pPr>
              <w:jc w:val="center"/>
              <w:rPr>
                <w:rFonts w:ascii="Century" w:hAnsi="Century"/>
                <w:b/>
                <w:color w:val="000080"/>
                <w:sz w:val="16"/>
                <w:szCs w:val="16"/>
              </w:rPr>
            </w:pPr>
          </w:p>
          <w:p w:rsidR="007909D7" w:rsidRPr="00336E1F" w:rsidRDefault="007909D7" w:rsidP="004004DF">
            <w:pPr>
              <w:jc w:val="center"/>
              <w:rPr>
                <w:rFonts w:ascii="Century" w:hAnsi="Century"/>
                <w:color w:val="000080"/>
                <w:sz w:val="16"/>
                <w:szCs w:val="16"/>
              </w:rPr>
            </w:pPr>
            <w:r w:rsidRPr="00336E1F">
              <w:rPr>
                <w:rFonts w:ascii="Century" w:hAnsi="Century"/>
                <w:b/>
                <w:color w:val="000080"/>
                <w:sz w:val="16"/>
                <w:szCs w:val="16"/>
              </w:rPr>
              <w:t>Tablo 4.2.18: Genel Sorumluluk Branşı Teknik Verileri</w:t>
            </w:r>
          </w:p>
          <w:p w:rsidR="007909D7" w:rsidRPr="00336E1F" w:rsidRDefault="007909D7" w:rsidP="004004DF">
            <w:pPr>
              <w:jc w:val="center"/>
              <w:rPr>
                <w:rFonts w:ascii="Century" w:hAnsi="Century"/>
                <w:color w:val="000080"/>
                <w:sz w:val="16"/>
                <w:szCs w:val="16"/>
              </w:rPr>
            </w:pPr>
            <w:r w:rsidRPr="00336E1F">
              <w:rPr>
                <w:rFonts w:ascii="Century" w:hAnsi="Century"/>
                <w:color w:val="000080"/>
                <w:sz w:val="16"/>
                <w:szCs w:val="16"/>
              </w:rPr>
              <w:t>Technical Results of Public Liability Insurance</w:t>
            </w:r>
          </w:p>
          <w:p w:rsidR="007909D7" w:rsidRPr="00336E1F" w:rsidRDefault="007909D7" w:rsidP="004004DF">
            <w:pPr>
              <w:jc w:val="center"/>
              <w:rPr>
                <w:rFonts w:ascii="Century" w:hAnsi="Century"/>
                <w:color w:val="000080"/>
                <w:sz w:val="18"/>
                <w:szCs w:val="18"/>
              </w:rPr>
            </w:pPr>
            <w:r w:rsidRPr="00336E1F">
              <w:rPr>
                <w:rFonts w:ascii="Century" w:hAnsi="Century"/>
                <w:noProof/>
                <w:color w:val="000080"/>
                <w:sz w:val="18"/>
                <w:szCs w:val="18"/>
              </w:rPr>
              <w:drawing>
                <wp:inline distT="0" distB="0" distL="0" distR="0" wp14:anchorId="3BA7F74E" wp14:editId="35C74806">
                  <wp:extent cx="6106032" cy="2075290"/>
                  <wp:effectExtent l="0" t="0" r="952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06795" cy="2075549"/>
                          </a:xfrm>
                          <a:prstGeom prst="rect">
                            <a:avLst/>
                          </a:prstGeom>
                          <a:noFill/>
                          <a:ln>
                            <a:noFill/>
                          </a:ln>
                        </pic:spPr>
                      </pic:pic>
                    </a:graphicData>
                  </a:graphic>
                </wp:inline>
              </w:drawing>
            </w:r>
          </w:p>
          <w:p w:rsidR="007909D7" w:rsidRPr="00336E1F" w:rsidRDefault="007909D7" w:rsidP="00D542E4">
            <w:pPr>
              <w:rPr>
                <w:rFonts w:ascii="Century" w:hAnsi="Century"/>
                <w:sz w:val="16"/>
                <w:szCs w:val="16"/>
              </w:rPr>
            </w:pPr>
            <w:r w:rsidRPr="00336E1F">
              <w:rPr>
                <w:rFonts w:ascii="Century" w:hAnsi="Century"/>
                <w:sz w:val="16"/>
                <w:szCs w:val="16"/>
              </w:rPr>
              <w:t xml:space="preserve">(*) Dönem içinde tahakkuk eden komisyon tutarları. </w:t>
            </w:r>
            <w:r w:rsidRPr="00336E1F">
              <w:rPr>
                <w:rFonts w:ascii="Century" w:hAnsi="Century"/>
                <w:i/>
                <w:sz w:val="16"/>
                <w:szCs w:val="16"/>
              </w:rPr>
              <w:t>Commission amount incurred during the year.</w:t>
            </w:r>
          </w:p>
        </w:tc>
      </w:tr>
      <w:tr w:rsidR="007909D7" w:rsidRPr="00B10D90" w:rsidTr="00441D50">
        <w:trPr>
          <w:gridAfter w:val="1"/>
          <w:wAfter w:w="20" w:type="dxa"/>
        </w:trPr>
        <w:tc>
          <w:tcPr>
            <w:tcW w:w="9838" w:type="dxa"/>
            <w:gridSpan w:val="15"/>
          </w:tcPr>
          <w:p w:rsidR="007909D7" w:rsidRPr="008617B9" w:rsidRDefault="007909D7" w:rsidP="00FA326E">
            <w:pPr>
              <w:jc w:val="center"/>
              <w:rPr>
                <w:rFonts w:ascii="Century" w:hAnsi="Century"/>
                <w:b/>
                <w:color w:val="000080"/>
                <w:sz w:val="10"/>
                <w:szCs w:val="10"/>
              </w:rPr>
            </w:pPr>
          </w:p>
          <w:p w:rsidR="007909D7" w:rsidRPr="00C15B47" w:rsidRDefault="007909D7" w:rsidP="00FA326E">
            <w:pPr>
              <w:jc w:val="center"/>
              <w:rPr>
                <w:rFonts w:ascii="Century" w:hAnsi="Century"/>
                <w:b/>
                <w:color w:val="000080"/>
                <w:sz w:val="20"/>
                <w:szCs w:val="20"/>
              </w:rPr>
            </w:pPr>
            <w:r w:rsidRPr="00C15B47">
              <w:rPr>
                <w:rFonts w:ascii="Century" w:hAnsi="Century"/>
                <w:b/>
                <w:color w:val="000080"/>
                <w:sz w:val="20"/>
                <w:szCs w:val="20"/>
              </w:rPr>
              <w:t>Grafik 4.2.19: Genel Sorumluluk Branşı Teknik Oranları (Brüt, %)</w:t>
            </w:r>
          </w:p>
          <w:p w:rsidR="007909D7" w:rsidRPr="00C15B47" w:rsidRDefault="007909D7" w:rsidP="00FA326E">
            <w:pPr>
              <w:jc w:val="center"/>
              <w:rPr>
                <w:rFonts w:ascii="Century" w:hAnsi="Century"/>
                <w:i/>
                <w:color w:val="000080"/>
                <w:sz w:val="20"/>
                <w:szCs w:val="20"/>
              </w:rPr>
            </w:pPr>
            <w:r w:rsidRPr="00C15B47">
              <w:rPr>
                <w:rFonts w:ascii="Century" w:hAnsi="Century"/>
                <w:i/>
                <w:color w:val="000080"/>
                <w:sz w:val="20"/>
                <w:szCs w:val="20"/>
              </w:rPr>
              <w:t>Technical Ratios for General Liability (Gross, %)</w:t>
            </w:r>
          </w:p>
          <w:p w:rsidR="007909D7" w:rsidRPr="00C15B47" w:rsidRDefault="007909D7" w:rsidP="00D542E4">
            <w:pPr>
              <w:jc w:val="center"/>
              <w:rPr>
                <w:rFonts w:ascii="Century" w:hAnsi="Century"/>
                <w:i/>
                <w:color w:val="000080"/>
                <w:sz w:val="20"/>
                <w:szCs w:val="20"/>
              </w:rPr>
            </w:pPr>
            <w:r>
              <w:rPr>
                <w:rFonts w:ascii="Century" w:hAnsi="Century"/>
                <w:i/>
                <w:noProof/>
                <w:color w:val="000080"/>
                <w:sz w:val="20"/>
                <w:szCs w:val="20"/>
              </w:rPr>
              <w:drawing>
                <wp:inline distT="0" distB="0" distL="0" distR="0" wp14:anchorId="3922DC1B" wp14:editId="0962CE0E">
                  <wp:extent cx="6106600" cy="1630018"/>
                  <wp:effectExtent l="0" t="0" r="0" b="8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06600" cy="1630018"/>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356154" w:rsidRDefault="007909D7" w:rsidP="007D65D8">
            <w:pPr>
              <w:pStyle w:val="Heading3"/>
              <w:keepNext w:val="0"/>
              <w:spacing w:before="0" w:after="0"/>
              <w:ind w:left="0"/>
              <w:jc w:val="both"/>
              <w:rPr>
                <w:rFonts w:ascii="Century" w:hAnsi="Century"/>
                <w:color w:val="000080"/>
                <w:sz w:val="22"/>
                <w:szCs w:val="22"/>
              </w:rPr>
            </w:pPr>
            <w:bookmarkStart w:id="247" w:name="_Toc358380214"/>
            <w:bookmarkStart w:id="248" w:name="_Toc12957686"/>
            <w:r w:rsidRPr="00356154">
              <w:rPr>
                <w:rFonts w:ascii="Century" w:hAnsi="Century"/>
                <w:color w:val="000080"/>
                <w:sz w:val="22"/>
                <w:szCs w:val="22"/>
              </w:rPr>
              <w:lastRenderedPageBreak/>
              <w:t>Hukuksal Koruma Branşı</w:t>
            </w:r>
            <w:bookmarkEnd w:id="247"/>
            <w:bookmarkEnd w:id="248"/>
          </w:p>
          <w:p w:rsidR="007909D7" w:rsidRPr="00356154" w:rsidRDefault="007909D7" w:rsidP="000A7BCC"/>
          <w:p w:rsidR="007909D7" w:rsidRPr="00356154" w:rsidRDefault="007909D7" w:rsidP="001F7086">
            <w:pPr>
              <w:jc w:val="both"/>
              <w:rPr>
                <w:rFonts w:ascii="Century" w:hAnsi="Century"/>
                <w:sz w:val="22"/>
                <w:szCs w:val="22"/>
              </w:rPr>
            </w:pPr>
            <w:r w:rsidRPr="00356154">
              <w:rPr>
                <w:rFonts w:ascii="Century" w:hAnsi="Century"/>
                <w:sz w:val="22"/>
                <w:szCs w:val="22"/>
              </w:rPr>
              <w:t>Hukuksal Koruma Branşı hayat dışı direkt prim üretimi içerisinde %0</w:t>
            </w:r>
            <w:proofErr w:type="gramStart"/>
            <w:r w:rsidRPr="00356154">
              <w:rPr>
                <w:rFonts w:ascii="Century" w:hAnsi="Century"/>
                <w:sz w:val="22"/>
                <w:szCs w:val="22"/>
              </w:rPr>
              <w:t>,4</w:t>
            </w:r>
            <w:proofErr w:type="gramEnd"/>
            <w:r w:rsidRPr="00356154">
              <w:rPr>
                <w:rFonts w:ascii="Century" w:hAnsi="Century"/>
                <w:sz w:val="22"/>
                <w:szCs w:val="22"/>
              </w:rPr>
              <w:t xml:space="preserve"> oranında bir paya sahiptir. 2018 yılında 28 sigorta şirketi anılan branşta faaliyet göstermiş ve toplam 465.335 adet poliçe düzenlemiştir.</w:t>
            </w:r>
          </w:p>
          <w:p w:rsidR="007909D7" w:rsidRPr="00356154" w:rsidRDefault="007909D7" w:rsidP="001F7086">
            <w:pPr>
              <w:jc w:val="both"/>
              <w:rPr>
                <w:rFonts w:ascii="Century" w:hAnsi="Century"/>
                <w:sz w:val="22"/>
                <w:szCs w:val="22"/>
              </w:rPr>
            </w:pPr>
          </w:p>
          <w:p w:rsidR="007909D7" w:rsidRPr="00356154" w:rsidRDefault="007909D7" w:rsidP="00205C7C">
            <w:pPr>
              <w:jc w:val="both"/>
              <w:rPr>
                <w:rFonts w:ascii="Century" w:hAnsi="Century"/>
                <w:sz w:val="22"/>
                <w:szCs w:val="22"/>
              </w:rPr>
            </w:pPr>
            <w:r w:rsidRPr="00356154">
              <w:rPr>
                <w:rFonts w:ascii="Century" w:hAnsi="Century"/>
                <w:sz w:val="22"/>
                <w:szCs w:val="22"/>
              </w:rPr>
              <w:t>Hukuksal Koruma Branşında prim üretimi yıllar itibarıyla düzenli olarak artarken 2018 yılında % 25</w:t>
            </w:r>
            <w:proofErr w:type="gramStart"/>
            <w:r w:rsidRPr="00356154">
              <w:rPr>
                <w:rFonts w:ascii="Century" w:hAnsi="Century"/>
                <w:sz w:val="22"/>
                <w:szCs w:val="22"/>
              </w:rPr>
              <w:t>,5</w:t>
            </w:r>
            <w:proofErr w:type="gramEnd"/>
            <w:r w:rsidRPr="00356154">
              <w:rPr>
                <w:rFonts w:ascii="Century" w:hAnsi="Century"/>
                <w:sz w:val="22"/>
                <w:szCs w:val="22"/>
              </w:rPr>
              <w:t xml:space="preserve"> oranında azalış göstermiştir. Ancak söz konusu branşta hasar oranının çok düşük seviyelerde gerçekleşmesi nedeniyle teknik karlılık oranları yıllar itibariyle artış göstermektedir. </w:t>
            </w:r>
          </w:p>
          <w:p w:rsidR="007909D7" w:rsidRPr="00356154" w:rsidRDefault="007909D7" w:rsidP="00205C7C">
            <w:pPr>
              <w:jc w:val="both"/>
            </w:pPr>
          </w:p>
        </w:tc>
        <w:tc>
          <w:tcPr>
            <w:tcW w:w="273" w:type="dxa"/>
            <w:gridSpan w:val="6"/>
          </w:tcPr>
          <w:p w:rsidR="007909D7" w:rsidRPr="00356154" w:rsidRDefault="007909D7" w:rsidP="00700CE3">
            <w:pPr>
              <w:rPr>
                <w:rFonts w:ascii="Century" w:hAnsi="Century"/>
              </w:rPr>
            </w:pPr>
          </w:p>
        </w:tc>
        <w:tc>
          <w:tcPr>
            <w:tcW w:w="4805" w:type="dxa"/>
            <w:gridSpan w:val="8"/>
          </w:tcPr>
          <w:p w:rsidR="007909D7" w:rsidRPr="00356154" w:rsidRDefault="007909D7" w:rsidP="000A7BCC">
            <w:pPr>
              <w:jc w:val="both"/>
              <w:rPr>
                <w:rFonts w:ascii="Century" w:hAnsi="Century"/>
                <w:b/>
                <w:color w:val="003366"/>
                <w:sz w:val="22"/>
                <w:szCs w:val="22"/>
              </w:rPr>
            </w:pPr>
            <w:r w:rsidRPr="00356154">
              <w:rPr>
                <w:rFonts w:ascii="Century" w:hAnsi="Century"/>
                <w:b/>
                <w:color w:val="003366"/>
                <w:sz w:val="22"/>
                <w:szCs w:val="22"/>
              </w:rPr>
              <w:t>4.2.9. Legal Expenses Insurance</w:t>
            </w:r>
          </w:p>
          <w:p w:rsidR="007909D7" w:rsidRPr="00356154" w:rsidRDefault="007909D7" w:rsidP="000A7BCC">
            <w:pPr>
              <w:jc w:val="both"/>
              <w:rPr>
                <w:rFonts w:ascii="Century" w:hAnsi="Century"/>
                <w:color w:val="333333"/>
                <w:sz w:val="22"/>
                <w:szCs w:val="22"/>
              </w:rPr>
            </w:pPr>
          </w:p>
          <w:p w:rsidR="007909D7" w:rsidRPr="00356154" w:rsidRDefault="007909D7" w:rsidP="001F7086">
            <w:pPr>
              <w:jc w:val="both"/>
              <w:rPr>
                <w:rFonts w:ascii="Century" w:hAnsi="Century"/>
                <w:color w:val="333333"/>
                <w:sz w:val="22"/>
                <w:szCs w:val="22"/>
              </w:rPr>
            </w:pPr>
            <w:r w:rsidRPr="00356154">
              <w:rPr>
                <w:rFonts w:ascii="Century" w:hAnsi="Century"/>
                <w:color w:val="333333"/>
                <w:sz w:val="22"/>
                <w:szCs w:val="22"/>
              </w:rPr>
              <w:t xml:space="preserve">There are 28 non-life insurance companies operating in legal protection insurance, which generated 0.4% of the non-life direct premium production and 465,335 insurance policies were issued in 2018. </w:t>
            </w:r>
          </w:p>
          <w:p w:rsidR="007909D7" w:rsidRPr="00356154" w:rsidRDefault="007909D7" w:rsidP="001F7086">
            <w:pPr>
              <w:jc w:val="both"/>
              <w:rPr>
                <w:rFonts w:ascii="Century" w:hAnsi="Century"/>
                <w:color w:val="333333"/>
                <w:sz w:val="22"/>
                <w:szCs w:val="22"/>
              </w:rPr>
            </w:pPr>
          </w:p>
          <w:p w:rsidR="007909D7" w:rsidRPr="00356154" w:rsidRDefault="00356154" w:rsidP="00700CE3">
            <w:pPr>
              <w:jc w:val="both"/>
              <w:rPr>
                <w:rFonts w:ascii="Century" w:hAnsi="Century"/>
                <w:color w:val="333333"/>
                <w:sz w:val="22"/>
                <w:szCs w:val="22"/>
              </w:rPr>
            </w:pPr>
            <w:r w:rsidRPr="00356154">
              <w:rPr>
                <w:rFonts w:ascii="Century" w:hAnsi="Century"/>
                <w:color w:val="333333"/>
                <w:sz w:val="22"/>
                <w:szCs w:val="22"/>
              </w:rPr>
              <w:t xml:space="preserve">While premium written in this line of business has been increasing steadily over the years, it decreased by 25.5% in 2018. However, technical profit ratios have been increasing through very low level of loss ratio over the years. </w:t>
            </w:r>
          </w:p>
        </w:tc>
      </w:tr>
      <w:tr w:rsidR="007909D7" w:rsidRPr="00B10D90" w:rsidTr="00441D50">
        <w:trPr>
          <w:gridAfter w:val="1"/>
          <w:wAfter w:w="20" w:type="dxa"/>
        </w:trPr>
        <w:tc>
          <w:tcPr>
            <w:tcW w:w="9838" w:type="dxa"/>
            <w:gridSpan w:val="15"/>
          </w:tcPr>
          <w:p w:rsidR="007909D7" w:rsidRPr="006C0283" w:rsidRDefault="007909D7" w:rsidP="000A7BCC">
            <w:pPr>
              <w:jc w:val="center"/>
              <w:rPr>
                <w:rFonts w:ascii="Century" w:hAnsi="Century"/>
                <w:i/>
                <w:color w:val="000080"/>
                <w:sz w:val="20"/>
                <w:szCs w:val="20"/>
              </w:rPr>
            </w:pPr>
            <w:r w:rsidRPr="006C0283">
              <w:rPr>
                <w:rFonts w:ascii="Century" w:hAnsi="Century"/>
                <w:b/>
                <w:color w:val="000080"/>
                <w:sz w:val="20"/>
                <w:szCs w:val="20"/>
              </w:rPr>
              <w:t xml:space="preserve">Tablo 4.2.19: Hukuksal Koruma Branşı Teknik Verileri </w:t>
            </w:r>
          </w:p>
          <w:p w:rsidR="007909D7" w:rsidRPr="006C0283" w:rsidRDefault="007909D7" w:rsidP="000A7BCC">
            <w:pPr>
              <w:jc w:val="center"/>
              <w:rPr>
                <w:rFonts w:ascii="Century" w:hAnsi="Century"/>
                <w:i/>
                <w:color w:val="000080"/>
                <w:sz w:val="20"/>
                <w:szCs w:val="20"/>
              </w:rPr>
            </w:pPr>
            <w:r w:rsidRPr="006C0283">
              <w:rPr>
                <w:rFonts w:ascii="Century" w:hAnsi="Century"/>
                <w:i/>
                <w:color w:val="000080"/>
                <w:sz w:val="20"/>
                <w:szCs w:val="20"/>
              </w:rPr>
              <w:t>Technical Figures of Legal Protection LoB</w:t>
            </w:r>
          </w:p>
          <w:p w:rsidR="007909D7" w:rsidRPr="006C0283" w:rsidRDefault="007909D7" w:rsidP="000A7BCC">
            <w:pPr>
              <w:jc w:val="center"/>
              <w:rPr>
                <w:rFonts w:ascii="Century" w:hAnsi="Century"/>
                <w:i/>
                <w:color w:val="000080"/>
                <w:sz w:val="20"/>
                <w:szCs w:val="20"/>
              </w:rPr>
            </w:pPr>
            <w:r w:rsidRPr="006C0283">
              <w:rPr>
                <w:rFonts w:ascii="Century" w:hAnsi="Century"/>
                <w:i/>
                <w:noProof/>
                <w:color w:val="000080"/>
                <w:sz w:val="20"/>
                <w:szCs w:val="20"/>
              </w:rPr>
              <w:drawing>
                <wp:inline distT="0" distB="0" distL="0" distR="0" wp14:anchorId="2E87A530" wp14:editId="24D8DB76">
                  <wp:extent cx="6106795" cy="2250440"/>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06795" cy="2250440"/>
                          </a:xfrm>
                          <a:prstGeom prst="rect">
                            <a:avLst/>
                          </a:prstGeom>
                          <a:noFill/>
                          <a:ln>
                            <a:noFill/>
                          </a:ln>
                        </pic:spPr>
                      </pic:pic>
                    </a:graphicData>
                  </a:graphic>
                </wp:inline>
              </w:drawing>
            </w:r>
          </w:p>
          <w:p w:rsidR="007909D7" w:rsidRPr="006C0283" w:rsidRDefault="007909D7" w:rsidP="006C0283">
            <w:pPr>
              <w:rPr>
                <w:rFonts w:ascii="Century" w:hAnsi="Century"/>
                <w:b/>
                <w:color w:val="003366"/>
                <w:sz w:val="22"/>
                <w:szCs w:val="22"/>
              </w:rPr>
            </w:pPr>
            <w:r w:rsidRPr="006C0283">
              <w:rPr>
                <w:rFonts w:ascii="Century" w:hAnsi="Century"/>
                <w:sz w:val="16"/>
                <w:szCs w:val="16"/>
              </w:rPr>
              <w:t xml:space="preserve">(*) Dönem içinde tahakkuk eden komisyon tutarları. </w:t>
            </w:r>
            <w:r w:rsidRPr="006C0283">
              <w:rPr>
                <w:rFonts w:ascii="Century" w:hAnsi="Century"/>
                <w:i/>
                <w:sz w:val="16"/>
                <w:szCs w:val="16"/>
              </w:rPr>
              <w:t>Commission amount incurred during the year.</w:t>
            </w:r>
          </w:p>
        </w:tc>
      </w:tr>
      <w:tr w:rsidR="007909D7" w:rsidRPr="00B10D90" w:rsidTr="00441D50">
        <w:trPr>
          <w:gridAfter w:val="1"/>
          <w:wAfter w:w="20" w:type="dxa"/>
        </w:trPr>
        <w:tc>
          <w:tcPr>
            <w:tcW w:w="4760" w:type="dxa"/>
          </w:tcPr>
          <w:p w:rsidR="007909D7" w:rsidRPr="00B10D90" w:rsidRDefault="007909D7" w:rsidP="002B0429">
            <w:pPr>
              <w:pStyle w:val="Heading4"/>
              <w:keepNext w:val="0"/>
              <w:spacing w:before="0" w:after="0"/>
              <w:rPr>
                <w:rFonts w:ascii="Century" w:hAnsi="Century"/>
                <w:color w:val="000080"/>
                <w:sz w:val="22"/>
                <w:szCs w:val="22"/>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Default="007909D7" w:rsidP="00700CE3">
            <w:pPr>
              <w:jc w:val="both"/>
              <w:rPr>
                <w:rFonts w:ascii="Century" w:hAnsi="Century"/>
                <w:b/>
                <w:color w:val="003366"/>
                <w:sz w:val="22"/>
                <w:szCs w:val="22"/>
                <w:highlight w:val="yellow"/>
              </w:rPr>
            </w:pPr>
          </w:p>
          <w:p w:rsidR="007909D7" w:rsidRPr="00B10D90" w:rsidRDefault="007909D7" w:rsidP="00700CE3">
            <w:pPr>
              <w:jc w:val="both"/>
              <w:rPr>
                <w:rFonts w:ascii="Century" w:hAnsi="Century"/>
                <w:b/>
                <w:color w:val="003366"/>
                <w:sz w:val="22"/>
                <w:szCs w:val="22"/>
                <w:highlight w:val="yellow"/>
              </w:rPr>
            </w:pPr>
          </w:p>
        </w:tc>
      </w:tr>
      <w:tr w:rsidR="007909D7" w:rsidRPr="00B10D90" w:rsidTr="00441D50">
        <w:trPr>
          <w:gridAfter w:val="1"/>
          <w:wAfter w:w="20" w:type="dxa"/>
        </w:trPr>
        <w:tc>
          <w:tcPr>
            <w:tcW w:w="9838" w:type="dxa"/>
            <w:gridSpan w:val="15"/>
          </w:tcPr>
          <w:p w:rsidR="007909D7" w:rsidRPr="00205C7C" w:rsidRDefault="007909D7" w:rsidP="000A7BCC">
            <w:pPr>
              <w:jc w:val="center"/>
              <w:rPr>
                <w:rFonts w:ascii="Century" w:hAnsi="Century"/>
                <w:b/>
                <w:color w:val="000080"/>
                <w:sz w:val="20"/>
                <w:szCs w:val="20"/>
              </w:rPr>
            </w:pPr>
            <w:r w:rsidRPr="00205C7C">
              <w:rPr>
                <w:rFonts w:ascii="Century" w:hAnsi="Century"/>
                <w:b/>
                <w:color w:val="000080"/>
                <w:sz w:val="20"/>
                <w:szCs w:val="20"/>
              </w:rPr>
              <w:t>Grafik 4.2.20: Hukuksal Koruma Branşı Teknik Oranları (Brüt, %)</w:t>
            </w:r>
          </w:p>
          <w:p w:rsidR="007909D7" w:rsidRPr="00205C7C" w:rsidRDefault="007909D7" w:rsidP="000A7BCC">
            <w:pPr>
              <w:jc w:val="center"/>
              <w:rPr>
                <w:rFonts w:ascii="Century" w:hAnsi="Century"/>
                <w:color w:val="000080"/>
                <w:sz w:val="20"/>
                <w:szCs w:val="20"/>
              </w:rPr>
            </w:pPr>
            <w:r w:rsidRPr="00205C7C">
              <w:rPr>
                <w:rFonts w:ascii="Century" w:hAnsi="Century"/>
                <w:color w:val="000080"/>
                <w:sz w:val="20"/>
                <w:szCs w:val="20"/>
              </w:rPr>
              <w:t>Technical Ratios for Legal Protection (Gross, %)</w:t>
            </w:r>
          </w:p>
          <w:p w:rsidR="007909D7" w:rsidRPr="00205C7C" w:rsidRDefault="007909D7" w:rsidP="00CA6B42">
            <w:pPr>
              <w:jc w:val="center"/>
              <w:rPr>
                <w:rFonts w:ascii="Century" w:hAnsi="Century"/>
                <w:b/>
                <w:color w:val="003366"/>
                <w:sz w:val="22"/>
                <w:szCs w:val="22"/>
              </w:rPr>
            </w:pPr>
            <w:r w:rsidRPr="00205C7C">
              <w:rPr>
                <w:rFonts w:ascii="Century" w:hAnsi="Century"/>
                <w:b/>
                <w:noProof/>
                <w:color w:val="003366"/>
                <w:sz w:val="22"/>
                <w:szCs w:val="22"/>
              </w:rPr>
              <w:drawing>
                <wp:inline distT="0" distB="0" distL="0" distR="0" wp14:anchorId="2E67FA1C" wp14:editId="65F2DF82">
                  <wp:extent cx="6106602" cy="2449002"/>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06795" cy="2449079"/>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B10D90" w:rsidRDefault="007909D7" w:rsidP="00DF4A09">
            <w:pPr>
              <w:rPr>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700CE3">
            <w:pPr>
              <w:jc w:val="both"/>
              <w:rPr>
                <w:rFonts w:ascii="Century" w:hAnsi="Century"/>
                <w:b/>
                <w:color w:val="003366"/>
                <w:sz w:val="22"/>
                <w:szCs w:val="22"/>
                <w:highlight w:val="yellow"/>
              </w:rPr>
            </w:pPr>
          </w:p>
        </w:tc>
      </w:tr>
      <w:tr w:rsidR="007909D7" w:rsidRPr="00B10D90" w:rsidTr="00441D50">
        <w:trPr>
          <w:gridAfter w:val="1"/>
          <w:wAfter w:w="20" w:type="dxa"/>
        </w:trPr>
        <w:tc>
          <w:tcPr>
            <w:tcW w:w="4760" w:type="dxa"/>
          </w:tcPr>
          <w:p w:rsidR="007909D7" w:rsidRPr="00356154" w:rsidRDefault="007909D7" w:rsidP="007D65D8">
            <w:pPr>
              <w:pStyle w:val="Heading3"/>
              <w:keepNext w:val="0"/>
              <w:spacing w:before="0" w:after="0"/>
              <w:ind w:left="0"/>
              <w:jc w:val="both"/>
              <w:rPr>
                <w:rFonts w:ascii="Century" w:hAnsi="Century"/>
                <w:color w:val="000080"/>
                <w:sz w:val="22"/>
                <w:szCs w:val="22"/>
              </w:rPr>
            </w:pPr>
            <w:bookmarkStart w:id="249" w:name="_Toc327793356"/>
            <w:bookmarkStart w:id="250" w:name="_Toc358380215"/>
            <w:bookmarkStart w:id="251" w:name="_Toc12957687"/>
            <w:r w:rsidRPr="00356154">
              <w:rPr>
                <w:rFonts w:ascii="Century" w:hAnsi="Century"/>
                <w:color w:val="000080"/>
                <w:sz w:val="22"/>
                <w:szCs w:val="22"/>
              </w:rPr>
              <w:lastRenderedPageBreak/>
              <w:t>Kredi Branşı</w:t>
            </w:r>
            <w:bookmarkEnd w:id="249"/>
            <w:bookmarkEnd w:id="250"/>
            <w:bookmarkEnd w:id="251"/>
          </w:p>
          <w:p w:rsidR="007909D7" w:rsidRPr="00356154" w:rsidRDefault="007909D7" w:rsidP="00700CE3">
            <w:pPr>
              <w:rPr>
                <w:rFonts w:ascii="Century" w:hAnsi="Century"/>
                <w:sz w:val="22"/>
                <w:szCs w:val="22"/>
              </w:rPr>
            </w:pPr>
          </w:p>
          <w:p w:rsidR="007909D7" w:rsidRPr="00356154" w:rsidRDefault="007909D7" w:rsidP="001F7086">
            <w:pPr>
              <w:jc w:val="both"/>
              <w:rPr>
                <w:rFonts w:ascii="Century" w:hAnsi="Century"/>
                <w:sz w:val="22"/>
                <w:szCs w:val="22"/>
              </w:rPr>
            </w:pPr>
            <w:r w:rsidRPr="00356154">
              <w:rPr>
                <w:rFonts w:ascii="Century" w:hAnsi="Century"/>
                <w:sz w:val="22"/>
                <w:szCs w:val="22"/>
              </w:rPr>
              <w:t>Kredi Branşı hayat dışı branşlar direkt prim üretiminde %0</w:t>
            </w:r>
            <w:proofErr w:type="gramStart"/>
            <w:r w:rsidRPr="00356154">
              <w:rPr>
                <w:rFonts w:ascii="Century" w:hAnsi="Century"/>
                <w:sz w:val="22"/>
                <w:szCs w:val="22"/>
              </w:rPr>
              <w:t>,6</w:t>
            </w:r>
            <w:proofErr w:type="gramEnd"/>
            <w:r w:rsidRPr="00356154">
              <w:rPr>
                <w:rFonts w:ascii="Century" w:hAnsi="Century"/>
                <w:sz w:val="22"/>
                <w:szCs w:val="22"/>
              </w:rPr>
              <w:t xml:space="preserve"> paya sahiptir. 2018 yılında kredi branşında 11 sigorta şirketi faaliyet göstermiş ve toplam 25.276 adet poliçe düzenlemiştir. </w:t>
            </w:r>
          </w:p>
          <w:p w:rsidR="007909D7" w:rsidRPr="00356154" w:rsidRDefault="007909D7" w:rsidP="001F7086">
            <w:pPr>
              <w:rPr>
                <w:rFonts w:ascii="Century" w:hAnsi="Century"/>
                <w:sz w:val="22"/>
                <w:szCs w:val="22"/>
              </w:rPr>
            </w:pPr>
          </w:p>
          <w:p w:rsidR="007909D7" w:rsidRPr="00356154" w:rsidRDefault="007909D7" w:rsidP="00EC1A50">
            <w:pPr>
              <w:jc w:val="both"/>
              <w:rPr>
                <w:rFonts w:ascii="Century" w:hAnsi="Century"/>
                <w:sz w:val="22"/>
                <w:szCs w:val="22"/>
              </w:rPr>
            </w:pPr>
            <w:r w:rsidRPr="00356154">
              <w:rPr>
                <w:rFonts w:ascii="Century" w:hAnsi="Century"/>
                <w:sz w:val="22"/>
                <w:szCs w:val="22"/>
              </w:rPr>
              <w:t xml:space="preserve">Kredi Branşı primleri 2016 yılında meydana gelen azalış dışında düzenli olarak artış göstermiş, 2018 yılında ise prim üretimi %43 oranında artmıştır. Ancak prim üretiminde yaşanan artışa rağmen, muallak tazminat tutarlarında meydana gelen %76 oranındaki artışın etkisiyle 2018 yılında anılan branşta teknik zarar meydana gelmiştir. </w:t>
            </w:r>
          </w:p>
          <w:p w:rsidR="007909D7" w:rsidRPr="00356154" w:rsidRDefault="007909D7" w:rsidP="00EC1A50">
            <w:pPr>
              <w:jc w:val="both"/>
              <w:rPr>
                <w:rFonts w:ascii="Century" w:hAnsi="Century"/>
                <w:sz w:val="22"/>
                <w:szCs w:val="22"/>
              </w:rPr>
            </w:pPr>
          </w:p>
        </w:tc>
        <w:tc>
          <w:tcPr>
            <w:tcW w:w="273" w:type="dxa"/>
            <w:gridSpan w:val="6"/>
          </w:tcPr>
          <w:p w:rsidR="007909D7" w:rsidRPr="00356154" w:rsidRDefault="007909D7" w:rsidP="00700CE3">
            <w:pPr>
              <w:rPr>
                <w:rFonts w:ascii="Century" w:hAnsi="Century"/>
              </w:rPr>
            </w:pPr>
          </w:p>
          <w:p w:rsidR="007909D7" w:rsidRPr="00356154" w:rsidRDefault="007909D7" w:rsidP="00700CE3">
            <w:pPr>
              <w:rPr>
                <w:rFonts w:ascii="Century" w:hAnsi="Century"/>
              </w:rPr>
            </w:pPr>
          </w:p>
          <w:p w:rsidR="007909D7" w:rsidRPr="00356154" w:rsidRDefault="007909D7" w:rsidP="00700CE3">
            <w:pPr>
              <w:rPr>
                <w:rFonts w:ascii="Century" w:hAnsi="Century"/>
              </w:rPr>
            </w:pPr>
          </w:p>
          <w:p w:rsidR="007909D7" w:rsidRPr="00356154" w:rsidRDefault="007909D7" w:rsidP="00700CE3">
            <w:pPr>
              <w:rPr>
                <w:rFonts w:ascii="Century" w:hAnsi="Century"/>
              </w:rPr>
            </w:pPr>
          </w:p>
        </w:tc>
        <w:tc>
          <w:tcPr>
            <w:tcW w:w="4805" w:type="dxa"/>
            <w:gridSpan w:val="8"/>
          </w:tcPr>
          <w:p w:rsidR="007909D7" w:rsidRPr="00356154" w:rsidRDefault="007909D7" w:rsidP="00700CE3">
            <w:pPr>
              <w:jc w:val="both"/>
              <w:rPr>
                <w:rFonts w:ascii="Century" w:hAnsi="Century"/>
                <w:b/>
                <w:color w:val="003366"/>
                <w:sz w:val="22"/>
                <w:szCs w:val="22"/>
              </w:rPr>
            </w:pPr>
            <w:r w:rsidRPr="00356154">
              <w:rPr>
                <w:rFonts w:ascii="Century" w:hAnsi="Century"/>
                <w:b/>
                <w:color w:val="003366"/>
                <w:sz w:val="22"/>
                <w:szCs w:val="22"/>
              </w:rPr>
              <w:t xml:space="preserve">4.2.10. </w:t>
            </w:r>
            <w:r w:rsidR="00A0480E">
              <w:rPr>
                <w:rFonts w:ascii="Century" w:hAnsi="Century"/>
                <w:b/>
                <w:color w:val="003366"/>
                <w:sz w:val="22"/>
                <w:szCs w:val="22"/>
              </w:rPr>
              <w:t>Indemnity</w:t>
            </w:r>
            <w:r w:rsidRPr="00356154">
              <w:rPr>
                <w:rFonts w:ascii="Century" w:hAnsi="Century"/>
                <w:b/>
                <w:color w:val="003366"/>
                <w:sz w:val="22"/>
                <w:szCs w:val="22"/>
              </w:rPr>
              <w:t xml:space="preserve"> Insurance</w:t>
            </w:r>
          </w:p>
          <w:p w:rsidR="007909D7" w:rsidRPr="00356154" w:rsidRDefault="007909D7" w:rsidP="00700CE3">
            <w:pPr>
              <w:jc w:val="both"/>
              <w:rPr>
                <w:rFonts w:ascii="Century" w:hAnsi="Century"/>
                <w:color w:val="333333"/>
                <w:sz w:val="22"/>
                <w:szCs w:val="22"/>
              </w:rPr>
            </w:pPr>
          </w:p>
          <w:p w:rsidR="007909D7" w:rsidRPr="00356154" w:rsidRDefault="007909D7" w:rsidP="001F7086">
            <w:pPr>
              <w:jc w:val="both"/>
              <w:rPr>
                <w:rFonts w:ascii="Century" w:hAnsi="Century"/>
                <w:color w:val="333333"/>
                <w:sz w:val="22"/>
                <w:szCs w:val="22"/>
              </w:rPr>
            </w:pPr>
            <w:r w:rsidRPr="00356154">
              <w:rPr>
                <w:rFonts w:ascii="Century" w:hAnsi="Century"/>
                <w:color w:val="333333"/>
                <w:sz w:val="22"/>
                <w:szCs w:val="22"/>
              </w:rPr>
              <w:t xml:space="preserve">There are 11 companies operating in credit LoB and they generated 0.6% of the non-life direct premium volume and issued 25,276 policies in 2018. </w:t>
            </w:r>
          </w:p>
          <w:p w:rsidR="007909D7" w:rsidRPr="00356154" w:rsidRDefault="007909D7" w:rsidP="001F7086">
            <w:pPr>
              <w:jc w:val="both"/>
              <w:rPr>
                <w:rFonts w:ascii="Century" w:hAnsi="Century"/>
                <w:color w:val="333333"/>
                <w:sz w:val="22"/>
                <w:szCs w:val="22"/>
              </w:rPr>
            </w:pPr>
          </w:p>
          <w:p w:rsidR="007909D7" w:rsidRPr="00356154" w:rsidRDefault="007909D7" w:rsidP="001F7086">
            <w:pPr>
              <w:jc w:val="both"/>
              <w:rPr>
                <w:rFonts w:ascii="Century" w:hAnsi="Century"/>
                <w:sz w:val="22"/>
                <w:szCs w:val="22"/>
              </w:rPr>
            </w:pPr>
          </w:p>
          <w:p w:rsidR="00356154" w:rsidRPr="00356154" w:rsidRDefault="00A0480E" w:rsidP="00356154">
            <w:pPr>
              <w:jc w:val="both"/>
              <w:rPr>
                <w:rFonts w:ascii="Century" w:hAnsi="Century"/>
                <w:sz w:val="22"/>
                <w:szCs w:val="22"/>
              </w:rPr>
            </w:pPr>
            <w:r>
              <w:rPr>
                <w:rFonts w:ascii="Century" w:hAnsi="Century"/>
                <w:sz w:val="22"/>
                <w:szCs w:val="22"/>
              </w:rPr>
              <w:t>Indemnity</w:t>
            </w:r>
            <w:r w:rsidR="00356154" w:rsidRPr="00356154">
              <w:rPr>
                <w:rFonts w:ascii="Century" w:hAnsi="Century"/>
                <w:color w:val="333333"/>
                <w:sz w:val="22"/>
                <w:szCs w:val="22"/>
              </w:rPr>
              <w:t xml:space="preserve"> </w:t>
            </w:r>
            <w:r w:rsidR="00356154" w:rsidRPr="00356154">
              <w:rPr>
                <w:rFonts w:ascii="Century" w:hAnsi="Century"/>
                <w:sz w:val="22"/>
                <w:szCs w:val="22"/>
              </w:rPr>
              <w:t>insurance</w:t>
            </w:r>
            <w:r w:rsidR="00356154" w:rsidRPr="00356154">
              <w:rPr>
                <w:rFonts w:ascii="Century" w:hAnsi="Century"/>
                <w:color w:val="333333"/>
                <w:sz w:val="22"/>
                <w:szCs w:val="22"/>
              </w:rPr>
              <w:t xml:space="preserve"> </w:t>
            </w:r>
            <w:r w:rsidR="00356154" w:rsidRPr="00356154">
              <w:rPr>
                <w:rFonts w:ascii="Century" w:hAnsi="Century"/>
                <w:sz w:val="22"/>
                <w:szCs w:val="22"/>
              </w:rPr>
              <w:t>premiums</w:t>
            </w:r>
            <w:r w:rsidR="00356154" w:rsidRPr="00356154">
              <w:rPr>
                <w:rFonts w:ascii="Century" w:hAnsi="Century"/>
                <w:color w:val="333333"/>
                <w:sz w:val="22"/>
                <w:szCs w:val="22"/>
              </w:rPr>
              <w:t xml:space="preserve"> </w:t>
            </w:r>
            <w:r w:rsidR="00356154" w:rsidRPr="00356154">
              <w:rPr>
                <w:rFonts w:ascii="Century" w:hAnsi="Century"/>
                <w:sz w:val="22"/>
                <w:szCs w:val="22"/>
              </w:rPr>
              <w:t>performed</w:t>
            </w:r>
            <w:r w:rsidR="00356154" w:rsidRPr="00356154">
              <w:rPr>
                <w:rFonts w:ascii="Century" w:hAnsi="Century"/>
                <w:color w:val="333333"/>
                <w:sz w:val="22"/>
                <w:szCs w:val="22"/>
              </w:rPr>
              <w:t xml:space="preserve"> </w:t>
            </w:r>
            <w:r w:rsidR="00356154" w:rsidRPr="00356154">
              <w:rPr>
                <w:rFonts w:ascii="Century" w:hAnsi="Century"/>
                <w:sz w:val="22"/>
                <w:szCs w:val="22"/>
              </w:rPr>
              <w:t xml:space="preserve">a steady increase, except 2016, over the years and premium production increased by 43% in 2018. However, an increase of 76% in outstanding claims provision led to technical loss in 2018 in spite of high growth in premium production. </w:t>
            </w:r>
          </w:p>
          <w:p w:rsidR="007909D7" w:rsidRPr="00356154" w:rsidRDefault="007909D7" w:rsidP="002328FC">
            <w:pPr>
              <w:jc w:val="both"/>
              <w:rPr>
                <w:rFonts w:ascii="Century" w:hAnsi="Century"/>
                <w:color w:val="333333"/>
                <w:sz w:val="22"/>
                <w:szCs w:val="22"/>
              </w:rPr>
            </w:pPr>
            <w:r w:rsidRPr="00356154" w:rsidDel="00634085">
              <w:rPr>
                <w:rFonts w:ascii="Century" w:hAnsi="Century"/>
                <w:color w:val="333333"/>
                <w:sz w:val="22"/>
                <w:szCs w:val="22"/>
              </w:rPr>
              <w:t xml:space="preserve"> </w:t>
            </w:r>
          </w:p>
        </w:tc>
      </w:tr>
      <w:tr w:rsidR="007909D7" w:rsidRPr="00B10D90" w:rsidTr="00441D50">
        <w:trPr>
          <w:gridAfter w:val="1"/>
          <w:wAfter w:w="20" w:type="dxa"/>
          <w:trHeight w:val="495"/>
        </w:trPr>
        <w:tc>
          <w:tcPr>
            <w:tcW w:w="9838" w:type="dxa"/>
            <w:gridSpan w:val="15"/>
          </w:tcPr>
          <w:p w:rsidR="007909D7" w:rsidRPr="004B43B6" w:rsidRDefault="007909D7" w:rsidP="00942C11">
            <w:pPr>
              <w:jc w:val="center"/>
              <w:rPr>
                <w:rFonts w:ascii="Century" w:hAnsi="Century"/>
                <w:i/>
                <w:color w:val="000080"/>
                <w:sz w:val="20"/>
                <w:szCs w:val="20"/>
              </w:rPr>
            </w:pPr>
            <w:r w:rsidRPr="004B43B6">
              <w:rPr>
                <w:rFonts w:ascii="Century" w:hAnsi="Century"/>
                <w:b/>
                <w:color w:val="000080"/>
                <w:sz w:val="20"/>
                <w:szCs w:val="20"/>
              </w:rPr>
              <w:t xml:space="preserve">Tablo 4.2.20: Kredi Branşı Teknik Verileri – </w:t>
            </w:r>
            <w:r w:rsidRPr="004B43B6">
              <w:rPr>
                <w:rFonts w:ascii="Century" w:hAnsi="Century"/>
                <w:i/>
                <w:color w:val="000080"/>
                <w:sz w:val="20"/>
                <w:szCs w:val="20"/>
              </w:rPr>
              <w:t xml:space="preserve">Technical Figures of </w:t>
            </w:r>
            <w:r w:rsidR="00A0480E">
              <w:rPr>
                <w:rFonts w:ascii="Century" w:hAnsi="Century"/>
                <w:i/>
                <w:color w:val="000080"/>
                <w:sz w:val="20"/>
                <w:szCs w:val="20"/>
              </w:rPr>
              <w:t>Indemnity</w:t>
            </w:r>
            <w:r w:rsidRPr="004B43B6">
              <w:rPr>
                <w:rFonts w:ascii="Century" w:hAnsi="Century"/>
                <w:i/>
                <w:color w:val="000080"/>
                <w:sz w:val="20"/>
                <w:szCs w:val="20"/>
              </w:rPr>
              <w:t xml:space="preserve"> Business</w:t>
            </w:r>
          </w:p>
          <w:p w:rsidR="007909D7" w:rsidRPr="004B43B6" w:rsidRDefault="007909D7" w:rsidP="00942C11">
            <w:pPr>
              <w:jc w:val="center"/>
              <w:rPr>
                <w:rFonts w:ascii="Century" w:hAnsi="Century"/>
                <w:i/>
                <w:color w:val="000080"/>
                <w:sz w:val="20"/>
                <w:szCs w:val="20"/>
              </w:rPr>
            </w:pPr>
            <w:r w:rsidRPr="004B43B6">
              <w:rPr>
                <w:rFonts w:ascii="Century" w:hAnsi="Century"/>
                <w:i/>
                <w:noProof/>
                <w:color w:val="000080"/>
                <w:sz w:val="20"/>
                <w:szCs w:val="20"/>
              </w:rPr>
              <w:drawing>
                <wp:inline distT="0" distB="0" distL="0" distR="0" wp14:anchorId="3175682D" wp14:editId="002A5A0C">
                  <wp:extent cx="6106795" cy="225044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6795" cy="2250440"/>
                          </a:xfrm>
                          <a:prstGeom prst="rect">
                            <a:avLst/>
                          </a:prstGeom>
                          <a:noFill/>
                          <a:ln>
                            <a:noFill/>
                          </a:ln>
                        </pic:spPr>
                      </pic:pic>
                    </a:graphicData>
                  </a:graphic>
                </wp:inline>
              </w:drawing>
            </w:r>
          </w:p>
          <w:p w:rsidR="007909D7" w:rsidRPr="004B43B6" w:rsidRDefault="007909D7" w:rsidP="00700CE3">
            <w:pPr>
              <w:jc w:val="both"/>
              <w:rPr>
                <w:rFonts w:ascii="Century" w:hAnsi="Century"/>
                <w:i/>
                <w:sz w:val="16"/>
                <w:szCs w:val="16"/>
              </w:rPr>
            </w:pPr>
            <w:r w:rsidRPr="004B43B6">
              <w:rPr>
                <w:rFonts w:ascii="Century" w:hAnsi="Century"/>
                <w:color w:val="404040"/>
              </w:rPr>
              <w:t xml:space="preserve"> </w:t>
            </w:r>
            <w:r w:rsidRPr="004B43B6">
              <w:rPr>
                <w:rFonts w:ascii="Century" w:hAnsi="Century"/>
                <w:sz w:val="16"/>
                <w:szCs w:val="16"/>
              </w:rPr>
              <w:t xml:space="preserve">(*) Dönem içinde tahakkuk eden komisyon tutarları. </w:t>
            </w:r>
            <w:r w:rsidRPr="004B43B6">
              <w:rPr>
                <w:rFonts w:ascii="Century" w:hAnsi="Century"/>
                <w:i/>
                <w:sz w:val="16"/>
                <w:szCs w:val="16"/>
              </w:rPr>
              <w:t>Commission amount incurred during the year.</w:t>
            </w:r>
          </w:p>
          <w:p w:rsidR="007909D7" w:rsidRDefault="007909D7" w:rsidP="00700CE3">
            <w:pPr>
              <w:jc w:val="both"/>
              <w:rPr>
                <w:rFonts w:ascii="Century" w:hAnsi="Century"/>
                <w:sz w:val="16"/>
                <w:szCs w:val="16"/>
              </w:rPr>
            </w:pPr>
          </w:p>
          <w:p w:rsidR="007909D7" w:rsidRPr="004B43B6" w:rsidRDefault="007909D7" w:rsidP="00700CE3">
            <w:pPr>
              <w:jc w:val="both"/>
              <w:rPr>
                <w:rFonts w:ascii="Century" w:hAnsi="Century"/>
                <w:sz w:val="16"/>
                <w:szCs w:val="16"/>
              </w:rPr>
            </w:pPr>
          </w:p>
        </w:tc>
      </w:tr>
      <w:tr w:rsidR="007909D7" w:rsidRPr="00B10D90" w:rsidTr="00441D50">
        <w:trPr>
          <w:gridAfter w:val="1"/>
          <w:wAfter w:w="20" w:type="dxa"/>
          <w:trHeight w:val="2977"/>
        </w:trPr>
        <w:tc>
          <w:tcPr>
            <w:tcW w:w="9838" w:type="dxa"/>
            <w:gridSpan w:val="15"/>
          </w:tcPr>
          <w:p w:rsidR="007909D7" w:rsidRPr="004B43B6" w:rsidRDefault="007909D7" w:rsidP="00700CE3">
            <w:pPr>
              <w:jc w:val="center"/>
              <w:rPr>
                <w:rFonts w:ascii="Century" w:hAnsi="Century"/>
                <w:b/>
                <w:color w:val="000080"/>
                <w:sz w:val="20"/>
                <w:szCs w:val="20"/>
              </w:rPr>
            </w:pPr>
            <w:r w:rsidRPr="004B43B6">
              <w:rPr>
                <w:rFonts w:ascii="Century" w:hAnsi="Century"/>
                <w:b/>
                <w:color w:val="000080"/>
                <w:sz w:val="20"/>
                <w:szCs w:val="20"/>
              </w:rPr>
              <w:t>Grafik 4.2.21: Kredi Branşı Teknik Oranları (Brüt, %)</w:t>
            </w:r>
          </w:p>
          <w:p w:rsidR="007909D7" w:rsidRPr="004B43B6" w:rsidRDefault="007909D7" w:rsidP="00700CE3">
            <w:pPr>
              <w:jc w:val="center"/>
              <w:rPr>
                <w:rFonts w:ascii="Century" w:hAnsi="Century"/>
                <w:color w:val="000080"/>
                <w:sz w:val="20"/>
                <w:szCs w:val="20"/>
              </w:rPr>
            </w:pPr>
            <w:r w:rsidRPr="004B43B6">
              <w:rPr>
                <w:rFonts w:ascii="Century" w:hAnsi="Century"/>
                <w:color w:val="000080"/>
                <w:sz w:val="20"/>
                <w:szCs w:val="20"/>
              </w:rPr>
              <w:t xml:space="preserve">Technical Ratios for </w:t>
            </w:r>
            <w:r w:rsidR="00A0480E">
              <w:rPr>
                <w:rFonts w:ascii="Century" w:hAnsi="Century"/>
                <w:color w:val="000080"/>
                <w:sz w:val="20"/>
                <w:szCs w:val="20"/>
              </w:rPr>
              <w:t>Indemnity</w:t>
            </w:r>
            <w:r w:rsidRPr="004B43B6">
              <w:rPr>
                <w:rFonts w:ascii="Century" w:hAnsi="Century"/>
                <w:color w:val="000080"/>
                <w:sz w:val="20"/>
                <w:szCs w:val="20"/>
              </w:rPr>
              <w:t xml:space="preserve"> Business (Gross, %)</w:t>
            </w:r>
          </w:p>
          <w:p w:rsidR="007909D7" w:rsidRPr="004B43B6" w:rsidRDefault="007909D7" w:rsidP="009F381B">
            <w:pPr>
              <w:jc w:val="center"/>
              <w:rPr>
                <w:rFonts w:ascii="Century" w:hAnsi="Century"/>
                <w:color w:val="000080"/>
                <w:sz w:val="20"/>
                <w:szCs w:val="20"/>
              </w:rPr>
            </w:pPr>
            <w:r w:rsidRPr="004B43B6">
              <w:rPr>
                <w:rFonts w:ascii="Century" w:hAnsi="Century"/>
                <w:noProof/>
                <w:color w:val="000080"/>
                <w:sz w:val="20"/>
                <w:szCs w:val="20"/>
              </w:rPr>
              <w:drawing>
                <wp:inline distT="0" distB="0" distL="0" distR="0" wp14:anchorId="73CD2DB6" wp14:editId="215F9788">
                  <wp:extent cx="6106795" cy="2488565"/>
                  <wp:effectExtent l="0" t="0" r="8255"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06795" cy="2488565"/>
                          </a:xfrm>
                          <a:prstGeom prst="rect">
                            <a:avLst/>
                          </a:prstGeom>
                          <a:noFill/>
                          <a:ln>
                            <a:noFill/>
                          </a:ln>
                        </pic:spPr>
                      </pic:pic>
                    </a:graphicData>
                  </a:graphic>
                </wp:inline>
              </w:drawing>
            </w:r>
          </w:p>
        </w:tc>
      </w:tr>
      <w:tr w:rsidR="007909D7" w:rsidRPr="00B10D90" w:rsidTr="00441D50">
        <w:trPr>
          <w:gridAfter w:val="1"/>
          <w:wAfter w:w="20" w:type="dxa"/>
          <w:trHeight w:val="294"/>
        </w:trPr>
        <w:tc>
          <w:tcPr>
            <w:tcW w:w="4760" w:type="dxa"/>
          </w:tcPr>
          <w:p w:rsidR="007909D7" w:rsidRPr="00B10D90" w:rsidRDefault="007909D7" w:rsidP="00700CE3">
            <w:pPr>
              <w:jc w:val="both"/>
              <w:rPr>
                <w:rFonts w:ascii="Century" w:hAnsi="Century"/>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700CE3">
            <w:pPr>
              <w:jc w:val="both"/>
              <w:rPr>
                <w:rFonts w:ascii="Century" w:hAnsi="Century"/>
                <w:sz w:val="22"/>
                <w:szCs w:val="22"/>
                <w:highlight w:val="yellow"/>
              </w:rPr>
            </w:pPr>
          </w:p>
        </w:tc>
      </w:tr>
      <w:tr w:rsidR="007909D7" w:rsidRPr="00B10D90" w:rsidTr="00441D50">
        <w:trPr>
          <w:gridAfter w:val="1"/>
          <w:wAfter w:w="20" w:type="dxa"/>
          <w:trHeight w:val="294"/>
        </w:trPr>
        <w:tc>
          <w:tcPr>
            <w:tcW w:w="4760" w:type="dxa"/>
          </w:tcPr>
          <w:p w:rsidR="007909D7" w:rsidRPr="00356154" w:rsidRDefault="007909D7" w:rsidP="007D65D8">
            <w:pPr>
              <w:pStyle w:val="Heading3"/>
              <w:keepNext w:val="0"/>
              <w:spacing w:before="0" w:after="0"/>
              <w:ind w:left="0"/>
              <w:jc w:val="both"/>
              <w:rPr>
                <w:rFonts w:ascii="Century" w:hAnsi="Century"/>
                <w:color w:val="000080"/>
                <w:sz w:val="22"/>
                <w:szCs w:val="22"/>
              </w:rPr>
            </w:pPr>
            <w:bookmarkStart w:id="252" w:name="_Toc358380216"/>
            <w:bookmarkStart w:id="253" w:name="_Toc12957688"/>
            <w:r w:rsidRPr="00356154">
              <w:rPr>
                <w:rFonts w:ascii="Century" w:hAnsi="Century"/>
                <w:color w:val="000080"/>
                <w:sz w:val="22"/>
                <w:szCs w:val="22"/>
              </w:rPr>
              <w:lastRenderedPageBreak/>
              <w:t>Finansal Kayıplar</w:t>
            </w:r>
            <w:bookmarkEnd w:id="252"/>
            <w:r w:rsidRPr="00356154">
              <w:rPr>
                <w:rFonts w:ascii="Century" w:hAnsi="Century"/>
                <w:color w:val="000080"/>
                <w:sz w:val="22"/>
                <w:szCs w:val="22"/>
              </w:rPr>
              <w:t xml:space="preserve"> Branşı</w:t>
            </w:r>
            <w:bookmarkEnd w:id="253"/>
          </w:p>
          <w:p w:rsidR="007909D7" w:rsidRPr="00356154" w:rsidRDefault="007909D7" w:rsidP="00700CE3">
            <w:pPr>
              <w:jc w:val="both"/>
              <w:rPr>
                <w:rFonts w:ascii="Century" w:hAnsi="Century"/>
              </w:rPr>
            </w:pPr>
          </w:p>
          <w:p w:rsidR="007909D7" w:rsidRPr="00356154" w:rsidRDefault="007909D7" w:rsidP="001F7086">
            <w:pPr>
              <w:jc w:val="both"/>
              <w:rPr>
                <w:rFonts w:ascii="Century" w:hAnsi="Century"/>
                <w:sz w:val="22"/>
                <w:szCs w:val="22"/>
              </w:rPr>
            </w:pPr>
            <w:r w:rsidRPr="00356154">
              <w:rPr>
                <w:rFonts w:ascii="Century" w:hAnsi="Century"/>
                <w:sz w:val="22"/>
                <w:szCs w:val="22"/>
              </w:rPr>
              <w:t>Finansal Kayıplar Branşı hayat dışı branşlar direkt prim üretiminde %0</w:t>
            </w:r>
            <w:proofErr w:type="gramStart"/>
            <w:r w:rsidRPr="00356154">
              <w:rPr>
                <w:rFonts w:ascii="Century" w:hAnsi="Century"/>
                <w:sz w:val="22"/>
                <w:szCs w:val="22"/>
              </w:rPr>
              <w:t>,8</w:t>
            </w:r>
            <w:proofErr w:type="gramEnd"/>
            <w:r w:rsidRPr="00356154">
              <w:rPr>
                <w:rFonts w:ascii="Century" w:hAnsi="Century"/>
                <w:sz w:val="22"/>
                <w:szCs w:val="22"/>
              </w:rPr>
              <w:t xml:space="preserve"> oranında paya sahiptir. Bu branşta 2018 yılında 30 sigorta şirketi prim üretimde bulunmuş ve toplam 63.956 adet poliçe düzenlemiştir. </w:t>
            </w:r>
          </w:p>
          <w:p w:rsidR="007909D7" w:rsidRPr="00356154" w:rsidRDefault="007909D7" w:rsidP="001F7086">
            <w:pPr>
              <w:jc w:val="both"/>
              <w:rPr>
                <w:rFonts w:ascii="Century" w:hAnsi="Century"/>
              </w:rPr>
            </w:pPr>
          </w:p>
          <w:p w:rsidR="007909D7" w:rsidRPr="00356154" w:rsidRDefault="007909D7" w:rsidP="00980CE6">
            <w:pPr>
              <w:jc w:val="both"/>
              <w:rPr>
                <w:rFonts w:ascii="Century" w:hAnsi="Century"/>
                <w:sz w:val="22"/>
                <w:szCs w:val="22"/>
              </w:rPr>
            </w:pPr>
            <w:r w:rsidRPr="00356154">
              <w:rPr>
                <w:rFonts w:ascii="Century" w:hAnsi="Century"/>
                <w:sz w:val="22"/>
                <w:szCs w:val="22"/>
              </w:rPr>
              <w:t xml:space="preserve">2017 yılına kadar %13-17 seviyelerinde gerçekleşen teknik karlılık oranı, net gerçekleşen tazminat tutarlarında 2018 yılında meydana gelen ciddi artışın etkisiyle %2,5 seviyelerine gerilemiştir.  </w:t>
            </w:r>
          </w:p>
          <w:p w:rsidR="007909D7" w:rsidRPr="00356154" w:rsidRDefault="007909D7" w:rsidP="00980CE6">
            <w:pPr>
              <w:jc w:val="both"/>
              <w:rPr>
                <w:rFonts w:ascii="Century" w:hAnsi="Century"/>
                <w:sz w:val="22"/>
                <w:szCs w:val="22"/>
              </w:rPr>
            </w:pPr>
          </w:p>
          <w:p w:rsidR="007909D7" w:rsidRPr="00356154" w:rsidRDefault="007909D7" w:rsidP="00980CE6">
            <w:pPr>
              <w:jc w:val="both"/>
              <w:rPr>
                <w:rFonts w:ascii="Century" w:hAnsi="Century"/>
                <w:sz w:val="22"/>
                <w:szCs w:val="22"/>
              </w:rPr>
            </w:pPr>
          </w:p>
          <w:p w:rsidR="007909D7" w:rsidRPr="00356154" w:rsidRDefault="007909D7" w:rsidP="00980CE6">
            <w:pPr>
              <w:jc w:val="both"/>
              <w:rPr>
                <w:rFonts w:ascii="Century" w:hAnsi="Century"/>
              </w:rPr>
            </w:pPr>
          </w:p>
        </w:tc>
        <w:tc>
          <w:tcPr>
            <w:tcW w:w="273" w:type="dxa"/>
            <w:gridSpan w:val="6"/>
          </w:tcPr>
          <w:p w:rsidR="007909D7" w:rsidRPr="00356154" w:rsidRDefault="007909D7" w:rsidP="00700CE3">
            <w:pPr>
              <w:rPr>
                <w:rFonts w:ascii="Century" w:hAnsi="Century"/>
              </w:rPr>
            </w:pPr>
          </w:p>
        </w:tc>
        <w:tc>
          <w:tcPr>
            <w:tcW w:w="4805" w:type="dxa"/>
            <w:gridSpan w:val="8"/>
          </w:tcPr>
          <w:p w:rsidR="007909D7" w:rsidRPr="00356154" w:rsidRDefault="007909D7" w:rsidP="002A3057">
            <w:pPr>
              <w:jc w:val="both"/>
              <w:rPr>
                <w:rFonts w:ascii="Century" w:hAnsi="Century"/>
                <w:b/>
                <w:color w:val="003366"/>
                <w:sz w:val="22"/>
                <w:szCs w:val="22"/>
              </w:rPr>
            </w:pPr>
            <w:r w:rsidRPr="00356154">
              <w:rPr>
                <w:rFonts w:ascii="Century" w:hAnsi="Century"/>
                <w:b/>
                <w:color w:val="003366"/>
                <w:sz w:val="22"/>
                <w:szCs w:val="22"/>
              </w:rPr>
              <w:t>4.2.11. Financial Loss Insurance</w:t>
            </w:r>
          </w:p>
          <w:p w:rsidR="007909D7" w:rsidRPr="00356154" w:rsidRDefault="007909D7" w:rsidP="000564E5">
            <w:pPr>
              <w:jc w:val="both"/>
              <w:rPr>
                <w:rFonts w:ascii="Century" w:hAnsi="Century"/>
                <w:color w:val="333333"/>
                <w:sz w:val="22"/>
                <w:szCs w:val="22"/>
              </w:rPr>
            </w:pPr>
          </w:p>
          <w:p w:rsidR="007909D7" w:rsidRPr="00356154" w:rsidRDefault="007909D7" w:rsidP="001F7086">
            <w:pPr>
              <w:jc w:val="both"/>
              <w:rPr>
                <w:rFonts w:ascii="Century" w:hAnsi="Century"/>
                <w:sz w:val="22"/>
                <w:szCs w:val="22"/>
              </w:rPr>
            </w:pPr>
            <w:r w:rsidRPr="00356154">
              <w:rPr>
                <w:rFonts w:ascii="Century" w:hAnsi="Century"/>
                <w:sz w:val="22"/>
                <w:szCs w:val="22"/>
              </w:rPr>
              <w:t xml:space="preserve">There are 30 companies operating in financial loss LoB. In 2018, 0.8% of the non-life direct premium volume was generated and 63.956 policies were issued. </w:t>
            </w:r>
          </w:p>
          <w:p w:rsidR="007909D7" w:rsidRPr="00356154" w:rsidRDefault="007909D7" w:rsidP="001F7086">
            <w:pPr>
              <w:jc w:val="both"/>
              <w:rPr>
                <w:rFonts w:ascii="Century" w:hAnsi="Century"/>
                <w:sz w:val="22"/>
                <w:szCs w:val="22"/>
              </w:rPr>
            </w:pPr>
          </w:p>
          <w:p w:rsidR="007909D7" w:rsidRDefault="007909D7" w:rsidP="001F7086">
            <w:pPr>
              <w:jc w:val="both"/>
              <w:rPr>
                <w:rFonts w:ascii="Century" w:hAnsi="Century"/>
                <w:sz w:val="22"/>
                <w:szCs w:val="22"/>
              </w:rPr>
            </w:pPr>
          </w:p>
          <w:p w:rsidR="00A0480E" w:rsidRPr="00356154" w:rsidRDefault="00A0480E" w:rsidP="001F7086">
            <w:pPr>
              <w:jc w:val="both"/>
              <w:rPr>
                <w:rFonts w:ascii="Century" w:hAnsi="Century"/>
                <w:sz w:val="22"/>
                <w:szCs w:val="22"/>
              </w:rPr>
            </w:pPr>
          </w:p>
          <w:p w:rsidR="00356154" w:rsidRPr="00356154" w:rsidRDefault="00356154" w:rsidP="00356154">
            <w:pPr>
              <w:jc w:val="both"/>
            </w:pPr>
            <w:r w:rsidRPr="00356154">
              <w:rPr>
                <w:rFonts w:ascii="Century" w:hAnsi="Century"/>
                <w:sz w:val="22"/>
                <w:szCs w:val="22"/>
              </w:rPr>
              <w:t xml:space="preserve">While technical profit ratio was between 13-17% till 2017, it declined to 2.5% in 2018 due to significant increase in net incurred loss. </w:t>
            </w:r>
          </w:p>
          <w:p w:rsidR="007909D7" w:rsidRPr="00356154" w:rsidRDefault="007909D7" w:rsidP="00DA5E92">
            <w:pPr>
              <w:jc w:val="both"/>
              <w:rPr>
                <w:rFonts w:ascii="Century" w:hAnsi="Century"/>
                <w:sz w:val="22"/>
                <w:szCs w:val="22"/>
              </w:rPr>
            </w:pPr>
          </w:p>
          <w:p w:rsidR="007909D7" w:rsidRPr="00356154" w:rsidRDefault="007909D7" w:rsidP="00DA5E92">
            <w:pPr>
              <w:jc w:val="both"/>
              <w:rPr>
                <w:rFonts w:ascii="Century" w:hAnsi="Century"/>
                <w:sz w:val="22"/>
                <w:szCs w:val="22"/>
              </w:rPr>
            </w:pPr>
          </w:p>
        </w:tc>
      </w:tr>
      <w:tr w:rsidR="007909D7" w:rsidRPr="00B10D90" w:rsidTr="00441D50">
        <w:trPr>
          <w:gridAfter w:val="1"/>
          <w:wAfter w:w="20" w:type="dxa"/>
          <w:trHeight w:val="294"/>
        </w:trPr>
        <w:tc>
          <w:tcPr>
            <w:tcW w:w="9838" w:type="dxa"/>
            <w:gridSpan w:val="15"/>
          </w:tcPr>
          <w:p w:rsidR="007909D7" w:rsidRPr="00146D75" w:rsidRDefault="007909D7" w:rsidP="004112D6">
            <w:pPr>
              <w:jc w:val="center"/>
              <w:rPr>
                <w:rFonts w:ascii="Century" w:hAnsi="Century"/>
                <w:i/>
                <w:sz w:val="20"/>
                <w:szCs w:val="20"/>
              </w:rPr>
            </w:pPr>
            <w:r w:rsidRPr="00146D75">
              <w:rPr>
                <w:rFonts w:ascii="Century" w:hAnsi="Century"/>
                <w:b/>
                <w:sz w:val="20"/>
                <w:szCs w:val="20"/>
              </w:rPr>
              <w:t xml:space="preserve">Tablo 4.2.21: Finansal Kayıplar Branşı Teknik Verileri – </w:t>
            </w:r>
            <w:r w:rsidRPr="00146D75">
              <w:rPr>
                <w:rFonts w:ascii="Century" w:hAnsi="Century"/>
                <w:i/>
                <w:sz w:val="20"/>
                <w:szCs w:val="20"/>
              </w:rPr>
              <w:t>Technical Figures of Financial Loss Business</w:t>
            </w:r>
          </w:p>
          <w:p w:rsidR="007909D7" w:rsidRPr="00146D75" w:rsidRDefault="007909D7" w:rsidP="004112D6">
            <w:pPr>
              <w:jc w:val="center"/>
              <w:rPr>
                <w:rFonts w:ascii="Century" w:hAnsi="Century"/>
                <w:i/>
                <w:sz w:val="20"/>
                <w:szCs w:val="20"/>
              </w:rPr>
            </w:pPr>
            <w:r w:rsidRPr="00146D75">
              <w:rPr>
                <w:rFonts w:ascii="Century" w:hAnsi="Century"/>
                <w:i/>
                <w:noProof/>
                <w:sz w:val="20"/>
                <w:szCs w:val="20"/>
              </w:rPr>
              <w:drawing>
                <wp:inline distT="0" distB="0" distL="0" distR="0" wp14:anchorId="6B44FA5F" wp14:editId="5045F0AB">
                  <wp:extent cx="6106795" cy="2218690"/>
                  <wp:effectExtent l="0" t="0" r="825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06795" cy="2218690"/>
                          </a:xfrm>
                          <a:prstGeom prst="rect">
                            <a:avLst/>
                          </a:prstGeom>
                          <a:noFill/>
                          <a:ln>
                            <a:noFill/>
                          </a:ln>
                        </pic:spPr>
                      </pic:pic>
                    </a:graphicData>
                  </a:graphic>
                </wp:inline>
              </w:drawing>
            </w:r>
          </w:p>
          <w:p w:rsidR="007909D7" w:rsidRPr="00146D75" w:rsidRDefault="007909D7" w:rsidP="00E92B74">
            <w:pPr>
              <w:jc w:val="both"/>
              <w:rPr>
                <w:rFonts w:ascii="Century" w:hAnsi="Century"/>
                <w:i/>
                <w:sz w:val="16"/>
                <w:szCs w:val="16"/>
              </w:rPr>
            </w:pPr>
            <w:r w:rsidRPr="00146D75">
              <w:rPr>
                <w:rFonts w:ascii="Century" w:hAnsi="Century"/>
                <w:sz w:val="16"/>
                <w:szCs w:val="16"/>
              </w:rPr>
              <w:t xml:space="preserve">(*) Dönem içinde tahakkuk eden komisyon tutarları. </w:t>
            </w:r>
            <w:r w:rsidRPr="00146D75">
              <w:rPr>
                <w:rFonts w:ascii="Century" w:hAnsi="Century"/>
                <w:i/>
                <w:sz w:val="16"/>
                <w:szCs w:val="16"/>
              </w:rPr>
              <w:t>Commission amount incurred during the year.</w:t>
            </w:r>
          </w:p>
          <w:p w:rsidR="007909D7" w:rsidRPr="00146D75" w:rsidRDefault="007909D7" w:rsidP="00700CE3">
            <w:pPr>
              <w:jc w:val="both"/>
              <w:rPr>
                <w:rFonts w:ascii="Century" w:hAnsi="Century"/>
              </w:rPr>
            </w:pPr>
          </w:p>
        </w:tc>
      </w:tr>
      <w:tr w:rsidR="007909D7" w:rsidRPr="00B10D90" w:rsidTr="00441D50">
        <w:trPr>
          <w:gridAfter w:val="1"/>
          <w:wAfter w:w="20" w:type="dxa"/>
          <w:trHeight w:val="294"/>
        </w:trPr>
        <w:tc>
          <w:tcPr>
            <w:tcW w:w="9838" w:type="dxa"/>
            <w:gridSpan w:val="15"/>
          </w:tcPr>
          <w:p w:rsidR="007909D7" w:rsidRPr="00980CE6" w:rsidRDefault="007909D7" w:rsidP="000D52B5">
            <w:pPr>
              <w:jc w:val="center"/>
              <w:rPr>
                <w:rFonts w:ascii="Century" w:hAnsi="Century"/>
                <w:b/>
                <w:color w:val="000080"/>
                <w:sz w:val="20"/>
                <w:szCs w:val="20"/>
              </w:rPr>
            </w:pPr>
            <w:r w:rsidRPr="00980CE6">
              <w:rPr>
                <w:rFonts w:ascii="Century" w:hAnsi="Century"/>
                <w:b/>
                <w:color w:val="000080"/>
                <w:sz w:val="20"/>
                <w:szCs w:val="20"/>
              </w:rPr>
              <w:t xml:space="preserve">Grafik 4.2.22: Finansal Kayıplar Branşı Teknik Oranları (Brüt, %) </w:t>
            </w:r>
          </w:p>
          <w:p w:rsidR="007909D7" w:rsidRPr="00980CE6" w:rsidRDefault="007909D7" w:rsidP="000D52B5">
            <w:pPr>
              <w:jc w:val="center"/>
              <w:rPr>
                <w:rFonts w:ascii="Century" w:hAnsi="Century"/>
                <w:color w:val="000080"/>
                <w:sz w:val="20"/>
                <w:szCs w:val="20"/>
              </w:rPr>
            </w:pPr>
            <w:r w:rsidRPr="00980CE6">
              <w:rPr>
                <w:rFonts w:ascii="Century" w:hAnsi="Century"/>
                <w:color w:val="000080"/>
                <w:sz w:val="20"/>
                <w:szCs w:val="20"/>
              </w:rPr>
              <w:t>Technical Ratios for Financial Loss Business (Gross, %)</w:t>
            </w:r>
          </w:p>
          <w:p w:rsidR="007909D7" w:rsidRPr="00980CE6" w:rsidRDefault="007909D7" w:rsidP="009613A8">
            <w:pPr>
              <w:jc w:val="center"/>
              <w:rPr>
                <w:rFonts w:ascii="Century" w:hAnsi="Century"/>
                <w:sz w:val="22"/>
                <w:szCs w:val="22"/>
              </w:rPr>
            </w:pPr>
            <w:r w:rsidRPr="00980CE6">
              <w:rPr>
                <w:rFonts w:ascii="Century" w:hAnsi="Century"/>
                <w:noProof/>
                <w:sz w:val="22"/>
                <w:szCs w:val="22"/>
              </w:rPr>
              <w:drawing>
                <wp:inline distT="0" distB="0" distL="0" distR="0" wp14:anchorId="262EA82A" wp14:editId="66F61724">
                  <wp:extent cx="6106795" cy="2647950"/>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06795" cy="2647950"/>
                          </a:xfrm>
                          <a:prstGeom prst="rect">
                            <a:avLst/>
                          </a:prstGeom>
                          <a:noFill/>
                          <a:ln>
                            <a:noFill/>
                          </a:ln>
                        </pic:spPr>
                      </pic:pic>
                    </a:graphicData>
                  </a:graphic>
                </wp:inline>
              </w:drawing>
            </w:r>
          </w:p>
        </w:tc>
      </w:tr>
      <w:tr w:rsidR="007909D7" w:rsidRPr="00B10D90" w:rsidTr="00441D50">
        <w:trPr>
          <w:gridAfter w:val="1"/>
          <w:wAfter w:w="20" w:type="dxa"/>
          <w:trHeight w:val="294"/>
        </w:trPr>
        <w:tc>
          <w:tcPr>
            <w:tcW w:w="4760" w:type="dxa"/>
          </w:tcPr>
          <w:p w:rsidR="007909D7" w:rsidRPr="00B10D90" w:rsidRDefault="007909D7" w:rsidP="00700CE3">
            <w:pPr>
              <w:jc w:val="both"/>
              <w:rPr>
                <w:rFonts w:ascii="Century" w:hAnsi="Century"/>
                <w:highlight w:val="yellow"/>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B10D90" w:rsidRDefault="007909D7" w:rsidP="00700CE3">
            <w:pPr>
              <w:jc w:val="both"/>
              <w:rPr>
                <w:rFonts w:ascii="Century" w:hAnsi="Century"/>
                <w:sz w:val="22"/>
                <w:szCs w:val="22"/>
                <w:highlight w:val="yellow"/>
              </w:rPr>
            </w:pPr>
          </w:p>
        </w:tc>
      </w:tr>
      <w:tr w:rsidR="007909D7" w:rsidRPr="00B10D90" w:rsidTr="00441D50">
        <w:trPr>
          <w:gridAfter w:val="1"/>
          <w:wAfter w:w="20" w:type="dxa"/>
        </w:trPr>
        <w:tc>
          <w:tcPr>
            <w:tcW w:w="4760" w:type="dxa"/>
          </w:tcPr>
          <w:p w:rsidR="007909D7" w:rsidRPr="007E4413" w:rsidRDefault="007909D7" w:rsidP="007D65D8">
            <w:pPr>
              <w:pStyle w:val="Heading2"/>
              <w:keepNext w:val="0"/>
              <w:tabs>
                <w:tab w:val="clear" w:pos="717"/>
                <w:tab w:val="num" w:pos="394"/>
              </w:tabs>
              <w:spacing w:before="0" w:after="0"/>
              <w:ind w:left="0"/>
              <w:rPr>
                <w:rFonts w:ascii="Century" w:hAnsi="Century"/>
                <w:i w:val="0"/>
                <w:color w:val="000080"/>
                <w:sz w:val="22"/>
                <w:szCs w:val="22"/>
              </w:rPr>
            </w:pPr>
            <w:bookmarkStart w:id="254" w:name="_Toc327793358"/>
            <w:bookmarkStart w:id="255" w:name="_Toc358380217"/>
            <w:bookmarkStart w:id="256" w:name="_Toc232337477"/>
            <w:r w:rsidRPr="00745AE4">
              <w:rPr>
                <w:rFonts w:ascii="Century" w:hAnsi="Century"/>
                <w:i w:val="0"/>
                <w:color w:val="000080"/>
                <w:sz w:val="22"/>
                <w:szCs w:val="22"/>
              </w:rPr>
              <w:lastRenderedPageBreak/>
              <w:t xml:space="preserve"> </w:t>
            </w:r>
            <w:bookmarkStart w:id="257" w:name="_Toc12957689"/>
            <w:r w:rsidRPr="007E4413">
              <w:rPr>
                <w:rFonts w:ascii="Century" w:hAnsi="Century"/>
                <w:i w:val="0"/>
                <w:color w:val="000080"/>
                <w:sz w:val="22"/>
                <w:szCs w:val="22"/>
              </w:rPr>
              <w:t>Hayat Branşı</w:t>
            </w:r>
            <w:bookmarkEnd w:id="254"/>
            <w:bookmarkEnd w:id="255"/>
            <w:bookmarkEnd w:id="257"/>
            <w:r w:rsidRPr="007E4413">
              <w:rPr>
                <w:rFonts w:ascii="Century" w:hAnsi="Century"/>
                <w:i w:val="0"/>
                <w:color w:val="000080"/>
                <w:sz w:val="22"/>
                <w:szCs w:val="22"/>
              </w:rPr>
              <w:t xml:space="preserve"> </w:t>
            </w:r>
            <w:bookmarkEnd w:id="256"/>
          </w:p>
          <w:p w:rsidR="007909D7" w:rsidRPr="007E4413" w:rsidRDefault="007909D7" w:rsidP="00700CE3">
            <w:pPr>
              <w:jc w:val="both"/>
              <w:rPr>
                <w:rFonts w:ascii="Century" w:hAnsi="Century"/>
                <w:sz w:val="18"/>
                <w:szCs w:val="18"/>
              </w:rPr>
            </w:pPr>
          </w:p>
          <w:p w:rsidR="007909D7" w:rsidRPr="007E4413" w:rsidRDefault="007909D7" w:rsidP="00116C20">
            <w:pPr>
              <w:jc w:val="both"/>
              <w:rPr>
                <w:rFonts w:ascii="Century" w:hAnsi="Century"/>
                <w:sz w:val="22"/>
                <w:szCs w:val="22"/>
              </w:rPr>
            </w:pPr>
            <w:r w:rsidRPr="007E4413">
              <w:rPr>
                <w:rFonts w:ascii="Century" w:hAnsi="Century"/>
                <w:sz w:val="22"/>
                <w:szCs w:val="22"/>
              </w:rPr>
              <w:t xml:space="preserve">5684 sayılı Sigortacılık Kanunu çerçevesinde yedi branş olarak düzenlenen hayat sigorta grubuna 2012 yılında tontin branşı ilave edilmiştir. Hayat Sigorta Şirketleri ve Emeklilik Şirketleri sekiz branşın tamamında üretimde bulunabilme imkanına sahiptir. </w:t>
            </w:r>
          </w:p>
          <w:p w:rsidR="007909D7" w:rsidRPr="007E4413" w:rsidRDefault="007909D7" w:rsidP="00116C20">
            <w:pPr>
              <w:jc w:val="both"/>
              <w:rPr>
                <w:rFonts w:ascii="Century" w:hAnsi="Century"/>
                <w:sz w:val="18"/>
                <w:szCs w:val="18"/>
              </w:rPr>
            </w:pPr>
          </w:p>
          <w:p w:rsidR="007909D7" w:rsidRPr="007E4413" w:rsidRDefault="007909D7" w:rsidP="00116C20">
            <w:pPr>
              <w:jc w:val="both"/>
              <w:rPr>
                <w:rFonts w:ascii="Century" w:hAnsi="Century"/>
                <w:sz w:val="22"/>
                <w:szCs w:val="22"/>
              </w:rPr>
            </w:pPr>
            <w:r w:rsidRPr="007E4413">
              <w:rPr>
                <w:rFonts w:ascii="Century" w:hAnsi="Century"/>
                <w:sz w:val="22"/>
                <w:szCs w:val="22"/>
              </w:rPr>
              <w:t xml:space="preserve">Hayat grubu sigortalarında yer alan Yatırım Fonlu Sigortalar ile Evlilik ve Doğum Sigortası Branşlarında 2017 yılında prim üretimi gerçekleştirilmemiştir. Fonların Yönetimi İşlemi ile 2012 yılı içinde düzenlenen Tontin branşında ise halen ruhsat almış şirket bulunmamaktadır. </w:t>
            </w:r>
          </w:p>
          <w:p w:rsidR="007909D7" w:rsidRPr="007E4413" w:rsidRDefault="007909D7" w:rsidP="00116C20">
            <w:pPr>
              <w:jc w:val="both"/>
              <w:rPr>
                <w:rFonts w:ascii="Century" w:hAnsi="Century"/>
                <w:sz w:val="18"/>
                <w:szCs w:val="18"/>
              </w:rPr>
            </w:pPr>
          </w:p>
          <w:p w:rsidR="007909D7" w:rsidRPr="007E4413" w:rsidRDefault="007909D7" w:rsidP="00116C20">
            <w:pPr>
              <w:jc w:val="both"/>
              <w:rPr>
                <w:rFonts w:ascii="Century" w:hAnsi="Century"/>
                <w:sz w:val="22"/>
                <w:szCs w:val="22"/>
              </w:rPr>
            </w:pPr>
            <w:r w:rsidRPr="007E4413">
              <w:rPr>
                <w:rFonts w:ascii="Century" w:hAnsi="Century"/>
                <w:sz w:val="22"/>
                <w:szCs w:val="22"/>
              </w:rPr>
              <w:t xml:space="preserve">2018 yılında hayat branşında 22 şirket faaliyette bulunmuştur. Önceki dönemlerden kalan hayat portföyünü devam ettiren, biri faal olmayan üç hayat dışı ve faal olmayan bir hayat şirketi ile birlikte hayat portföyü bulunan şirket sayısı 26’ya ulaşmaktadır. 2018 yılında faaliyette bulunan 22 hayat ve emeklilik şirketine ilişkin detaylı veriler Raporun Tablolar kısmında sunulmuştur. </w:t>
            </w:r>
          </w:p>
          <w:p w:rsidR="007909D7" w:rsidRPr="007E4413" w:rsidRDefault="007909D7" w:rsidP="00116C20">
            <w:pPr>
              <w:jc w:val="both"/>
              <w:rPr>
                <w:rFonts w:ascii="Century" w:hAnsi="Century"/>
                <w:sz w:val="18"/>
                <w:szCs w:val="18"/>
              </w:rPr>
            </w:pPr>
          </w:p>
          <w:p w:rsidR="007909D7" w:rsidRPr="007E4413" w:rsidRDefault="007909D7" w:rsidP="00A4172C">
            <w:pPr>
              <w:jc w:val="both"/>
            </w:pPr>
            <w:r w:rsidRPr="007E4413">
              <w:rPr>
                <w:rFonts w:ascii="Century" w:hAnsi="Century"/>
                <w:sz w:val="22"/>
                <w:szCs w:val="22"/>
              </w:rPr>
              <w:t>Hayat grubu direkt prim üretimi ürün tipi bazında yıllar itibarıyla incelendiğinde, birikimli hayat sigortasının son dört yılda artış trendinede olduğu görülmektedir.</w:t>
            </w:r>
          </w:p>
          <w:p w:rsidR="007909D7" w:rsidRPr="007E4413" w:rsidRDefault="007909D7" w:rsidP="00A4172C">
            <w:pPr>
              <w:jc w:val="both"/>
              <w:rPr>
                <w:rFonts w:ascii="Century" w:hAnsi="Century"/>
                <w:sz w:val="16"/>
                <w:szCs w:val="16"/>
              </w:rPr>
            </w:pPr>
          </w:p>
        </w:tc>
        <w:tc>
          <w:tcPr>
            <w:tcW w:w="273" w:type="dxa"/>
            <w:gridSpan w:val="6"/>
          </w:tcPr>
          <w:p w:rsidR="007909D7" w:rsidRPr="007E4413" w:rsidRDefault="007909D7" w:rsidP="00700CE3">
            <w:pPr>
              <w:rPr>
                <w:rFonts w:ascii="Century" w:hAnsi="Century"/>
              </w:rPr>
            </w:pPr>
          </w:p>
        </w:tc>
        <w:tc>
          <w:tcPr>
            <w:tcW w:w="4805" w:type="dxa"/>
            <w:gridSpan w:val="8"/>
          </w:tcPr>
          <w:p w:rsidR="007909D7" w:rsidRPr="007E4413" w:rsidRDefault="00327B97" w:rsidP="00700CE3">
            <w:pPr>
              <w:rPr>
                <w:rFonts w:ascii="Century" w:hAnsi="Century"/>
                <w:b/>
                <w:color w:val="003366"/>
                <w:sz w:val="22"/>
                <w:szCs w:val="22"/>
              </w:rPr>
            </w:pPr>
            <w:r>
              <w:rPr>
                <w:rFonts w:ascii="Century" w:hAnsi="Century"/>
                <w:b/>
                <w:color w:val="003366"/>
                <w:sz w:val="22"/>
                <w:szCs w:val="22"/>
              </w:rPr>
              <w:t xml:space="preserve">4.3. </w:t>
            </w:r>
            <w:r w:rsidR="007909D7" w:rsidRPr="007E4413">
              <w:rPr>
                <w:rFonts w:ascii="Century" w:hAnsi="Century"/>
                <w:b/>
                <w:color w:val="003366"/>
                <w:sz w:val="22"/>
                <w:szCs w:val="22"/>
              </w:rPr>
              <w:t xml:space="preserve">Life Insurance </w:t>
            </w:r>
          </w:p>
          <w:p w:rsidR="007909D7" w:rsidRPr="007E4413" w:rsidRDefault="007909D7" w:rsidP="00700CE3">
            <w:pPr>
              <w:rPr>
                <w:rFonts w:ascii="Century" w:hAnsi="Century"/>
                <w:color w:val="333333"/>
                <w:sz w:val="18"/>
                <w:szCs w:val="18"/>
              </w:rPr>
            </w:pPr>
          </w:p>
          <w:p w:rsidR="007909D7" w:rsidRPr="007E4413" w:rsidRDefault="007909D7" w:rsidP="00700CE3">
            <w:pPr>
              <w:jc w:val="both"/>
              <w:rPr>
                <w:rFonts w:ascii="Century" w:hAnsi="Century" w:cs="Arial"/>
                <w:color w:val="333333"/>
                <w:sz w:val="22"/>
                <w:szCs w:val="22"/>
              </w:rPr>
            </w:pPr>
            <w:r w:rsidRPr="007E4413">
              <w:rPr>
                <w:rFonts w:ascii="Century" w:hAnsi="Century" w:cs="Arial"/>
                <w:color w:val="333333"/>
                <w:sz w:val="22"/>
                <w:szCs w:val="22"/>
              </w:rPr>
              <w:t xml:space="preserve">In 2012, tontine insurance was added to the life insurance group which had been regulated as seven lines of business at first within the framework of the Insurance Law No: 5684. Life insurance and pension companies could operate in all of eight lines of businesses. </w:t>
            </w:r>
          </w:p>
          <w:p w:rsidR="007909D7" w:rsidRPr="007E4413" w:rsidRDefault="007909D7" w:rsidP="00700CE3">
            <w:pPr>
              <w:jc w:val="both"/>
              <w:rPr>
                <w:rFonts w:ascii="Century" w:hAnsi="Century" w:cs="Arial"/>
                <w:color w:val="333333"/>
                <w:sz w:val="18"/>
                <w:szCs w:val="18"/>
              </w:rPr>
            </w:pPr>
          </w:p>
          <w:p w:rsidR="007909D7" w:rsidRPr="007E4413" w:rsidRDefault="007909D7" w:rsidP="00700CE3">
            <w:pPr>
              <w:jc w:val="both"/>
              <w:rPr>
                <w:rFonts w:ascii="Century" w:hAnsi="Century" w:cs="Arial"/>
                <w:color w:val="333333"/>
                <w:sz w:val="22"/>
                <w:szCs w:val="22"/>
              </w:rPr>
            </w:pPr>
            <w:r w:rsidRPr="007E4413">
              <w:rPr>
                <w:rFonts w:ascii="Century" w:hAnsi="Century" w:cs="Arial"/>
                <w:color w:val="333333"/>
                <w:sz w:val="22"/>
                <w:szCs w:val="22"/>
              </w:rPr>
              <w:t xml:space="preserve">There was no premium production in investment funded insurance and </w:t>
            </w:r>
            <w:r w:rsidRPr="007E4413">
              <w:rPr>
                <w:rFonts w:ascii="Century" w:hAnsi="Century" w:cs="Tahoma"/>
                <w:color w:val="333333"/>
                <w:sz w:val="22"/>
                <w:szCs w:val="22"/>
              </w:rPr>
              <w:t xml:space="preserve">marriage and birth insurance business </w:t>
            </w:r>
            <w:r w:rsidRPr="007E4413">
              <w:rPr>
                <w:rFonts w:ascii="Century" w:hAnsi="Century" w:cs="Arial"/>
                <w:color w:val="333333"/>
                <w:sz w:val="22"/>
                <w:szCs w:val="22"/>
              </w:rPr>
              <w:t xml:space="preserve">in 2017. There has been no company having license for Management Funds and Tontine LoB which was legislated in 2012 in life insurance group so far. </w:t>
            </w:r>
          </w:p>
          <w:p w:rsidR="007909D7" w:rsidRPr="007E4413" w:rsidRDefault="007909D7" w:rsidP="00700CE3">
            <w:pPr>
              <w:jc w:val="both"/>
              <w:rPr>
                <w:rFonts w:ascii="Century" w:hAnsi="Century" w:cs="Arial"/>
                <w:color w:val="333333"/>
                <w:sz w:val="18"/>
                <w:szCs w:val="18"/>
              </w:rPr>
            </w:pPr>
          </w:p>
          <w:p w:rsidR="007909D7" w:rsidRPr="007E4413" w:rsidRDefault="007909D7" w:rsidP="00D16FC9">
            <w:pPr>
              <w:jc w:val="both"/>
              <w:rPr>
                <w:rFonts w:ascii="Century" w:hAnsi="Century" w:cs="Arial"/>
                <w:color w:val="333333"/>
                <w:sz w:val="22"/>
                <w:szCs w:val="22"/>
              </w:rPr>
            </w:pPr>
            <w:r w:rsidRPr="007E4413">
              <w:rPr>
                <w:rFonts w:ascii="Century" w:hAnsi="Century" w:cs="Arial"/>
                <w:color w:val="333333"/>
                <w:sz w:val="22"/>
                <w:szCs w:val="22"/>
              </w:rPr>
              <w:t xml:space="preserve">During 2018, 22 insurance companies issued new policies in life insurance. On the other hand, 26 companies have life insurance portfolio in the market in which three non–life companies are just maintaining their inactive life portfolio, and one inactive life company having portfolio. The detailed figures about 22 active life / pension companies as December 31, 2018 are given in the Tables Chapter of the Report. </w:t>
            </w:r>
          </w:p>
          <w:p w:rsidR="007909D7" w:rsidRPr="007E4413" w:rsidRDefault="007909D7" w:rsidP="005742D6">
            <w:pPr>
              <w:jc w:val="both"/>
              <w:rPr>
                <w:rFonts w:ascii="Century" w:hAnsi="Century" w:cs="Arial"/>
                <w:color w:val="333333"/>
                <w:sz w:val="18"/>
                <w:szCs w:val="18"/>
              </w:rPr>
            </w:pPr>
          </w:p>
          <w:p w:rsidR="007909D7" w:rsidRPr="007E4413" w:rsidRDefault="00356154" w:rsidP="004D0CE2">
            <w:pPr>
              <w:jc w:val="both"/>
              <w:rPr>
                <w:rFonts w:ascii="Century" w:hAnsi="Century" w:cs="Arial"/>
                <w:color w:val="333333"/>
                <w:sz w:val="16"/>
                <w:szCs w:val="16"/>
              </w:rPr>
            </w:pPr>
            <w:r w:rsidRPr="007E4413">
              <w:rPr>
                <w:rFonts w:ascii="Century" w:hAnsi="Century" w:cs="Arial"/>
                <w:color w:val="333333"/>
                <w:sz w:val="22"/>
                <w:szCs w:val="22"/>
              </w:rPr>
              <w:t xml:space="preserve">When life premiums </w:t>
            </w:r>
            <w:r w:rsidRPr="007E4413">
              <w:rPr>
                <w:rFonts w:ascii="Century" w:hAnsi="Century"/>
                <w:color w:val="333333"/>
                <w:sz w:val="22"/>
                <w:szCs w:val="22"/>
              </w:rPr>
              <w:t>on the basis of</w:t>
            </w:r>
            <w:r w:rsidRPr="007E4413">
              <w:rPr>
                <w:rFonts w:ascii="Century" w:hAnsi="Century" w:cs="Arial"/>
                <w:color w:val="333333"/>
                <w:sz w:val="22"/>
                <w:szCs w:val="22"/>
              </w:rPr>
              <w:t xml:space="preserve"> </w:t>
            </w:r>
            <w:r w:rsidRPr="007E4413">
              <w:rPr>
                <w:rFonts w:ascii="Century" w:hAnsi="Century"/>
                <w:color w:val="333333"/>
                <w:sz w:val="22"/>
                <w:szCs w:val="22"/>
              </w:rPr>
              <w:t>product type</w:t>
            </w:r>
            <w:r w:rsidRPr="007E4413">
              <w:rPr>
                <w:rFonts w:ascii="Century" w:hAnsi="Century" w:cs="Arial"/>
                <w:color w:val="333333"/>
                <w:sz w:val="22"/>
                <w:szCs w:val="22"/>
              </w:rPr>
              <w:t xml:space="preserve"> over the years is analyzed, it is seen that whole life insurance have performed an increasing trend.</w:t>
            </w:r>
            <w:r w:rsidRPr="007E4413">
              <w:rPr>
                <w:rFonts w:ascii="Century" w:hAnsi="Century" w:cs="Arial"/>
                <w:color w:val="333333"/>
                <w:sz w:val="16"/>
                <w:szCs w:val="16"/>
              </w:rPr>
              <w:t xml:space="preserve"> </w:t>
            </w:r>
          </w:p>
        </w:tc>
      </w:tr>
      <w:tr w:rsidR="007909D7" w:rsidRPr="00B10D90" w:rsidTr="00441D50">
        <w:trPr>
          <w:gridAfter w:val="1"/>
          <w:wAfter w:w="20" w:type="dxa"/>
        </w:trPr>
        <w:tc>
          <w:tcPr>
            <w:tcW w:w="9838" w:type="dxa"/>
            <w:gridSpan w:val="15"/>
          </w:tcPr>
          <w:p w:rsidR="007909D7" w:rsidRPr="00D003FC" w:rsidRDefault="007909D7" w:rsidP="00995720">
            <w:pPr>
              <w:pStyle w:val="Caption"/>
              <w:jc w:val="center"/>
              <w:rPr>
                <w:rFonts w:ascii="Century" w:hAnsi="Century"/>
                <w:bCs w:val="0"/>
                <w:color w:val="000080"/>
              </w:rPr>
            </w:pPr>
            <w:r w:rsidRPr="00D003FC">
              <w:rPr>
                <w:rFonts w:ascii="Century" w:hAnsi="Century"/>
                <w:color w:val="000080"/>
              </w:rPr>
              <w:t xml:space="preserve">Tablo 4.3.1: Hayat / Emeklilik Şirketlerinin Hayat Branşı </w:t>
            </w:r>
            <w:r w:rsidRPr="00D003FC">
              <w:rPr>
                <w:rFonts w:ascii="Century" w:hAnsi="Century"/>
                <w:bCs w:val="0"/>
                <w:color w:val="000080"/>
              </w:rPr>
              <w:t>Priminin Ürün Tipi Bazında Dağılımı</w:t>
            </w:r>
          </w:p>
          <w:p w:rsidR="007909D7" w:rsidRPr="00D003FC" w:rsidRDefault="007909D7" w:rsidP="00995720">
            <w:pPr>
              <w:pStyle w:val="Caption"/>
              <w:jc w:val="center"/>
              <w:rPr>
                <w:rFonts w:ascii="Century" w:hAnsi="Century"/>
                <w:b w:val="0"/>
                <w:i/>
                <w:iCs/>
                <w:color w:val="000080"/>
              </w:rPr>
            </w:pPr>
            <w:r w:rsidRPr="00D003FC">
              <w:rPr>
                <w:rFonts w:ascii="Century" w:hAnsi="Century"/>
                <w:b w:val="0"/>
                <w:bCs w:val="0"/>
                <w:i/>
                <w:color w:val="000080"/>
              </w:rPr>
              <w:t xml:space="preserve">Distribution of </w:t>
            </w:r>
            <w:r w:rsidRPr="00D003FC">
              <w:rPr>
                <w:rFonts w:ascii="Century" w:hAnsi="Century"/>
                <w:b w:val="0"/>
                <w:i/>
                <w:iCs/>
                <w:color w:val="000080"/>
              </w:rPr>
              <w:t>Life Lines of Business’ Premium as Product Type</w:t>
            </w:r>
          </w:p>
          <w:p w:rsidR="007909D7" w:rsidRPr="00D003FC" w:rsidRDefault="007909D7" w:rsidP="00131ABF">
            <w:pPr>
              <w:jc w:val="center"/>
            </w:pPr>
            <w:r w:rsidRPr="00D003FC">
              <w:rPr>
                <w:noProof/>
              </w:rPr>
              <w:drawing>
                <wp:inline distT="0" distB="0" distL="0" distR="0" wp14:anchorId="09E2AFA6" wp14:editId="5879388A">
                  <wp:extent cx="6106795" cy="143129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06795" cy="1431290"/>
                          </a:xfrm>
                          <a:prstGeom prst="rect">
                            <a:avLst/>
                          </a:prstGeom>
                          <a:noFill/>
                          <a:ln>
                            <a:noFill/>
                          </a:ln>
                        </pic:spPr>
                      </pic:pic>
                    </a:graphicData>
                  </a:graphic>
                </wp:inline>
              </w:drawing>
            </w:r>
          </w:p>
          <w:p w:rsidR="007909D7" w:rsidRPr="00D003FC" w:rsidRDefault="007909D7" w:rsidP="00700CE3">
            <w:pPr>
              <w:rPr>
                <w:rFonts w:ascii="Century" w:hAnsi="Century"/>
                <w:b/>
                <w:color w:val="003366"/>
                <w:sz w:val="22"/>
                <w:szCs w:val="22"/>
              </w:rPr>
            </w:pPr>
          </w:p>
        </w:tc>
      </w:tr>
      <w:tr w:rsidR="007909D7" w:rsidRPr="00B10D90" w:rsidTr="00441D50">
        <w:trPr>
          <w:gridAfter w:val="1"/>
          <w:wAfter w:w="20" w:type="dxa"/>
        </w:trPr>
        <w:tc>
          <w:tcPr>
            <w:tcW w:w="4760" w:type="dxa"/>
          </w:tcPr>
          <w:p w:rsidR="007909D7" w:rsidRPr="007E4413" w:rsidRDefault="007909D7" w:rsidP="00A4172C">
            <w:pPr>
              <w:jc w:val="both"/>
              <w:rPr>
                <w:rFonts w:ascii="Century" w:hAnsi="Century"/>
                <w:sz w:val="22"/>
                <w:szCs w:val="22"/>
              </w:rPr>
            </w:pPr>
            <w:bookmarkStart w:id="258" w:name="_Toc296364768"/>
            <w:bookmarkStart w:id="259" w:name="_Toc296371978"/>
            <w:r w:rsidRPr="007E4413">
              <w:rPr>
                <w:rFonts w:ascii="Century" w:hAnsi="Century"/>
                <w:sz w:val="22"/>
                <w:szCs w:val="22"/>
              </w:rPr>
              <w:t>Aşağıdaki grafikte görüldüğü üzere, hayat sigortasında vefat sigortalarının payı 2017 yılına kadar artış eğiliminde iken 2018 yılında karma sigortalarda meydana gelen yüksek oranlı artış ve vefat ürünlerinde meydana gelen %3</w:t>
            </w:r>
            <w:proofErr w:type="gramStart"/>
            <w:r w:rsidRPr="007E4413">
              <w:rPr>
                <w:rFonts w:ascii="Century" w:hAnsi="Century"/>
                <w:sz w:val="22"/>
                <w:szCs w:val="22"/>
              </w:rPr>
              <w:t>,6</w:t>
            </w:r>
            <w:proofErr w:type="gramEnd"/>
            <w:r w:rsidRPr="007E4413">
              <w:rPr>
                <w:rFonts w:ascii="Century" w:hAnsi="Century"/>
                <w:sz w:val="22"/>
                <w:szCs w:val="22"/>
              </w:rPr>
              <w:t xml:space="preserve"> oranında azalışın etkisiyle 4 puan azalmıştır. </w:t>
            </w:r>
            <w:bookmarkEnd w:id="258"/>
            <w:bookmarkEnd w:id="259"/>
          </w:p>
          <w:p w:rsidR="007909D7" w:rsidRPr="007E4413" w:rsidRDefault="007909D7" w:rsidP="00A4172C">
            <w:pPr>
              <w:jc w:val="both"/>
              <w:rPr>
                <w:rFonts w:ascii="Century" w:hAnsi="Century"/>
                <w:sz w:val="22"/>
                <w:szCs w:val="22"/>
              </w:rPr>
            </w:pPr>
          </w:p>
        </w:tc>
        <w:tc>
          <w:tcPr>
            <w:tcW w:w="273" w:type="dxa"/>
            <w:gridSpan w:val="6"/>
          </w:tcPr>
          <w:p w:rsidR="007909D7" w:rsidRPr="007E4413" w:rsidRDefault="007909D7" w:rsidP="00700CE3">
            <w:pPr>
              <w:rPr>
                <w:rFonts w:ascii="Century" w:hAnsi="Century"/>
              </w:rPr>
            </w:pPr>
          </w:p>
        </w:tc>
        <w:tc>
          <w:tcPr>
            <w:tcW w:w="4805" w:type="dxa"/>
            <w:gridSpan w:val="8"/>
          </w:tcPr>
          <w:p w:rsidR="007909D7" w:rsidRPr="007E4413" w:rsidRDefault="007E4413" w:rsidP="00A4172C">
            <w:pPr>
              <w:jc w:val="both"/>
              <w:rPr>
                <w:rFonts w:ascii="Century" w:hAnsi="Century"/>
                <w:b/>
                <w:color w:val="003366"/>
                <w:sz w:val="16"/>
                <w:szCs w:val="16"/>
              </w:rPr>
            </w:pPr>
            <w:r w:rsidRPr="007E4413">
              <w:rPr>
                <w:rFonts w:ascii="Century" w:hAnsi="Century"/>
                <w:color w:val="333333"/>
                <w:sz w:val="22"/>
                <w:szCs w:val="22"/>
              </w:rPr>
              <w:t>As it can be seen from the graph below, while the share of term life insurances in life business was in an increasing trend till 2017, it decreased by 4% in 2018 due to high demand for endowment life insurance and decrease of 3.6% in term life insurance.</w:t>
            </w:r>
          </w:p>
        </w:tc>
      </w:tr>
      <w:tr w:rsidR="007909D7" w:rsidRPr="00B10D90" w:rsidTr="00441D50">
        <w:trPr>
          <w:gridAfter w:val="1"/>
          <w:wAfter w:w="20" w:type="dxa"/>
        </w:trPr>
        <w:tc>
          <w:tcPr>
            <w:tcW w:w="9838" w:type="dxa"/>
            <w:gridSpan w:val="15"/>
          </w:tcPr>
          <w:p w:rsidR="007909D7" w:rsidRPr="00D003FC" w:rsidRDefault="007909D7" w:rsidP="00DE6763">
            <w:pPr>
              <w:jc w:val="center"/>
              <w:rPr>
                <w:rFonts w:ascii="Century" w:hAnsi="Century" w:cs="Arial"/>
                <w:b/>
                <w:color w:val="333399"/>
                <w:sz w:val="20"/>
                <w:szCs w:val="20"/>
              </w:rPr>
            </w:pPr>
            <w:r w:rsidRPr="00D003FC">
              <w:rPr>
                <w:rFonts w:ascii="Century" w:hAnsi="Century" w:cs="Arial"/>
                <w:b/>
                <w:color w:val="333399"/>
                <w:sz w:val="20"/>
                <w:szCs w:val="20"/>
              </w:rPr>
              <w:lastRenderedPageBreak/>
              <w:t xml:space="preserve">Grafik 4.3.1: Hayat Branşı Prim Dağılımı </w:t>
            </w:r>
            <w:r w:rsidRPr="00D003FC">
              <w:rPr>
                <w:rFonts w:ascii="Century" w:hAnsi="Century" w:cs="Arial"/>
                <w:i/>
                <w:color w:val="333399"/>
                <w:sz w:val="20"/>
                <w:szCs w:val="20"/>
              </w:rPr>
              <w:t>– Share of Premiums for Life Business</w:t>
            </w:r>
            <w:r w:rsidRPr="00D003FC">
              <w:rPr>
                <w:rFonts w:ascii="Century" w:hAnsi="Century" w:cs="Arial"/>
                <w:b/>
                <w:color w:val="333399"/>
                <w:sz w:val="20"/>
                <w:szCs w:val="20"/>
              </w:rPr>
              <w:t xml:space="preserve"> (%)</w:t>
            </w:r>
          </w:p>
          <w:p w:rsidR="007909D7" w:rsidRPr="00D003FC" w:rsidRDefault="007909D7" w:rsidP="00B62BB3">
            <w:pPr>
              <w:jc w:val="center"/>
              <w:rPr>
                <w:rFonts w:ascii="Century" w:hAnsi="Century"/>
                <w:b/>
                <w:color w:val="003366"/>
                <w:sz w:val="22"/>
                <w:szCs w:val="22"/>
              </w:rPr>
            </w:pPr>
            <w:r w:rsidRPr="00D003FC">
              <w:rPr>
                <w:rFonts w:ascii="Century" w:hAnsi="Century"/>
                <w:b/>
                <w:noProof/>
                <w:color w:val="003366"/>
                <w:sz w:val="22"/>
                <w:szCs w:val="22"/>
              </w:rPr>
              <w:drawing>
                <wp:inline distT="0" distB="0" distL="0" distR="0" wp14:anchorId="3D7AD9AE" wp14:editId="2CFDAFFE">
                  <wp:extent cx="5581650" cy="2496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81650" cy="2496820"/>
                          </a:xfrm>
                          <a:prstGeom prst="rect">
                            <a:avLst/>
                          </a:prstGeom>
                          <a:noFill/>
                          <a:ln>
                            <a:noFill/>
                          </a:ln>
                        </pic:spPr>
                      </pic:pic>
                    </a:graphicData>
                  </a:graphic>
                </wp:inline>
              </w:drawing>
            </w:r>
          </w:p>
        </w:tc>
      </w:tr>
      <w:tr w:rsidR="007909D7" w:rsidRPr="00B10D90" w:rsidTr="00441D50">
        <w:trPr>
          <w:gridAfter w:val="1"/>
          <w:wAfter w:w="20" w:type="dxa"/>
        </w:trPr>
        <w:tc>
          <w:tcPr>
            <w:tcW w:w="4760" w:type="dxa"/>
          </w:tcPr>
          <w:p w:rsidR="007909D7" w:rsidRPr="009B6DAA" w:rsidRDefault="007909D7" w:rsidP="005F76F4">
            <w:pPr>
              <w:jc w:val="both"/>
              <w:rPr>
                <w:rFonts w:ascii="Century" w:hAnsi="Century"/>
                <w:sz w:val="22"/>
                <w:szCs w:val="22"/>
              </w:rPr>
            </w:pPr>
            <w:r w:rsidRPr="00EB7766">
              <w:rPr>
                <w:rFonts w:ascii="Century" w:hAnsi="Century"/>
                <w:sz w:val="22"/>
                <w:szCs w:val="22"/>
              </w:rPr>
              <w:t xml:space="preserve">Hayat branşında, 31.12.2018 tarihi itibarıyla tenzil durumunda bulunan 181.934 adet poliçe/sertifika da dahil olmak üzere mevcut hayat sigortası poliçe/sertifika sayısı </w:t>
            </w:r>
            <w:r w:rsidRPr="00223F5E">
              <w:rPr>
                <w:rFonts w:ascii="Century" w:hAnsi="Century"/>
                <w:sz w:val="22"/>
                <w:szCs w:val="22"/>
              </w:rPr>
              <w:t xml:space="preserve">32.395.433 adettir. 2018 yılında 593.236 adedi grup poliçesi olmak üzere toplam 1.744.606 adet yeni poliçe tanzim </w:t>
            </w:r>
            <w:r w:rsidRPr="00995A5C">
              <w:rPr>
                <w:rFonts w:ascii="Century" w:hAnsi="Century"/>
                <w:sz w:val="22"/>
                <w:szCs w:val="22"/>
              </w:rPr>
              <w:t>edilmiştir. Grup poliçeleri kapsamında yeni tanzim edilen sertifika sayısı ise 20.709.916’dır.</w:t>
            </w:r>
          </w:p>
          <w:p w:rsidR="007909D7" w:rsidRPr="009B6DAA" w:rsidRDefault="007909D7" w:rsidP="003E670F">
            <w:pPr>
              <w:jc w:val="both"/>
              <w:rPr>
                <w:rFonts w:ascii="Century" w:hAnsi="Century"/>
                <w:sz w:val="22"/>
                <w:szCs w:val="22"/>
              </w:rPr>
            </w:pPr>
          </w:p>
        </w:tc>
        <w:tc>
          <w:tcPr>
            <w:tcW w:w="273" w:type="dxa"/>
            <w:gridSpan w:val="6"/>
          </w:tcPr>
          <w:p w:rsidR="007909D7" w:rsidRPr="00B10D90" w:rsidRDefault="007909D7" w:rsidP="00700CE3">
            <w:pPr>
              <w:rPr>
                <w:rFonts w:ascii="Century" w:hAnsi="Century"/>
                <w:highlight w:val="yellow"/>
              </w:rPr>
            </w:pPr>
          </w:p>
        </w:tc>
        <w:tc>
          <w:tcPr>
            <w:tcW w:w="4805" w:type="dxa"/>
            <w:gridSpan w:val="8"/>
          </w:tcPr>
          <w:p w:rsidR="007909D7" w:rsidRPr="00995A5C" w:rsidRDefault="007909D7" w:rsidP="003E670F">
            <w:pPr>
              <w:jc w:val="both"/>
              <w:rPr>
                <w:rFonts w:ascii="Century" w:hAnsi="Century" w:cs="Arial"/>
                <w:color w:val="333333"/>
                <w:sz w:val="22"/>
                <w:szCs w:val="22"/>
              </w:rPr>
            </w:pPr>
            <w:r w:rsidRPr="00223F5E">
              <w:rPr>
                <w:rFonts w:ascii="Century" w:hAnsi="Century" w:cs="Arial"/>
                <w:color w:val="333333"/>
                <w:sz w:val="22"/>
                <w:szCs w:val="22"/>
              </w:rPr>
              <w:t xml:space="preserve">At the end of 2018, total number of policies / certificates was </w:t>
            </w:r>
            <w:r w:rsidRPr="00223F5E">
              <w:rPr>
                <w:rFonts w:ascii="Century" w:hAnsi="Century"/>
                <w:sz w:val="22"/>
                <w:szCs w:val="22"/>
              </w:rPr>
              <w:t xml:space="preserve">32.395.433 </w:t>
            </w:r>
            <w:r w:rsidRPr="00223F5E">
              <w:rPr>
                <w:rFonts w:ascii="Century" w:hAnsi="Century" w:cs="Arial"/>
                <w:color w:val="333333"/>
                <w:sz w:val="22"/>
                <w:szCs w:val="22"/>
              </w:rPr>
              <w:t>in life insurance LoB which also includes 181</w:t>
            </w:r>
            <w:r w:rsidRPr="00223F5E">
              <w:rPr>
                <w:rFonts w:ascii="Century" w:hAnsi="Century"/>
                <w:sz w:val="22"/>
                <w:szCs w:val="22"/>
              </w:rPr>
              <w:t xml:space="preserve">.934 </w:t>
            </w:r>
            <w:r w:rsidRPr="00223F5E">
              <w:rPr>
                <w:rFonts w:ascii="Century" w:hAnsi="Century" w:cs="Arial"/>
                <w:color w:val="333333"/>
                <w:sz w:val="22"/>
                <w:szCs w:val="22"/>
              </w:rPr>
              <w:t xml:space="preserve">deducted / lowered policies. </w:t>
            </w:r>
            <w:r w:rsidRPr="00223F5E">
              <w:rPr>
                <w:rFonts w:ascii="Century" w:hAnsi="Century"/>
                <w:sz w:val="22"/>
                <w:szCs w:val="22"/>
              </w:rPr>
              <w:t xml:space="preserve">1.744.606 </w:t>
            </w:r>
            <w:r w:rsidRPr="00223F5E">
              <w:rPr>
                <w:rFonts w:ascii="Century" w:hAnsi="Century" w:cs="Arial"/>
                <w:color w:val="333333"/>
                <w:sz w:val="22"/>
                <w:szCs w:val="22"/>
              </w:rPr>
              <w:t xml:space="preserve">of total policies </w:t>
            </w:r>
            <w:proofErr w:type="gramStart"/>
            <w:r w:rsidRPr="00223F5E">
              <w:rPr>
                <w:rFonts w:ascii="Century" w:hAnsi="Century" w:cs="Arial"/>
                <w:color w:val="333333"/>
                <w:sz w:val="22"/>
                <w:szCs w:val="22"/>
              </w:rPr>
              <w:t>were</w:t>
            </w:r>
            <w:proofErr w:type="gramEnd"/>
            <w:r w:rsidRPr="00223F5E">
              <w:rPr>
                <w:rFonts w:ascii="Century" w:hAnsi="Century" w:cs="Arial"/>
                <w:color w:val="333333"/>
                <w:sz w:val="22"/>
                <w:szCs w:val="22"/>
              </w:rPr>
              <w:t xml:space="preserve"> issued in 2018, 593</w:t>
            </w:r>
            <w:r w:rsidRPr="00223F5E">
              <w:rPr>
                <w:rFonts w:ascii="Century" w:hAnsi="Century"/>
                <w:sz w:val="22"/>
                <w:szCs w:val="22"/>
              </w:rPr>
              <w:t xml:space="preserve">.236 </w:t>
            </w:r>
            <w:r w:rsidRPr="00223F5E">
              <w:rPr>
                <w:rFonts w:ascii="Century" w:hAnsi="Century" w:cs="Arial"/>
                <w:color w:val="333333"/>
                <w:sz w:val="22"/>
                <w:szCs w:val="22"/>
              </w:rPr>
              <w:t xml:space="preserve">of which are group policies. </w:t>
            </w:r>
            <w:r w:rsidRPr="00995A5C">
              <w:rPr>
                <w:rFonts w:ascii="Century" w:hAnsi="Century" w:cs="Arial"/>
                <w:color w:val="333333"/>
                <w:sz w:val="22"/>
                <w:szCs w:val="22"/>
              </w:rPr>
              <w:t>The number of written certificates (person) within group policies is 20.709.916.</w:t>
            </w:r>
          </w:p>
          <w:p w:rsidR="007909D7" w:rsidRPr="00B10D90" w:rsidRDefault="007909D7" w:rsidP="005F76F4">
            <w:pPr>
              <w:jc w:val="both"/>
              <w:rPr>
                <w:rFonts w:ascii="Century" w:hAnsi="Century"/>
                <w:color w:val="333333"/>
                <w:sz w:val="22"/>
                <w:szCs w:val="22"/>
                <w:highlight w:val="yellow"/>
              </w:rPr>
            </w:pPr>
          </w:p>
          <w:p w:rsidR="007909D7" w:rsidRPr="00B10D90" w:rsidRDefault="007909D7" w:rsidP="003E670F">
            <w:pPr>
              <w:jc w:val="both"/>
              <w:rPr>
                <w:rFonts w:ascii="Century" w:hAnsi="Century"/>
                <w:b/>
                <w:color w:val="003366"/>
                <w:sz w:val="22"/>
                <w:szCs w:val="22"/>
                <w:highlight w:val="yellow"/>
              </w:rPr>
            </w:pPr>
          </w:p>
        </w:tc>
      </w:tr>
      <w:tr w:rsidR="007909D7" w:rsidRPr="00B10D90" w:rsidTr="00441D50">
        <w:trPr>
          <w:gridAfter w:val="1"/>
          <w:wAfter w:w="20" w:type="dxa"/>
          <w:trHeight w:val="426"/>
        </w:trPr>
        <w:tc>
          <w:tcPr>
            <w:tcW w:w="9838" w:type="dxa"/>
            <w:gridSpan w:val="15"/>
          </w:tcPr>
          <w:p w:rsidR="007909D7" w:rsidRPr="00EB7766" w:rsidRDefault="007909D7" w:rsidP="003E670F">
            <w:pPr>
              <w:jc w:val="center"/>
              <w:rPr>
                <w:rFonts w:ascii="Century" w:hAnsi="Century"/>
                <w:b/>
                <w:color w:val="000080"/>
                <w:sz w:val="20"/>
                <w:szCs w:val="20"/>
              </w:rPr>
            </w:pPr>
            <w:r w:rsidRPr="00EB7766">
              <w:rPr>
                <w:rFonts w:ascii="Century" w:hAnsi="Century"/>
                <w:b/>
                <w:color w:val="000080"/>
                <w:sz w:val="20"/>
                <w:szCs w:val="20"/>
              </w:rPr>
              <w:t>Tablo 4.3.2: Tanzim Şekline Göre Poliçe ve Üretim Bilgileri</w:t>
            </w:r>
          </w:p>
          <w:p w:rsidR="007909D7" w:rsidRPr="00EB7766" w:rsidRDefault="007909D7" w:rsidP="003E670F">
            <w:pPr>
              <w:jc w:val="center"/>
              <w:rPr>
                <w:rFonts w:ascii="Century" w:hAnsi="Century"/>
                <w:i/>
                <w:color w:val="000080"/>
                <w:sz w:val="20"/>
                <w:szCs w:val="20"/>
              </w:rPr>
            </w:pPr>
            <w:r w:rsidRPr="00EB7766">
              <w:rPr>
                <w:rFonts w:ascii="Century" w:hAnsi="Century"/>
                <w:i/>
                <w:color w:val="000080"/>
                <w:sz w:val="20"/>
                <w:szCs w:val="20"/>
              </w:rPr>
              <w:t>Gross Premium  and Number of Policies in Life Business</w:t>
            </w:r>
          </w:p>
          <w:p w:rsidR="007909D7" w:rsidRPr="00EB7766" w:rsidRDefault="007909D7" w:rsidP="003E670F">
            <w:pPr>
              <w:jc w:val="center"/>
              <w:rPr>
                <w:rFonts w:ascii="Century" w:hAnsi="Century"/>
                <w:i/>
                <w:color w:val="000080"/>
                <w:sz w:val="20"/>
                <w:szCs w:val="20"/>
              </w:rPr>
            </w:pPr>
            <w:r w:rsidRPr="00EB7766">
              <w:rPr>
                <w:rFonts w:ascii="Century" w:hAnsi="Century"/>
                <w:i/>
                <w:noProof/>
                <w:color w:val="000080"/>
                <w:sz w:val="20"/>
                <w:szCs w:val="20"/>
              </w:rPr>
              <w:drawing>
                <wp:inline distT="0" distB="0" distL="0" distR="0" wp14:anchorId="1B557D91" wp14:editId="39BED26F">
                  <wp:extent cx="6106795" cy="204343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06795" cy="2043430"/>
                          </a:xfrm>
                          <a:prstGeom prst="rect">
                            <a:avLst/>
                          </a:prstGeom>
                          <a:noFill/>
                          <a:ln>
                            <a:noFill/>
                          </a:ln>
                        </pic:spPr>
                      </pic:pic>
                    </a:graphicData>
                  </a:graphic>
                </wp:inline>
              </w:drawing>
            </w:r>
          </w:p>
          <w:p w:rsidR="007909D7" w:rsidRPr="00EB7766" w:rsidRDefault="007909D7" w:rsidP="00302408">
            <w:pPr>
              <w:rPr>
                <w:rFonts w:ascii="Century" w:hAnsi="Century"/>
                <w:i/>
                <w:sz w:val="16"/>
                <w:szCs w:val="16"/>
              </w:rPr>
            </w:pPr>
            <w:r w:rsidRPr="00EB7766">
              <w:rPr>
                <w:rFonts w:ascii="Century" w:hAnsi="Century"/>
                <w:sz w:val="16"/>
                <w:szCs w:val="16"/>
              </w:rPr>
              <w:t xml:space="preserve">(*) Dönem sonunda yürürlükte olmayan sözleşmelere ilişkin prim tutarı – </w:t>
            </w:r>
            <w:r w:rsidRPr="00EB7766">
              <w:rPr>
                <w:rFonts w:ascii="Century" w:hAnsi="Century"/>
                <w:i/>
                <w:sz w:val="16"/>
                <w:szCs w:val="16"/>
              </w:rPr>
              <w:t>Premium amount for the policies not in force in the year end.</w:t>
            </w:r>
          </w:p>
        </w:tc>
      </w:tr>
      <w:tr w:rsidR="007909D7" w:rsidRPr="00B10D90" w:rsidTr="00441D50">
        <w:trPr>
          <w:gridAfter w:val="1"/>
          <w:wAfter w:w="20" w:type="dxa"/>
          <w:trHeight w:val="1702"/>
        </w:trPr>
        <w:tc>
          <w:tcPr>
            <w:tcW w:w="4760" w:type="dxa"/>
          </w:tcPr>
          <w:p w:rsidR="007909D7" w:rsidRPr="00B10D90" w:rsidRDefault="007909D7" w:rsidP="00B93EBD">
            <w:pPr>
              <w:jc w:val="both"/>
              <w:rPr>
                <w:rFonts w:ascii="Century" w:hAnsi="Century"/>
                <w:sz w:val="22"/>
                <w:szCs w:val="22"/>
                <w:highlight w:val="yellow"/>
              </w:rPr>
            </w:pPr>
          </w:p>
          <w:p w:rsidR="007909D7" w:rsidRDefault="007909D7" w:rsidP="00F62DB9">
            <w:pPr>
              <w:jc w:val="both"/>
              <w:rPr>
                <w:rFonts w:ascii="Century" w:hAnsi="Century"/>
                <w:sz w:val="22"/>
                <w:szCs w:val="22"/>
              </w:rPr>
            </w:pPr>
            <w:r w:rsidRPr="00F62DB9">
              <w:rPr>
                <w:rFonts w:ascii="Century" w:hAnsi="Century"/>
                <w:sz w:val="22"/>
                <w:szCs w:val="22"/>
              </w:rPr>
              <w:t>Son beş yıllık dönemde hayat branşında tanzim edilen yeni poliçelerin ürün bazında ayrımı incelendiğinde, 2018 yılında yazılan primlerin yaklaşık %83’ünün krediye bağlı hayat sigortalarına ait olduğu görülmektedir.</w:t>
            </w:r>
          </w:p>
          <w:p w:rsidR="007E4413" w:rsidRDefault="007E4413" w:rsidP="00F62DB9">
            <w:pPr>
              <w:jc w:val="both"/>
              <w:rPr>
                <w:rFonts w:ascii="Century" w:hAnsi="Century"/>
                <w:sz w:val="22"/>
                <w:szCs w:val="22"/>
              </w:rPr>
            </w:pPr>
          </w:p>
          <w:p w:rsidR="007909D7" w:rsidRDefault="007909D7" w:rsidP="00F62DB9">
            <w:pPr>
              <w:jc w:val="both"/>
              <w:rPr>
                <w:rFonts w:ascii="Century" w:hAnsi="Century"/>
                <w:sz w:val="22"/>
                <w:szCs w:val="22"/>
              </w:rPr>
            </w:pPr>
          </w:p>
          <w:p w:rsidR="007909D7" w:rsidRPr="00B10D90" w:rsidRDefault="007909D7" w:rsidP="00F62DB9">
            <w:pPr>
              <w:jc w:val="both"/>
              <w:rPr>
                <w:rFonts w:ascii="Century" w:hAnsi="Century"/>
                <w:sz w:val="16"/>
                <w:szCs w:val="16"/>
                <w:highlight w:val="yellow"/>
              </w:rPr>
            </w:pPr>
          </w:p>
        </w:tc>
        <w:tc>
          <w:tcPr>
            <w:tcW w:w="273" w:type="dxa"/>
            <w:gridSpan w:val="6"/>
          </w:tcPr>
          <w:p w:rsidR="007909D7" w:rsidRPr="00B10D90" w:rsidRDefault="007909D7" w:rsidP="006F1B63">
            <w:pPr>
              <w:rPr>
                <w:rFonts w:ascii="Century" w:hAnsi="Century"/>
                <w:sz w:val="22"/>
                <w:szCs w:val="22"/>
                <w:highlight w:val="yellow"/>
              </w:rPr>
            </w:pPr>
          </w:p>
        </w:tc>
        <w:tc>
          <w:tcPr>
            <w:tcW w:w="4805" w:type="dxa"/>
            <w:gridSpan w:val="8"/>
          </w:tcPr>
          <w:p w:rsidR="007909D7" w:rsidRPr="00B10D90" w:rsidRDefault="007909D7" w:rsidP="009613A8">
            <w:pPr>
              <w:jc w:val="both"/>
              <w:rPr>
                <w:rFonts w:ascii="Century" w:hAnsi="Century" w:cs="Arial"/>
                <w:color w:val="333333"/>
                <w:sz w:val="22"/>
                <w:szCs w:val="22"/>
                <w:highlight w:val="yellow"/>
              </w:rPr>
            </w:pPr>
          </w:p>
          <w:p w:rsidR="007909D7" w:rsidRPr="00B10D90" w:rsidRDefault="007909D7" w:rsidP="00F62DB9">
            <w:pPr>
              <w:jc w:val="both"/>
              <w:rPr>
                <w:rFonts w:ascii="Century" w:hAnsi="Century" w:cs="Arial"/>
                <w:color w:val="333333"/>
                <w:sz w:val="18"/>
                <w:szCs w:val="18"/>
                <w:highlight w:val="yellow"/>
              </w:rPr>
            </w:pPr>
            <w:r w:rsidRPr="00F62DB9">
              <w:rPr>
                <w:rFonts w:ascii="Century" w:hAnsi="Century" w:cs="Arial"/>
                <w:color w:val="333333"/>
                <w:sz w:val="22"/>
                <w:szCs w:val="22"/>
              </w:rPr>
              <w:t xml:space="preserve">Credit life insurance accounts for </w:t>
            </w:r>
            <w:r w:rsidRPr="00F62DB9">
              <w:rPr>
                <w:rFonts w:ascii="Century" w:hAnsi="Century"/>
                <w:color w:val="333333"/>
                <w:sz w:val="22"/>
                <w:szCs w:val="22"/>
              </w:rPr>
              <w:t>approximately 83</w:t>
            </w:r>
            <w:r w:rsidRPr="00F62DB9">
              <w:rPr>
                <w:rFonts w:ascii="Century" w:hAnsi="Century" w:cs="Arial"/>
                <w:color w:val="333333"/>
                <w:sz w:val="22"/>
                <w:szCs w:val="22"/>
              </w:rPr>
              <w:t>% of premiums generated in life LoB for the year of 2018. The following table represents the distribution of new policies issued in life business.</w:t>
            </w:r>
          </w:p>
        </w:tc>
      </w:tr>
      <w:tr w:rsidR="007909D7" w:rsidRPr="00B10D90" w:rsidTr="00441D50">
        <w:trPr>
          <w:gridAfter w:val="1"/>
          <w:wAfter w:w="20" w:type="dxa"/>
          <w:trHeight w:val="200"/>
        </w:trPr>
        <w:tc>
          <w:tcPr>
            <w:tcW w:w="9838" w:type="dxa"/>
            <w:gridSpan w:val="15"/>
          </w:tcPr>
          <w:p w:rsidR="007909D7" w:rsidRPr="00F62DB9" w:rsidRDefault="007909D7" w:rsidP="003A594E">
            <w:pPr>
              <w:jc w:val="center"/>
              <w:rPr>
                <w:rFonts w:ascii="Century" w:hAnsi="Century" w:cs="Arial"/>
                <w:b/>
                <w:color w:val="333399"/>
                <w:sz w:val="20"/>
                <w:szCs w:val="20"/>
              </w:rPr>
            </w:pPr>
            <w:r w:rsidRPr="00F62DB9">
              <w:rPr>
                <w:rFonts w:ascii="Century" w:hAnsi="Century" w:cs="Arial"/>
                <w:b/>
                <w:color w:val="333399"/>
                <w:sz w:val="20"/>
                <w:szCs w:val="20"/>
              </w:rPr>
              <w:lastRenderedPageBreak/>
              <w:t>Grafik 4.3.2: Hayat Branşı Yeni İşler Prim Üretiminin Ürün Tipi Bazında Dağılımı (%)</w:t>
            </w:r>
          </w:p>
          <w:p w:rsidR="007909D7" w:rsidRPr="00F62DB9" w:rsidRDefault="007909D7" w:rsidP="00894EB6">
            <w:pPr>
              <w:jc w:val="center"/>
              <w:rPr>
                <w:rFonts w:ascii="Century" w:hAnsi="Century" w:cs="Arial"/>
                <w:i/>
                <w:color w:val="333399"/>
                <w:sz w:val="20"/>
                <w:szCs w:val="20"/>
              </w:rPr>
            </w:pPr>
            <w:r w:rsidRPr="00F62DB9">
              <w:rPr>
                <w:rFonts w:ascii="Century" w:hAnsi="Century" w:cs="Arial"/>
                <w:i/>
                <w:color w:val="333399"/>
                <w:sz w:val="20"/>
                <w:szCs w:val="20"/>
              </w:rPr>
              <w:t>Distribution of Written Premiums from New Policies</w:t>
            </w:r>
            <w:r w:rsidRPr="00F62DB9">
              <w:rPr>
                <w:rFonts w:ascii="Century" w:hAnsi="Century" w:cs="Arial"/>
                <w:b/>
                <w:color w:val="333399"/>
                <w:sz w:val="20"/>
                <w:szCs w:val="20"/>
              </w:rPr>
              <w:t xml:space="preserve"> </w:t>
            </w:r>
            <w:r w:rsidRPr="00F62DB9">
              <w:rPr>
                <w:rFonts w:ascii="Century" w:hAnsi="Century" w:cs="Arial"/>
                <w:i/>
                <w:color w:val="333399"/>
                <w:sz w:val="20"/>
                <w:szCs w:val="20"/>
              </w:rPr>
              <w:t>as Type of Production</w:t>
            </w:r>
            <w:r w:rsidRPr="00F62DB9">
              <w:rPr>
                <w:rFonts w:ascii="Century" w:hAnsi="Century" w:cs="Arial"/>
                <w:b/>
                <w:i/>
                <w:color w:val="333399"/>
                <w:sz w:val="20"/>
                <w:szCs w:val="20"/>
              </w:rPr>
              <w:t xml:space="preserve"> </w:t>
            </w:r>
            <w:r w:rsidRPr="00F62DB9">
              <w:rPr>
                <w:rFonts w:ascii="Century" w:hAnsi="Century" w:cs="Arial"/>
                <w:i/>
                <w:color w:val="333399"/>
                <w:sz w:val="20"/>
                <w:szCs w:val="20"/>
              </w:rPr>
              <w:t>(%)</w:t>
            </w:r>
          </w:p>
          <w:p w:rsidR="007909D7" w:rsidRPr="00F62DB9" w:rsidRDefault="007909D7" w:rsidP="003443E8">
            <w:pPr>
              <w:jc w:val="center"/>
              <w:rPr>
                <w:rFonts w:ascii="Century" w:hAnsi="Century"/>
                <w:color w:val="333333"/>
                <w:sz w:val="22"/>
                <w:szCs w:val="22"/>
              </w:rPr>
            </w:pPr>
            <w:r w:rsidRPr="00F62DB9">
              <w:rPr>
                <w:rFonts w:ascii="Century" w:hAnsi="Century"/>
                <w:noProof/>
                <w:color w:val="333333"/>
                <w:sz w:val="22"/>
                <w:szCs w:val="22"/>
              </w:rPr>
              <w:drawing>
                <wp:inline distT="0" distB="0" distL="0" distR="0" wp14:anchorId="689BACFC" wp14:editId="37483662">
                  <wp:extent cx="6106795" cy="20275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06795" cy="2027555"/>
                          </a:xfrm>
                          <a:prstGeom prst="rect">
                            <a:avLst/>
                          </a:prstGeom>
                          <a:noFill/>
                          <a:ln>
                            <a:noFill/>
                          </a:ln>
                        </pic:spPr>
                      </pic:pic>
                    </a:graphicData>
                  </a:graphic>
                </wp:inline>
              </w:drawing>
            </w:r>
          </w:p>
        </w:tc>
      </w:tr>
      <w:tr w:rsidR="007909D7" w:rsidRPr="00B10D90" w:rsidTr="00441D50">
        <w:trPr>
          <w:gridAfter w:val="1"/>
          <w:wAfter w:w="20" w:type="dxa"/>
          <w:trHeight w:val="200"/>
        </w:trPr>
        <w:tc>
          <w:tcPr>
            <w:tcW w:w="4760" w:type="dxa"/>
          </w:tcPr>
          <w:p w:rsidR="007909D7" w:rsidRDefault="007909D7" w:rsidP="006F1B63">
            <w:pPr>
              <w:jc w:val="both"/>
              <w:rPr>
                <w:rFonts w:ascii="Century" w:hAnsi="Century"/>
                <w:sz w:val="22"/>
                <w:szCs w:val="22"/>
                <w:highlight w:val="yellow"/>
              </w:rPr>
            </w:pPr>
          </w:p>
          <w:p w:rsidR="007909D7" w:rsidRPr="00F62DB9" w:rsidRDefault="007909D7" w:rsidP="006F1B63">
            <w:pPr>
              <w:jc w:val="both"/>
            </w:pPr>
            <w:r w:rsidRPr="00F62DB9">
              <w:rPr>
                <w:rFonts w:ascii="Century" w:hAnsi="Century"/>
                <w:sz w:val="22"/>
                <w:szCs w:val="22"/>
              </w:rPr>
              <w:t xml:space="preserve">Hayat branşı poliçe ve sertifikaları kapsamında, yürürlükteki vefat, maluliyet ve işsizlik gibi risklere ilişkin teminatlar toplamı 1.005 milyar TL olup, bu tutarın %96’sı vefat sigortaları kapsamında verilen teminatlara ilişkindir.  </w:t>
            </w:r>
          </w:p>
          <w:p w:rsidR="007909D7" w:rsidRPr="00B10D90" w:rsidRDefault="007909D7" w:rsidP="006F1B63">
            <w:pPr>
              <w:jc w:val="both"/>
              <w:rPr>
                <w:rFonts w:ascii="Century" w:hAnsi="Century"/>
                <w:sz w:val="16"/>
                <w:szCs w:val="16"/>
                <w:highlight w:val="yellow"/>
              </w:rPr>
            </w:pPr>
          </w:p>
        </w:tc>
        <w:tc>
          <w:tcPr>
            <w:tcW w:w="273" w:type="dxa"/>
            <w:gridSpan w:val="6"/>
          </w:tcPr>
          <w:p w:rsidR="007909D7" w:rsidRPr="00B10D90" w:rsidRDefault="007909D7" w:rsidP="006F1B63">
            <w:pPr>
              <w:rPr>
                <w:rFonts w:ascii="Century" w:hAnsi="Century"/>
                <w:sz w:val="22"/>
                <w:szCs w:val="22"/>
                <w:highlight w:val="yellow"/>
              </w:rPr>
            </w:pPr>
          </w:p>
        </w:tc>
        <w:tc>
          <w:tcPr>
            <w:tcW w:w="4805" w:type="dxa"/>
            <w:gridSpan w:val="8"/>
          </w:tcPr>
          <w:p w:rsidR="007909D7" w:rsidRDefault="007909D7" w:rsidP="006F1B63">
            <w:pPr>
              <w:jc w:val="both"/>
              <w:rPr>
                <w:rFonts w:ascii="Century" w:hAnsi="Century"/>
                <w:color w:val="333333"/>
                <w:sz w:val="22"/>
                <w:szCs w:val="22"/>
                <w:highlight w:val="yellow"/>
              </w:rPr>
            </w:pPr>
          </w:p>
          <w:p w:rsidR="007909D7" w:rsidRPr="00F62DB9" w:rsidRDefault="007909D7" w:rsidP="006F1B63">
            <w:pPr>
              <w:jc w:val="both"/>
              <w:rPr>
                <w:rFonts w:ascii="Century" w:hAnsi="Century" w:cs="Arial"/>
                <w:color w:val="333333"/>
                <w:sz w:val="22"/>
                <w:szCs w:val="22"/>
              </w:rPr>
            </w:pPr>
            <w:r w:rsidRPr="00F62DB9">
              <w:rPr>
                <w:rFonts w:ascii="Century" w:hAnsi="Century"/>
                <w:color w:val="333333"/>
                <w:sz w:val="22"/>
                <w:szCs w:val="22"/>
              </w:rPr>
              <w:t xml:space="preserve">The coverage given by insurance companies for deaths, disability and unemployment reached to nearly </w:t>
            </w:r>
            <w:r w:rsidRPr="00F62DB9">
              <w:rPr>
                <w:rFonts w:ascii="AbakuTLSymSans" w:hAnsi="AbakuTLSymSans" w:cs="Arial"/>
                <w:bCs/>
                <w:color w:val="333333"/>
                <w:sz w:val="20"/>
                <w:szCs w:val="20"/>
              </w:rPr>
              <w:t>¨</w:t>
            </w:r>
            <w:r w:rsidRPr="00F62DB9">
              <w:rPr>
                <w:rFonts w:ascii="Century" w:hAnsi="Century"/>
                <w:bCs/>
                <w:color w:val="333333"/>
                <w:sz w:val="22"/>
                <w:szCs w:val="22"/>
              </w:rPr>
              <w:t>1,005</w:t>
            </w:r>
            <w:r w:rsidRPr="00F62DB9">
              <w:rPr>
                <w:rFonts w:ascii="Century" w:hAnsi="Century"/>
                <w:color w:val="333333"/>
                <w:sz w:val="22"/>
                <w:szCs w:val="22"/>
              </w:rPr>
              <w:t xml:space="preserve"> billion in 2018, 96% of which belongs to annual or long term life insurance.</w:t>
            </w:r>
          </w:p>
          <w:p w:rsidR="007909D7" w:rsidRPr="00B10D90" w:rsidRDefault="007909D7" w:rsidP="006F1B63">
            <w:pPr>
              <w:jc w:val="both"/>
              <w:rPr>
                <w:rFonts w:ascii="Century" w:hAnsi="Century" w:cs="Arial"/>
                <w:color w:val="333333"/>
                <w:sz w:val="22"/>
                <w:szCs w:val="22"/>
                <w:highlight w:val="yellow"/>
              </w:rPr>
            </w:pPr>
          </w:p>
          <w:p w:rsidR="007909D7" w:rsidRPr="00B10D90" w:rsidRDefault="007909D7" w:rsidP="006F1B63">
            <w:pPr>
              <w:jc w:val="both"/>
              <w:rPr>
                <w:rFonts w:ascii="Century" w:hAnsi="Century" w:cs="Arial"/>
                <w:color w:val="333333"/>
                <w:sz w:val="22"/>
                <w:szCs w:val="22"/>
                <w:highlight w:val="yellow"/>
              </w:rPr>
            </w:pPr>
          </w:p>
        </w:tc>
      </w:tr>
      <w:tr w:rsidR="007909D7" w:rsidRPr="00B10D90" w:rsidTr="00441D50">
        <w:trPr>
          <w:gridAfter w:val="1"/>
          <w:wAfter w:w="20" w:type="dxa"/>
          <w:trHeight w:val="4198"/>
        </w:trPr>
        <w:tc>
          <w:tcPr>
            <w:tcW w:w="9838" w:type="dxa"/>
            <w:gridSpan w:val="15"/>
          </w:tcPr>
          <w:p w:rsidR="007909D7" w:rsidRPr="00F62DB9" w:rsidRDefault="007909D7" w:rsidP="003E670F">
            <w:pPr>
              <w:jc w:val="center"/>
              <w:rPr>
                <w:rFonts w:ascii="Century" w:hAnsi="Century"/>
                <w:b/>
                <w:color w:val="000080"/>
                <w:sz w:val="20"/>
                <w:szCs w:val="20"/>
              </w:rPr>
            </w:pPr>
            <w:r w:rsidRPr="00F62DB9">
              <w:rPr>
                <w:rFonts w:ascii="Century" w:hAnsi="Century"/>
                <w:b/>
                <w:color w:val="000080"/>
                <w:sz w:val="20"/>
                <w:szCs w:val="20"/>
              </w:rPr>
              <w:t>Tablo 4.3.3: Hayat Branşı Ürün Bazında Yürülükteki Poliçe Bilgileri</w:t>
            </w:r>
          </w:p>
          <w:p w:rsidR="007909D7" w:rsidRPr="00F62DB9" w:rsidRDefault="007909D7" w:rsidP="003E670F">
            <w:pPr>
              <w:jc w:val="center"/>
              <w:rPr>
                <w:rFonts w:ascii="Century" w:hAnsi="Century"/>
                <w:i/>
                <w:color w:val="000080"/>
                <w:sz w:val="20"/>
                <w:szCs w:val="20"/>
              </w:rPr>
            </w:pPr>
            <w:r w:rsidRPr="00F62DB9">
              <w:rPr>
                <w:rFonts w:ascii="Century" w:hAnsi="Century"/>
                <w:i/>
                <w:color w:val="000080"/>
                <w:sz w:val="20"/>
                <w:szCs w:val="20"/>
              </w:rPr>
              <w:t>Premium Written and Active Policies in Life Business as Insurance Type</w:t>
            </w:r>
          </w:p>
          <w:p w:rsidR="007909D7" w:rsidRPr="00F62DB9" w:rsidRDefault="007909D7" w:rsidP="003E670F">
            <w:pPr>
              <w:jc w:val="center"/>
              <w:rPr>
                <w:rFonts w:ascii="Century" w:hAnsi="Century"/>
                <w:i/>
                <w:color w:val="000080"/>
                <w:sz w:val="20"/>
                <w:szCs w:val="20"/>
              </w:rPr>
            </w:pPr>
            <w:r w:rsidRPr="00F62DB9">
              <w:rPr>
                <w:rFonts w:ascii="Century" w:hAnsi="Century"/>
                <w:i/>
                <w:noProof/>
                <w:color w:val="000080"/>
                <w:sz w:val="20"/>
                <w:szCs w:val="20"/>
              </w:rPr>
              <w:drawing>
                <wp:inline distT="0" distB="0" distL="0" distR="0" wp14:anchorId="685B2A96" wp14:editId="0C7DA64B">
                  <wp:extent cx="6106602" cy="2934032"/>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06795" cy="2934125"/>
                          </a:xfrm>
                          <a:prstGeom prst="rect">
                            <a:avLst/>
                          </a:prstGeom>
                          <a:noFill/>
                          <a:ln>
                            <a:noFill/>
                          </a:ln>
                        </pic:spPr>
                      </pic:pic>
                    </a:graphicData>
                  </a:graphic>
                </wp:inline>
              </w:drawing>
            </w:r>
          </w:p>
          <w:p w:rsidR="007909D7" w:rsidRPr="00F62DB9" w:rsidRDefault="007909D7" w:rsidP="007A2169">
            <w:pPr>
              <w:rPr>
                <w:rFonts w:ascii="Century" w:hAnsi="Century"/>
                <w:sz w:val="16"/>
                <w:szCs w:val="16"/>
              </w:rPr>
            </w:pPr>
            <w:r w:rsidRPr="00F62DB9">
              <w:rPr>
                <w:rFonts w:ascii="Century" w:hAnsi="Century"/>
                <w:sz w:val="16"/>
                <w:szCs w:val="16"/>
              </w:rPr>
              <w:t xml:space="preserve">(*) Tenzildeki poliçeler poliçe/sertifika sayısına dahildir. - </w:t>
            </w:r>
            <w:r w:rsidRPr="00F62DB9">
              <w:rPr>
                <w:rFonts w:ascii="Century" w:hAnsi="Century"/>
                <w:i/>
                <w:sz w:val="16"/>
                <w:szCs w:val="16"/>
              </w:rPr>
              <w:t>Included the lowered policies/certificates.</w:t>
            </w:r>
          </w:p>
          <w:p w:rsidR="007909D7" w:rsidRPr="00F62DB9" w:rsidRDefault="007909D7" w:rsidP="009613A8">
            <w:pPr>
              <w:jc w:val="both"/>
              <w:rPr>
                <w:rFonts w:ascii="Century" w:hAnsi="Century" w:cs="Arial"/>
                <w:color w:val="333333"/>
                <w:sz w:val="22"/>
                <w:szCs w:val="22"/>
              </w:rPr>
            </w:pPr>
            <w:r w:rsidRPr="00F62DB9">
              <w:rPr>
                <w:rFonts w:ascii="Century" w:hAnsi="Century"/>
                <w:sz w:val="16"/>
                <w:szCs w:val="16"/>
              </w:rPr>
              <w:t>(**)</w:t>
            </w:r>
            <w:r w:rsidRPr="00F62DB9">
              <w:rPr>
                <w:rFonts w:ascii="Century" w:hAnsi="Century"/>
                <w:i/>
                <w:sz w:val="16"/>
                <w:szCs w:val="16"/>
              </w:rPr>
              <w:t xml:space="preserve"> </w:t>
            </w:r>
            <w:r w:rsidRPr="00F62DB9">
              <w:rPr>
                <w:rFonts w:ascii="Century" w:hAnsi="Century"/>
                <w:sz w:val="16"/>
                <w:szCs w:val="16"/>
              </w:rPr>
              <w:t>Verilen vefat, maluliyet, işgöremezlik gibi teminatlar toplamı.</w:t>
            </w:r>
            <w:r w:rsidRPr="00F62DB9">
              <w:rPr>
                <w:rFonts w:ascii="Century" w:hAnsi="Century"/>
                <w:i/>
                <w:sz w:val="16"/>
                <w:szCs w:val="16"/>
              </w:rPr>
              <w:t>-The insurance coverage for death, disability and unemployment.</w:t>
            </w:r>
          </w:p>
        </w:tc>
      </w:tr>
      <w:tr w:rsidR="007909D7" w:rsidRPr="00B10D90" w:rsidTr="00441D50">
        <w:trPr>
          <w:gridAfter w:val="1"/>
          <w:wAfter w:w="20" w:type="dxa"/>
        </w:trPr>
        <w:tc>
          <w:tcPr>
            <w:tcW w:w="4760" w:type="dxa"/>
          </w:tcPr>
          <w:p w:rsidR="007909D7" w:rsidRPr="007E4413" w:rsidRDefault="007909D7" w:rsidP="00286F21">
            <w:pPr>
              <w:jc w:val="both"/>
              <w:rPr>
                <w:rFonts w:ascii="Century" w:hAnsi="Century"/>
                <w:sz w:val="16"/>
                <w:szCs w:val="16"/>
              </w:rPr>
            </w:pPr>
          </w:p>
          <w:p w:rsidR="007909D7" w:rsidRPr="007E4413" w:rsidRDefault="007909D7" w:rsidP="00F62DB9">
            <w:pPr>
              <w:jc w:val="both"/>
              <w:rPr>
                <w:rFonts w:ascii="Century" w:hAnsi="Century"/>
                <w:sz w:val="22"/>
                <w:szCs w:val="22"/>
              </w:rPr>
            </w:pPr>
            <w:r w:rsidRPr="007E4413">
              <w:rPr>
                <w:rFonts w:ascii="Century" w:hAnsi="Century"/>
                <w:sz w:val="22"/>
                <w:szCs w:val="22"/>
              </w:rPr>
              <w:t>Risk primi üzerinden ayrılan matematik karşılıkların payı, son beş yıllık süreçte %54</w:t>
            </w:r>
            <w:proofErr w:type="gramStart"/>
            <w:r w:rsidRPr="007E4413">
              <w:rPr>
                <w:rFonts w:ascii="Century" w:hAnsi="Century"/>
                <w:sz w:val="22"/>
                <w:szCs w:val="22"/>
              </w:rPr>
              <w:t>,9’dan</w:t>
            </w:r>
            <w:proofErr w:type="gramEnd"/>
            <w:r w:rsidRPr="007E4413">
              <w:rPr>
                <w:rFonts w:ascii="Century" w:hAnsi="Century"/>
                <w:sz w:val="22"/>
                <w:szCs w:val="22"/>
              </w:rPr>
              <w:t xml:space="preserve"> %65,4’e yükselmiş, birikim primi üzerinden ayrılan matematik karşılıkların payı ise %34,6’ya gerilemiştir.</w:t>
            </w:r>
          </w:p>
        </w:tc>
        <w:tc>
          <w:tcPr>
            <w:tcW w:w="273" w:type="dxa"/>
            <w:gridSpan w:val="6"/>
          </w:tcPr>
          <w:p w:rsidR="007909D7" w:rsidRPr="007E4413" w:rsidRDefault="007909D7" w:rsidP="00700CE3">
            <w:pPr>
              <w:rPr>
                <w:rFonts w:ascii="Century" w:hAnsi="Century"/>
                <w:sz w:val="22"/>
                <w:szCs w:val="22"/>
              </w:rPr>
            </w:pPr>
          </w:p>
        </w:tc>
        <w:tc>
          <w:tcPr>
            <w:tcW w:w="4805" w:type="dxa"/>
            <w:gridSpan w:val="8"/>
          </w:tcPr>
          <w:p w:rsidR="007909D7" w:rsidRPr="007E4413" w:rsidRDefault="007909D7" w:rsidP="00E10A2B">
            <w:pPr>
              <w:jc w:val="both"/>
              <w:rPr>
                <w:rFonts w:ascii="Century" w:hAnsi="Century"/>
                <w:sz w:val="16"/>
                <w:szCs w:val="16"/>
              </w:rPr>
            </w:pPr>
          </w:p>
          <w:p w:rsidR="007909D7" w:rsidRPr="007E4413" w:rsidRDefault="007E4413" w:rsidP="00F62DB9">
            <w:pPr>
              <w:jc w:val="both"/>
              <w:rPr>
                <w:rFonts w:ascii="Century" w:hAnsi="Century"/>
                <w:color w:val="333333"/>
                <w:sz w:val="22"/>
                <w:szCs w:val="22"/>
              </w:rPr>
            </w:pPr>
            <w:r w:rsidRPr="007E4413">
              <w:rPr>
                <w:rFonts w:ascii="Century" w:hAnsi="Century"/>
                <w:color w:val="333333"/>
                <w:sz w:val="22"/>
                <w:szCs w:val="22"/>
              </w:rPr>
              <w:t>While the share of actuarial reserves over risk premium increased from 54.9% to 65.4% in the recent five years, the share of actuarial reserves over accumulation premium decreased to 34.6% in 2018.</w:t>
            </w:r>
          </w:p>
          <w:p w:rsidR="007E4413" w:rsidRDefault="007E4413" w:rsidP="00F62DB9">
            <w:pPr>
              <w:jc w:val="both"/>
              <w:rPr>
                <w:rFonts w:ascii="Century" w:hAnsi="Century"/>
                <w:color w:val="333333"/>
                <w:sz w:val="22"/>
                <w:szCs w:val="22"/>
              </w:rPr>
            </w:pPr>
          </w:p>
          <w:p w:rsidR="00745DEB" w:rsidRPr="007E4413" w:rsidRDefault="00745DEB" w:rsidP="00F62DB9">
            <w:pPr>
              <w:jc w:val="both"/>
              <w:rPr>
                <w:rFonts w:ascii="Century" w:hAnsi="Century"/>
                <w:color w:val="333333"/>
                <w:sz w:val="22"/>
                <w:szCs w:val="22"/>
              </w:rPr>
            </w:pPr>
          </w:p>
          <w:p w:rsidR="007E4413" w:rsidRPr="007E4413" w:rsidRDefault="007E4413" w:rsidP="00F62DB9">
            <w:pPr>
              <w:jc w:val="both"/>
              <w:rPr>
                <w:rFonts w:ascii="Century" w:hAnsi="Century"/>
                <w:color w:val="333333"/>
                <w:sz w:val="22"/>
                <w:szCs w:val="22"/>
              </w:rPr>
            </w:pPr>
          </w:p>
        </w:tc>
      </w:tr>
      <w:tr w:rsidR="007909D7" w:rsidRPr="00B10D90" w:rsidTr="00441D50">
        <w:trPr>
          <w:gridAfter w:val="1"/>
          <w:wAfter w:w="20" w:type="dxa"/>
        </w:trPr>
        <w:tc>
          <w:tcPr>
            <w:tcW w:w="9838" w:type="dxa"/>
            <w:gridSpan w:val="15"/>
          </w:tcPr>
          <w:p w:rsidR="007909D7" w:rsidRPr="00F62DB9" w:rsidRDefault="007909D7" w:rsidP="009F40DE">
            <w:pPr>
              <w:pStyle w:val="Caption"/>
              <w:jc w:val="center"/>
              <w:rPr>
                <w:rFonts w:ascii="Century" w:hAnsi="Century"/>
                <w:color w:val="000080"/>
              </w:rPr>
            </w:pPr>
            <w:r w:rsidRPr="00F62DB9">
              <w:rPr>
                <w:rFonts w:ascii="Century" w:hAnsi="Century"/>
                <w:color w:val="000080"/>
              </w:rPr>
              <w:lastRenderedPageBreak/>
              <w:t>Tablo 4.3.4: Hayat Branşı Matematik Karşılıklarının Dağılımı</w:t>
            </w:r>
          </w:p>
          <w:p w:rsidR="007909D7" w:rsidRPr="00F62DB9" w:rsidRDefault="007909D7" w:rsidP="009F40DE">
            <w:pPr>
              <w:pStyle w:val="Caption"/>
              <w:jc w:val="center"/>
              <w:rPr>
                <w:rFonts w:ascii="Century" w:hAnsi="Century"/>
                <w:b w:val="0"/>
                <w:i/>
                <w:iCs/>
                <w:color w:val="000080"/>
              </w:rPr>
            </w:pPr>
            <w:r w:rsidRPr="00F62DB9">
              <w:rPr>
                <w:rFonts w:ascii="Century" w:hAnsi="Century"/>
                <w:b w:val="0"/>
                <w:i/>
                <w:iCs/>
                <w:color w:val="000080"/>
              </w:rPr>
              <w:t xml:space="preserve">Distribution of Profit Loaded Actuarial Reserves for Life Insurance </w:t>
            </w:r>
          </w:p>
          <w:p w:rsidR="007909D7" w:rsidRPr="00F62DB9" w:rsidRDefault="007909D7" w:rsidP="001B29AE">
            <w:pPr>
              <w:jc w:val="center"/>
            </w:pPr>
            <w:r w:rsidRPr="00F62DB9">
              <w:rPr>
                <w:noProof/>
              </w:rPr>
              <w:drawing>
                <wp:inline distT="0" distB="0" distL="0" distR="0" wp14:anchorId="4B615101" wp14:editId="6F6D7152">
                  <wp:extent cx="6106795" cy="723265"/>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06795" cy="723265"/>
                          </a:xfrm>
                          <a:prstGeom prst="rect">
                            <a:avLst/>
                          </a:prstGeom>
                          <a:noFill/>
                          <a:ln>
                            <a:noFill/>
                          </a:ln>
                        </pic:spPr>
                      </pic:pic>
                    </a:graphicData>
                  </a:graphic>
                </wp:inline>
              </w:drawing>
            </w:r>
          </w:p>
          <w:p w:rsidR="007909D7" w:rsidRPr="00F62DB9" w:rsidRDefault="007909D7" w:rsidP="00E94F5A">
            <w:pPr>
              <w:jc w:val="both"/>
              <w:rPr>
                <w:rFonts w:ascii="Century" w:hAnsi="Century" w:cs="Arial"/>
                <w:sz w:val="16"/>
                <w:szCs w:val="16"/>
              </w:rPr>
            </w:pPr>
            <w:r w:rsidRPr="00F62DB9">
              <w:rPr>
                <w:rFonts w:ascii="Century" w:hAnsi="Century" w:cs="Arial"/>
                <w:sz w:val="16"/>
                <w:szCs w:val="16"/>
              </w:rPr>
              <w:t xml:space="preserve"> (*) Aktüeryal Matematik Karşılık – </w:t>
            </w:r>
            <w:r w:rsidRPr="00F62DB9">
              <w:rPr>
                <w:rFonts w:ascii="Century" w:hAnsi="Century" w:cs="Arial"/>
                <w:i/>
                <w:sz w:val="16"/>
                <w:szCs w:val="16"/>
              </w:rPr>
              <w:t>Actuarial Reserves (AR).</w:t>
            </w:r>
          </w:p>
          <w:p w:rsidR="007909D7" w:rsidRPr="00F62DB9" w:rsidRDefault="007909D7" w:rsidP="00E94F5A">
            <w:pPr>
              <w:jc w:val="both"/>
              <w:rPr>
                <w:rFonts w:ascii="Century" w:hAnsi="Century" w:cs="Arial"/>
                <w:i/>
                <w:sz w:val="16"/>
                <w:szCs w:val="16"/>
              </w:rPr>
            </w:pPr>
            <w:r w:rsidRPr="00F62DB9">
              <w:rPr>
                <w:rFonts w:ascii="Century" w:hAnsi="Century" w:cs="Arial"/>
                <w:sz w:val="16"/>
                <w:szCs w:val="16"/>
              </w:rPr>
              <w:t xml:space="preserve">(**) Kâr Payı Karşılığı – </w:t>
            </w:r>
            <w:r w:rsidRPr="00F62DB9">
              <w:rPr>
                <w:rFonts w:ascii="Century" w:hAnsi="Century" w:cs="Arial"/>
                <w:i/>
                <w:sz w:val="16"/>
                <w:szCs w:val="16"/>
              </w:rPr>
              <w:t>Profit Reserves (PR)</w:t>
            </w:r>
          </w:p>
          <w:p w:rsidR="007909D7" w:rsidRPr="00F62DB9" w:rsidRDefault="007909D7" w:rsidP="00E94F5A">
            <w:pPr>
              <w:jc w:val="both"/>
              <w:rPr>
                <w:rFonts w:ascii="Century" w:hAnsi="Century" w:cs="Arial"/>
                <w:color w:val="333333"/>
                <w:sz w:val="22"/>
                <w:szCs w:val="22"/>
              </w:rPr>
            </w:pPr>
          </w:p>
        </w:tc>
      </w:tr>
      <w:tr w:rsidR="007909D7" w:rsidRPr="00B10D90" w:rsidTr="00441D50">
        <w:trPr>
          <w:gridAfter w:val="1"/>
          <w:wAfter w:w="20" w:type="dxa"/>
        </w:trPr>
        <w:tc>
          <w:tcPr>
            <w:tcW w:w="4760" w:type="dxa"/>
          </w:tcPr>
          <w:p w:rsidR="007909D7" w:rsidRPr="007E4413" w:rsidRDefault="007909D7" w:rsidP="006A2EAE">
            <w:pPr>
              <w:jc w:val="both"/>
              <w:rPr>
                <w:rFonts w:ascii="Century" w:hAnsi="Century"/>
                <w:sz w:val="22"/>
                <w:szCs w:val="22"/>
              </w:rPr>
            </w:pPr>
            <w:r w:rsidRPr="007E4413">
              <w:rPr>
                <w:rFonts w:ascii="Century" w:hAnsi="Century"/>
                <w:sz w:val="22"/>
                <w:szCs w:val="22"/>
              </w:rPr>
              <w:t>Hayat branşında ödenen tazminatlar 2014 yılında 2,1 milyar TL iken 2018 yılında 2,6 milyar TL’ye yükselmiştir. Ödenen tazminatlar içindeki en yüksek payı vefat tazminatları oluşturmaktadır.</w:t>
            </w:r>
          </w:p>
          <w:p w:rsidR="007909D7" w:rsidRPr="007E4413" w:rsidRDefault="007909D7" w:rsidP="006A2EAE">
            <w:pPr>
              <w:jc w:val="both"/>
              <w:rPr>
                <w:rFonts w:ascii="Century" w:hAnsi="Century"/>
                <w:sz w:val="22"/>
                <w:szCs w:val="22"/>
              </w:rPr>
            </w:pPr>
          </w:p>
        </w:tc>
        <w:tc>
          <w:tcPr>
            <w:tcW w:w="273" w:type="dxa"/>
            <w:gridSpan w:val="6"/>
          </w:tcPr>
          <w:p w:rsidR="007909D7" w:rsidRPr="007E4413" w:rsidRDefault="007909D7" w:rsidP="00700CE3">
            <w:pPr>
              <w:rPr>
                <w:rFonts w:ascii="Century" w:hAnsi="Century"/>
                <w:sz w:val="22"/>
                <w:szCs w:val="22"/>
              </w:rPr>
            </w:pPr>
          </w:p>
        </w:tc>
        <w:tc>
          <w:tcPr>
            <w:tcW w:w="4805" w:type="dxa"/>
            <w:gridSpan w:val="8"/>
            <w:shd w:val="clear" w:color="auto" w:fill="auto"/>
          </w:tcPr>
          <w:p w:rsidR="007909D7" w:rsidRPr="007E4413" w:rsidRDefault="007909D7" w:rsidP="00443A8E">
            <w:pPr>
              <w:jc w:val="both"/>
              <w:rPr>
                <w:rFonts w:ascii="Century" w:hAnsi="Century"/>
                <w:color w:val="333333"/>
                <w:sz w:val="22"/>
                <w:szCs w:val="22"/>
              </w:rPr>
            </w:pPr>
            <w:r w:rsidRPr="007E4413">
              <w:rPr>
                <w:rFonts w:ascii="Century" w:hAnsi="Century"/>
                <w:color w:val="333333"/>
                <w:sz w:val="22"/>
                <w:szCs w:val="22"/>
              </w:rPr>
              <w:t xml:space="preserve">While life insurance paid claims was </w:t>
            </w:r>
            <w:r w:rsidRPr="007E4413">
              <w:rPr>
                <w:rFonts w:ascii="AbakuTLSymSans" w:hAnsi="AbakuTLSymSans" w:cs="Arial"/>
                <w:bCs/>
                <w:color w:val="333333"/>
                <w:sz w:val="20"/>
                <w:szCs w:val="20"/>
              </w:rPr>
              <w:t>¨</w:t>
            </w:r>
            <w:r w:rsidRPr="007E4413">
              <w:rPr>
                <w:rFonts w:ascii="Century" w:hAnsi="Century"/>
                <w:color w:val="333333"/>
                <w:sz w:val="22"/>
                <w:szCs w:val="22"/>
              </w:rPr>
              <w:t xml:space="preserve">2.1 billion in 2014, it has increased to </w:t>
            </w:r>
            <w:r w:rsidRPr="007E4413">
              <w:rPr>
                <w:rFonts w:ascii="AbakuTLSymSans" w:hAnsi="AbakuTLSymSans" w:cs="Arial"/>
                <w:bCs/>
                <w:color w:val="333333"/>
                <w:sz w:val="20"/>
                <w:szCs w:val="20"/>
              </w:rPr>
              <w:t>¨</w:t>
            </w:r>
            <w:r w:rsidRPr="007E4413">
              <w:rPr>
                <w:rFonts w:ascii="Century" w:hAnsi="Century"/>
                <w:color w:val="333333"/>
                <w:sz w:val="22"/>
                <w:szCs w:val="22"/>
              </w:rPr>
              <w:t xml:space="preserve">2.6 billion in 2018. </w:t>
            </w:r>
            <w:r w:rsidR="007E4413" w:rsidRPr="007E4413">
              <w:rPr>
                <w:rFonts w:ascii="Century" w:hAnsi="Century"/>
                <w:color w:val="333333"/>
                <w:sz w:val="22"/>
                <w:szCs w:val="22"/>
              </w:rPr>
              <w:t>Death benefits have the largest share in total paid claims.</w:t>
            </w:r>
          </w:p>
        </w:tc>
      </w:tr>
      <w:tr w:rsidR="007909D7" w:rsidRPr="00B10D90" w:rsidTr="00441D50">
        <w:tblPrEx>
          <w:tblCellMar>
            <w:left w:w="70" w:type="dxa"/>
            <w:right w:w="70" w:type="dxa"/>
          </w:tblCellMar>
        </w:tblPrEx>
        <w:trPr>
          <w:gridAfter w:val="1"/>
          <w:wAfter w:w="20" w:type="dxa"/>
          <w:trHeight w:val="3848"/>
        </w:trPr>
        <w:tc>
          <w:tcPr>
            <w:tcW w:w="9838" w:type="dxa"/>
            <w:gridSpan w:val="15"/>
          </w:tcPr>
          <w:p w:rsidR="007909D7" w:rsidRPr="00B4696E" w:rsidRDefault="007909D7" w:rsidP="005742D6">
            <w:pPr>
              <w:jc w:val="center"/>
              <w:rPr>
                <w:rFonts w:ascii="Century" w:hAnsi="Century"/>
                <w:b/>
                <w:color w:val="000080"/>
                <w:sz w:val="20"/>
                <w:szCs w:val="20"/>
              </w:rPr>
            </w:pPr>
            <w:r w:rsidRPr="00B4696E">
              <w:rPr>
                <w:rFonts w:ascii="Century" w:hAnsi="Century"/>
                <w:b/>
                <w:color w:val="000080"/>
                <w:sz w:val="20"/>
                <w:szCs w:val="20"/>
              </w:rPr>
              <w:t>Grafik 4.3.3: Hayat Branşı Ödenen Tazminat Dağılımı (%)</w:t>
            </w:r>
          </w:p>
          <w:p w:rsidR="007909D7" w:rsidRPr="00B4696E" w:rsidRDefault="007909D7" w:rsidP="005742D6">
            <w:pPr>
              <w:jc w:val="center"/>
              <w:rPr>
                <w:rFonts w:ascii="Century" w:hAnsi="Century"/>
                <w:i/>
                <w:color w:val="000080"/>
                <w:sz w:val="20"/>
                <w:szCs w:val="20"/>
              </w:rPr>
            </w:pPr>
            <w:r w:rsidRPr="00B4696E">
              <w:rPr>
                <w:rFonts w:ascii="Century" w:hAnsi="Century"/>
                <w:i/>
                <w:color w:val="000080"/>
                <w:sz w:val="20"/>
                <w:szCs w:val="20"/>
              </w:rPr>
              <w:t>Distribution of Losses in Life Insurance</w:t>
            </w:r>
          </w:p>
          <w:p w:rsidR="007909D7" w:rsidRPr="00B4696E" w:rsidRDefault="007909D7" w:rsidP="00F74383">
            <w:pPr>
              <w:jc w:val="center"/>
              <w:rPr>
                <w:rFonts w:ascii="Century" w:hAnsi="Century" w:cs="Arial"/>
              </w:rPr>
            </w:pPr>
            <w:r>
              <w:rPr>
                <w:rFonts w:ascii="Century" w:hAnsi="Century" w:cs="Arial"/>
                <w:noProof/>
              </w:rPr>
              <w:drawing>
                <wp:inline distT="0" distB="0" distL="0" distR="0" wp14:anchorId="54A14E73" wp14:editId="4B4B6EC3">
                  <wp:extent cx="6153816" cy="23774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54420" cy="2377673"/>
                          </a:xfrm>
                          <a:prstGeom prst="rect">
                            <a:avLst/>
                          </a:prstGeom>
                          <a:noFill/>
                          <a:ln>
                            <a:noFill/>
                          </a:ln>
                        </pic:spPr>
                      </pic:pic>
                    </a:graphicData>
                  </a:graphic>
                </wp:inline>
              </w:drawing>
            </w:r>
          </w:p>
        </w:tc>
      </w:tr>
      <w:tr w:rsidR="007909D7" w:rsidRPr="00B10D90" w:rsidTr="00441D50">
        <w:trPr>
          <w:gridAfter w:val="1"/>
          <w:wAfter w:w="20" w:type="dxa"/>
          <w:trHeight w:val="225"/>
        </w:trPr>
        <w:tc>
          <w:tcPr>
            <w:tcW w:w="4817" w:type="dxa"/>
            <w:gridSpan w:val="2"/>
          </w:tcPr>
          <w:p w:rsidR="007909D7" w:rsidRPr="00B10D90" w:rsidRDefault="007909D7" w:rsidP="00443A8E">
            <w:pPr>
              <w:jc w:val="both"/>
              <w:rPr>
                <w:rFonts w:ascii="Century" w:hAnsi="Century"/>
                <w:sz w:val="22"/>
                <w:szCs w:val="22"/>
                <w:highlight w:val="yellow"/>
              </w:rPr>
            </w:pPr>
            <w:r w:rsidRPr="00443A8E">
              <w:rPr>
                <w:rFonts w:ascii="Century" w:hAnsi="Century"/>
                <w:sz w:val="22"/>
                <w:szCs w:val="22"/>
              </w:rPr>
              <w:t>2018 yılında verilen teminatların %68’i, ödenen tazminatların ise %90’</w:t>
            </w:r>
            <w:r>
              <w:rPr>
                <w:rFonts w:ascii="Century" w:hAnsi="Century"/>
                <w:sz w:val="22"/>
                <w:szCs w:val="22"/>
              </w:rPr>
              <w:t>ı</w:t>
            </w:r>
            <w:r w:rsidRPr="00443A8E">
              <w:rPr>
                <w:rFonts w:ascii="Century" w:hAnsi="Century"/>
                <w:sz w:val="22"/>
                <w:szCs w:val="22"/>
              </w:rPr>
              <w:t xml:space="preserve"> vefat teminatlarına aittir.</w:t>
            </w:r>
          </w:p>
        </w:tc>
        <w:tc>
          <w:tcPr>
            <w:tcW w:w="318" w:type="dxa"/>
            <w:gridSpan w:val="7"/>
          </w:tcPr>
          <w:p w:rsidR="007909D7" w:rsidRPr="00B10D90" w:rsidRDefault="007909D7" w:rsidP="00700CE3">
            <w:pPr>
              <w:rPr>
                <w:rFonts w:ascii="Century" w:hAnsi="Century"/>
                <w:sz w:val="22"/>
                <w:szCs w:val="22"/>
                <w:highlight w:val="yellow"/>
              </w:rPr>
            </w:pPr>
          </w:p>
        </w:tc>
        <w:tc>
          <w:tcPr>
            <w:tcW w:w="4703" w:type="dxa"/>
            <w:gridSpan w:val="6"/>
          </w:tcPr>
          <w:p w:rsidR="007909D7" w:rsidRPr="00443A8E" w:rsidRDefault="007909D7" w:rsidP="002E7AE4">
            <w:pPr>
              <w:jc w:val="both"/>
              <w:rPr>
                <w:rFonts w:ascii="Century" w:hAnsi="Century" w:cs="Arial"/>
                <w:color w:val="333333"/>
                <w:sz w:val="22"/>
                <w:szCs w:val="22"/>
              </w:rPr>
            </w:pPr>
            <w:r w:rsidRPr="00443A8E">
              <w:rPr>
                <w:rFonts w:ascii="Century" w:hAnsi="Century" w:cs="Arial"/>
                <w:color w:val="333333"/>
                <w:sz w:val="22"/>
                <w:szCs w:val="22"/>
              </w:rPr>
              <w:t>As for the coverage in life business, 68% of all coverage and 90% of total paid losses results from the death benefit losses.</w:t>
            </w:r>
          </w:p>
          <w:p w:rsidR="007909D7" w:rsidRPr="00B10D90" w:rsidRDefault="007909D7" w:rsidP="002E7AE4">
            <w:pPr>
              <w:jc w:val="both"/>
              <w:rPr>
                <w:rFonts w:ascii="Century" w:hAnsi="Century" w:cs="Arial"/>
                <w:color w:val="333333"/>
                <w:sz w:val="22"/>
                <w:szCs w:val="22"/>
                <w:highlight w:val="yellow"/>
              </w:rPr>
            </w:pPr>
          </w:p>
        </w:tc>
      </w:tr>
      <w:tr w:rsidR="007909D7" w:rsidRPr="00B10D90" w:rsidTr="00441D50">
        <w:trPr>
          <w:gridAfter w:val="1"/>
          <w:wAfter w:w="20" w:type="dxa"/>
          <w:trHeight w:val="80"/>
        </w:trPr>
        <w:tc>
          <w:tcPr>
            <w:tcW w:w="9838" w:type="dxa"/>
            <w:gridSpan w:val="15"/>
          </w:tcPr>
          <w:p w:rsidR="007909D7" w:rsidRPr="00443A8E" w:rsidRDefault="007909D7" w:rsidP="00F74383">
            <w:pPr>
              <w:pStyle w:val="Caption"/>
              <w:jc w:val="center"/>
              <w:rPr>
                <w:rFonts w:ascii="Century" w:hAnsi="Century"/>
                <w:bCs w:val="0"/>
                <w:color w:val="000080"/>
              </w:rPr>
            </w:pPr>
            <w:r w:rsidRPr="00443A8E">
              <w:rPr>
                <w:rFonts w:ascii="Century" w:hAnsi="Century"/>
                <w:color w:val="000080"/>
              </w:rPr>
              <w:t xml:space="preserve">Tablo 4.3.5: Verilen Teminatlar ve </w:t>
            </w:r>
            <w:r w:rsidRPr="00443A8E">
              <w:rPr>
                <w:rFonts w:ascii="Century" w:hAnsi="Century"/>
                <w:bCs w:val="0"/>
                <w:color w:val="000080"/>
              </w:rPr>
              <w:t>Ödenen Tazminat Tutarları (*)</w:t>
            </w:r>
          </w:p>
          <w:p w:rsidR="007909D7" w:rsidRPr="00443A8E" w:rsidRDefault="007909D7" w:rsidP="00F74383">
            <w:pPr>
              <w:pStyle w:val="Caption"/>
              <w:jc w:val="center"/>
              <w:rPr>
                <w:rFonts w:ascii="Century" w:hAnsi="Century"/>
                <w:b w:val="0"/>
                <w:i/>
                <w:iCs/>
                <w:color w:val="000080"/>
              </w:rPr>
            </w:pPr>
            <w:r w:rsidRPr="00443A8E">
              <w:rPr>
                <w:rFonts w:ascii="Century" w:hAnsi="Century"/>
                <w:b w:val="0"/>
                <w:i/>
                <w:iCs/>
                <w:color w:val="000080"/>
              </w:rPr>
              <w:t>Distribution of Insurance Coverages and Paid Losses</w:t>
            </w:r>
          </w:p>
          <w:p w:rsidR="007909D7" w:rsidRPr="00443A8E" w:rsidRDefault="007909D7" w:rsidP="005F58CB">
            <w:pPr>
              <w:jc w:val="center"/>
            </w:pPr>
            <w:r w:rsidRPr="00443A8E">
              <w:rPr>
                <w:noProof/>
              </w:rPr>
              <w:drawing>
                <wp:inline distT="0" distB="0" distL="0" distR="0" wp14:anchorId="27E518A4" wp14:editId="1AEF1157">
                  <wp:extent cx="6106795" cy="2512695"/>
                  <wp:effectExtent l="0" t="0" r="825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06795" cy="2512695"/>
                          </a:xfrm>
                          <a:prstGeom prst="rect">
                            <a:avLst/>
                          </a:prstGeom>
                          <a:noFill/>
                          <a:ln>
                            <a:noFill/>
                          </a:ln>
                        </pic:spPr>
                      </pic:pic>
                    </a:graphicData>
                  </a:graphic>
                </wp:inline>
              </w:drawing>
            </w:r>
          </w:p>
          <w:p w:rsidR="007909D7" w:rsidRPr="00443A8E" w:rsidRDefault="007909D7" w:rsidP="00443A8E">
            <w:pPr>
              <w:jc w:val="both"/>
              <w:rPr>
                <w:rFonts w:ascii="Century" w:hAnsi="Century" w:cs="Arial"/>
                <w:color w:val="333333"/>
                <w:sz w:val="18"/>
                <w:szCs w:val="18"/>
              </w:rPr>
            </w:pPr>
            <w:r w:rsidRPr="00443A8E">
              <w:rPr>
                <w:rFonts w:ascii="Century" w:hAnsi="Century" w:cs="Arial"/>
                <w:color w:val="333333"/>
                <w:sz w:val="18"/>
                <w:szCs w:val="18"/>
              </w:rPr>
              <w:t xml:space="preserve">(*) İştira ödemeleri ile vade gelimi ve irat ödemeleri hariç – </w:t>
            </w:r>
            <w:r w:rsidRPr="00443A8E">
              <w:rPr>
                <w:rFonts w:ascii="Century" w:hAnsi="Century" w:cs="Arial"/>
                <w:i/>
                <w:color w:val="333333"/>
                <w:sz w:val="18"/>
                <w:szCs w:val="18"/>
              </w:rPr>
              <w:t>Except for surrenders and maturity and annuity</w:t>
            </w:r>
          </w:p>
        </w:tc>
      </w:tr>
      <w:tr w:rsidR="007909D7" w:rsidRPr="00B10D90" w:rsidTr="00441D50">
        <w:trPr>
          <w:gridAfter w:val="1"/>
          <w:wAfter w:w="20" w:type="dxa"/>
        </w:trPr>
        <w:tc>
          <w:tcPr>
            <w:tcW w:w="4817" w:type="dxa"/>
            <w:gridSpan w:val="2"/>
          </w:tcPr>
          <w:p w:rsidR="007909D7" w:rsidRPr="007E4413" w:rsidRDefault="007D65D8" w:rsidP="007D65D8">
            <w:pPr>
              <w:pStyle w:val="Heading2"/>
              <w:keepNext w:val="0"/>
              <w:tabs>
                <w:tab w:val="clear" w:pos="717"/>
                <w:tab w:val="num" w:pos="394"/>
              </w:tabs>
              <w:spacing w:before="0" w:after="0"/>
              <w:ind w:left="0"/>
              <w:rPr>
                <w:rFonts w:ascii="Century" w:hAnsi="Century"/>
                <w:i w:val="0"/>
                <w:color w:val="000080"/>
                <w:sz w:val="22"/>
                <w:szCs w:val="22"/>
              </w:rPr>
            </w:pPr>
            <w:bookmarkStart w:id="260" w:name="_Toc358380218"/>
            <w:bookmarkStart w:id="261" w:name="_Toc12957690"/>
            <w:r>
              <w:rPr>
                <w:rFonts w:ascii="Century" w:hAnsi="Century"/>
                <w:i w:val="0"/>
                <w:color w:val="000080"/>
                <w:sz w:val="22"/>
                <w:szCs w:val="22"/>
              </w:rPr>
              <w:lastRenderedPageBreak/>
              <w:t xml:space="preserve"> </w:t>
            </w:r>
            <w:r w:rsidR="007909D7" w:rsidRPr="007E4413">
              <w:rPr>
                <w:rFonts w:ascii="Century" w:hAnsi="Century"/>
                <w:i w:val="0"/>
                <w:color w:val="000080"/>
                <w:sz w:val="22"/>
                <w:szCs w:val="22"/>
              </w:rPr>
              <w:t>Bireysel Emeklilik Sistemi</w:t>
            </w:r>
            <w:bookmarkEnd w:id="260"/>
            <w:bookmarkEnd w:id="261"/>
          </w:p>
          <w:p w:rsidR="007909D7" w:rsidRPr="007E4413" w:rsidRDefault="007909D7" w:rsidP="00700CE3">
            <w:pPr>
              <w:rPr>
                <w:rFonts w:ascii="Century" w:hAnsi="Century"/>
                <w:sz w:val="22"/>
                <w:szCs w:val="22"/>
              </w:rPr>
            </w:pPr>
          </w:p>
          <w:p w:rsidR="007909D7" w:rsidRPr="007E4413" w:rsidRDefault="007909D7" w:rsidP="00700CE3">
            <w:pPr>
              <w:jc w:val="both"/>
              <w:rPr>
                <w:rFonts w:ascii="Century" w:hAnsi="Century"/>
                <w:sz w:val="22"/>
                <w:szCs w:val="22"/>
              </w:rPr>
            </w:pPr>
            <w:r w:rsidRPr="007E4413">
              <w:rPr>
                <w:rFonts w:ascii="Century" w:hAnsi="Century"/>
                <w:sz w:val="22"/>
                <w:szCs w:val="22"/>
              </w:rPr>
              <w:t xml:space="preserve">4632 sayılı Bireysel Emeklilik Tasarruf ve Yatırım Sistemi Kanunu ile oluşturulan bireysel emeklilik sistemi 27 Ekim 2003 tarihinde faaliyete başlamıştır. </w:t>
            </w:r>
          </w:p>
          <w:p w:rsidR="007909D7" w:rsidRPr="007E4413" w:rsidRDefault="007909D7" w:rsidP="00700CE3">
            <w:pPr>
              <w:jc w:val="both"/>
              <w:rPr>
                <w:rFonts w:ascii="Century" w:hAnsi="Century"/>
                <w:sz w:val="22"/>
                <w:szCs w:val="22"/>
              </w:rPr>
            </w:pPr>
          </w:p>
          <w:p w:rsidR="007909D7" w:rsidRPr="007E4413" w:rsidRDefault="007909D7" w:rsidP="00700CE3">
            <w:pPr>
              <w:jc w:val="both"/>
              <w:rPr>
                <w:rFonts w:ascii="Century" w:hAnsi="Century"/>
                <w:sz w:val="22"/>
                <w:szCs w:val="22"/>
              </w:rPr>
            </w:pPr>
            <w:r w:rsidRPr="007E4413">
              <w:rPr>
                <w:rFonts w:ascii="Century" w:hAnsi="Century"/>
                <w:sz w:val="22"/>
                <w:szCs w:val="22"/>
              </w:rPr>
              <w:t>Emeklilik alanında faaliyet göstermek üzere kurulan veya hayat şirketinden emeklilik şirketine dönüşen şirketler ile beraber 2017 yıl sonu itibarıyla mevcut şirket sayısı 18 iken Groupama Emeklilik Sigorta AŞ’nin emeklilik portföyünü Fiba Emeklik ve Hayat Sigorta AŞ’ye devrederek ticaret unvanını Groupama Hayat Sigorta AŞ olarak değiştirmesi ile şirket sayısı 17’ye düşmüştür. Yıl sonu itibarıyla faaliyette bulunan 17 emeklilik şirketinin emeklilik faaliyetlerine ilişkin detaylı verilere Raporun Tablolar bölümünden ulaşılabilir.</w:t>
            </w:r>
          </w:p>
          <w:p w:rsidR="007909D7" w:rsidRPr="007E4413" w:rsidRDefault="007909D7" w:rsidP="00700CE3">
            <w:pPr>
              <w:jc w:val="both"/>
              <w:rPr>
                <w:rFonts w:ascii="Century" w:hAnsi="Century"/>
                <w:sz w:val="22"/>
                <w:szCs w:val="22"/>
              </w:rPr>
            </w:pPr>
          </w:p>
          <w:p w:rsidR="007909D7" w:rsidRPr="007E4413" w:rsidRDefault="007909D7" w:rsidP="007B30CA">
            <w:pPr>
              <w:jc w:val="both"/>
              <w:rPr>
                <w:rFonts w:ascii="Century" w:hAnsi="Century"/>
                <w:sz w:val="22"/>
                <w:szCs w:val="22"/>
              </w:rPr>
            </w:pPr>
            <w:r w:rsidRPr="007E4413">
              <w:rPr>
                <w:rFonts w:ascii="Century" w:hAnsi="Century"/>
                <w:sz w:val="22"/>
                <w:szCs w:val="22"/>
              </w:rPr>
              <w:t>2018 yılı sonu itibarıyla sistemde mevcut 6.877.737 katılımcıya ait toplam 8.156.357 adet sözleşme bulunmaktadır.</w:t>
            </w:r>
          </w:p>
          <w:p w:rsidR="007909D7" w:rsidRPr="007E4413" w:rsidRDefault="007909D7" w:rsidP="007B30CA">
            <w:pPr>
              <w:jc w:val="both"/>
              <w:rPr>
                <w:rFonts w:ascii="Century" w:hAnsi="Century"/>
                <w:sz w:val="22"/>
                <w:szCs w:val="22"/>
              </w:rPr>
            </w:pPr>
          </w:p>
        </w:tc>
        <w:tc>
          <w:tcPr>
            <w:tcW w:w="318" w:type="dxa"/>
            <w:gridSpan w:val="7"/>
          </w:tcPr>
          <w:p w:rsidR="007909D7" w:rsidRPr="007E4413" w:rsidRDefault="007909D7" w:rsidP="00700CE3">
            <w:pPr>
              <w:rPr>
                <w:rFonts w:ascii="Century" w:hAnsi="Century"/>
                <w:sz w:val="22"/>
                <w:szCs w:val="22"/>
              </w:rPr>
            </w:pPr>
          </w:p>
        </w:tc>
        <w:tc>
          <w:tcPr>
            <w:tcW w:w="4703" w:type="dxa"/>
            <w:gridSpan w:val="6"/>
          </w:tcPr>
          <w:p w:rsidR="007909D7" w:rsidRPr="007E4413" w:rsidRDefault="007909D7" w:rsidP="00700CE3">
            <w:pPr>
              <w:pStyle w:val="Caption"/>
              <w:rPr>
                <w:rFonts w:ascii="Century" w:hAnsi="Century"/>
                <w:color w:val="003366"/>
                <w:sz w:val="22"/>
                <w:szCs w:val="22"/>
              </w:rPr>
            </w:pPr>
            <w:r w:rsidRPr="007E4413">
              <w:rPr>
                <w:rFonts w:ascii="Century" w:hAnsi="Century"/>
                <w:color w:val="003366"/>
                <w:sz w:val="22"/>
                <w:szCs w:val="22"/>
              </w:rPr>
              <w:t>4.4. Private Pension System</w:t>
            </w:r>
          </w:p>
          <w:p w:rsidR="007909D7" w:rsidRPr="007E4413" w:rsidRDefault="007909D7" w:rsidP="00700CE3">
            <w:pPr>
              <w:rPr>
                <w:rFonts w:ascii="Century" w:hAnsi="Century"/>
                <w:color w:val="333333"/>
                <w:sz w:val="22"/>
                <w:szCs w:val="22"/>
              </w:rPr>
            </w:pPr>
          </w:p>
          <w:p w:rsidR="007909D7" w:rsidRPr="007E4413" w:rsidRDefault="007909D7" w:rsidP="00700CE3">
            <w:pPr>
              <w:jc w:val="both"/>
              <w:rPr>
                <w:rFonts w:ascii="Century" w:hAnsi="Century"/>
                <w:color w:val="333333"/>
                <w:sz w:val="22"/>
                <w:szCs w:val="22"/>
              </w:rPr>
            </w:pPr>
            <w:r w:rsidRPr="007E4413">
              <w:rPr>
                <w:rFonts w:ascii="Century" w:hAnsi="Century"/>
                <w:color w:val="333333"/>
                <w:sz w:val="22"/>
                <w:szCs w:val="22"/>
              </w:rPr>
              <w:t xml:space="preserve">With the Law numbered 4632, Private Pension Savings and Investment Law came into force and the system commenced on October 27, 2003. </w:t>
            </w:r>
          </w:p>
          <w:p w:rsidR="007909D7" w:rsidRPr="007E4413" w:rsidRDefault="007909D7" w:rsidP="00700CE3">
            <w:pPr>
              <w:jc w:val="both"/>
              <w:rPr>
                <w:rFonts w:ascii="Century" w:hAnsi="Century"/>
                <w:color w:val="333333"/>
                <w:sz w:val="22"/>
                <w:szCs w:val="22"/>
              </w:rPr>
            </w:pPr>
          </w:p>
          <w:p w:rsidR="007909D7" w:rsidRPr="007E4413" w:rsidRDefault="007E4413" w:rsidP="00700CE3">
            <w:pPr>
              <w:jc w:val="both"/>
              <w:rPr>
                <w:rFonts w:ascii="Century" w:hAnsi="Century"/>
                <w:color w:val="333333"/>
                <w:sz w:val="22"/>
                <w:szCs w:val="22"/>
              </w:rPr>
            </w:pPr>
            <w:r w:rsidRPr="007E4413">
              <w:rPr>
                <w:rFonts w:ascii="Century" w:hAnsi="Century"/>
                <w:sz w:val="22"/>
                <w:szCs w:val="22"/>
              </w:rPr>
              <w:t xml:space="preserve">While the number of pension companies was 18 as the end of 2017, it declined to 17 as Groupama Emeklilik Sigorta AŞ has changed its business name as Groupama Hayat Sigorta AŞ by transferring its pension portfolio to Fiba Emeklilik ve Hayat Sigorta AŞ. </w:t>
            </w:r>
            <w:r w:rsidR="007909D7" w:rsidRPr="007E4413">
              <w:rPr>
                <w:rFonts w:ascii="Century" w:hAnsi="Century"/>
                <w:color w:val="333333"/>
                <w:sz w:val="22"/>
                <w:szCs w:val="22"/>
              </w:rPr>
              <w:t xml:space="preserve">The detailed figures about the pension activities are represented under the Table Chapter of the Report. </w:t>
            </w:r>
          </w:p>
          <w:p w:rsidR="007909D7" w:rsidRPr="007E4413" w:rsidRDefault="007909D7" w:rsidP="00700CE3">
            <w:pPr>
              <w:jc w:val="both"/>
              <w:rPr>
                <w:rFonts w:ascii="Century" w:hAnsi="Century"/>
                <w:color w:val="333333"/>
                <w:sz w:val="22"/>
                <w:szCs w:val="22"/>
              </w:rPr>
            </w:pPr>
          </w:p>
          <w:p w:rsidR="007909D7" w:rsidRPr="007E4413" w:rsidRDefault="007909D7" w:rsidP="0008224C">
            <w:pPr>
              <w:jc w:val="both"/>
              <w:rPr>
                <w:rFonts w:ascii="Century" w:hAnsi="Century"/>
                <w:color w:val="333333"/>
                <w:sz w:val="22"/>
                <w:szCs w:val="22"/>
              </w:rPr>
            </w:pPr>
            <w:r w:rsidRPr="007E4413">
              <w:rPr>
                <w:rFonts w:ascii="Century" w:hAnsi="Century"/>
                <w:color w:val="333333"/>
                <w:sz w:val="22"/>
                <w:szCs w:val="22"/>
              </w:rPr>
              <w:t xml:space="preserve">By the end of 2018, the number of participants reached </w:t>
            </w:r>
            <w:r w:rsidRPr="007E4413">
              <w:rPr>
                <w:rFonts w:ascii="Century" w:hAnsi="Century"/>
                <w:sz w:val="22"/>
                <w:szCs w:val="22"/>
              </w:rPr>
              <w:t xml:space="preserve">6.877.737 </w:t>
            </w:r>
            <w:r w:rsidRPr="007E4413">
              <w:rPr>
                <w:rFonts w:ascii="Century" w:hAnsi="Century"/>
                <w:color w:val="333333"/>
                <w:sz w:val="22"/>
                <w:szCs w:val="22"/>
              </w:rPr>
              <w:t xml:space="preserve">and they have </w:t>
            </w:r>
            <w:r w:rsidRPr="007E4413">
              <w:rPr>
                <w:rFonts w:ascii="Century" w:hAnsi="Century"/>
                <w:sz w:val="22"/>
                <w:szCs w:val="22"/>
              </w:rPr>
              <w:t xml:space="preserve">8.156.357 </w:t>
            </w:r>
            <w:r w:rsidRPr="007E4413">
              <w:rPr>
                <w:rFonts w:ascii="Century" w:hAnsi="Century"/>
                <w:color w:val="333333"/>
                <w:sz w:val="22"/>
                <w:szCs w:val="22"/>
              </w:rPr>
              <w:t>contracts.</w:t>
            </w:r>
          </w:p>
          <w:p w:rsidR="007909D7" w:rsidRPr="007E4413" w:rsidRDefault="007909D7" w:rsidP="0008224C">
            <w:pPr>
              <w:jc w:val="both"/>
              <w:rPr>
                <w:rFonts w:ascii="Century" w:hAnsi="Century" w:cs="Arial"/>
                <w:color w:val="333333"/>
                <w:sz w:val="16"/>
                <w:szCs w:val="16"/>
              </w:rPr>
            </w:pPr>
          </w:p>
        </w:tc>
      </w:tr>
      <w:tr w:rsidR="007909D7" w:rsidRPr="00B10D90" w:rsidTr="00441D50">
        <w:trPr>
          <w:gridAfter w:val="1"/>
          <w:wAfter w:w="20" w:type="dxa"/>
          <w:trHeight w:val="1797"/>
        </w:trPr>
        <w:tc>
          <w:tcPr>
            <w:tcW w:w="9838" w:type="dxa"/>
            <w:gridSpan w:val="15"/>
          </w:tcPr>
          <w:p w:rsidR="007909D7" w:rsidRPr="00F72B35" w:rsidRDefault="007909D7" w:rsidP="00552839">
            <w:pPr>
              <w:pStyle w:val="Caption"/>
              <w:jc w:val="center"/>
              <w:rPr>
                <w:rFonts w:ascii="Century" w:hAnsi="Century"/>
                <w:b w:val="0"/>
                <w:i/>
                <w:iCs/>
                <w:color w:val="000080"/>
              </w:rPr>
            </w:pPr>
            <w:r w:rsidRPr="00F72B35">
              <w:rPr>
                <w:rFonts w:ascii="Century" w:hAnsi="Century"/>
                <w:color w:val="000080"/>
              </w:rPr>
              <w:t xml:space="preserve">Tablo 4.4.1: </w:t>
            </w:r>
            <w:r w:rsidRPr="00F72B35">
              <w:rPr>
                <w:rFonts w:ascii="Century" w:hAnsi="Century"/>
                <w:bCs w:val="0"/>
                <w:color w:val="000080"/>
              </w:rPr>
              <w:t xml:space="preserve">Bireysel Emeklilik Sektörü Genel Verileri – </w:t>
            </w:r>
            <w:r w:rsidRPr="00F72B35">
              <w:rPr>
                <w:rFonts w:ascii="Century" w:hAnsi="Century"/>
                <w:b w:val="0"/>
                <w:bCs w:val="0"/>
                <w:i/>
                <w:color w:val="000080"/>
              </w:rPr>
              <w:t xml:space="preserve">Private </w:t>
            </w:r>
            <w:r w:rsidRPr="00F72B35">
              <w:rPr>
                <w:rFonts w:ascii="Century" w:hAnsi="Century"/>
                <w:b w:val="0"/>
                <w:i/>
                <w:iCs/>
                <w:color w:val="000080"/>
              </w:rPr>
              <w:t>Pension System General Indicators</w:t>
            </w:r>
          </w:p>
          <w:p w:rsidR="007909D7" w:rsidRPr="00F72B35" w:rsidRDefault="007909D7" w:rsidP="00D832B5">
            <w:pPr>
              <w:jc w:val="center"/>
            </w:pPr>
            <w:r w:rsidRPr="00F72B35">
              <w:rPr>
                <w:noProof/>
              </w:rPr>
              <w:drawing>
                <wp:inline distT="0" distB="0" distL="0" distR="0" wp14:anchorId="6078EE33" wp14:editId="1A571231">
                  <wp:extent cx="6106795" cy="2011680"/>
                  <wp:effectExtent l="0" t="0" r="8255"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06795" cy="2011680"/>
                          </a:xfrm>
                          <a:prstGeom prst="rect">
                            <a:avLst/>
                          </a:prstGeom>
                          <a:noFill/>
                          <a:ln>
                            <a:noFill/>
                          </a:ln>
                        </pic:spPr>
                      </pic:pic>
                    </a:graphicData>
                  </a:graphic>
                </wp:inline>
              </w:drawing>
            </w:r>
          </w:p>
          <w:p w:rsidR="007909D7" w:rsidRPr="00F72B35" w:rsidRDefault="007909D7" w:rsidP="00700CE3">
            <w:pPr>
              <w:jc w:val="both"/>
              <w:rPr>
                <w:rFonts w:ascii="Century" w:hAnsi="Century"/>
                <w:color w:val="333333"/>
                <w:sz w:val="22"/>
                <w:szCs w:val="22"/>
              </w:rPr>
            </w:pPr>
          </w:p>
        </w:tc>
      </w:tr>
      <w:tr w:rsidR="007909D7" w:rsidRPr="00B10D90" w:rsidTr="00441D50">
        <w:trPr>
          <w:gridAfter w:val="1"/>
          <w:wAfter w:w="20" w:type="dxa"/>
        </w:trPr>
        <w:tc>
          <w:tcPr>
            <w:tcW w:w="4817" w:type="dxa"/>
            <w:gridSpan w:val="2"/>
          </w:tcPr>
          <w:p w:rsidR="007909D7" w:rsidRPr="007E4413" w:rsidRDefault="007909D7" w:rsidP="00C26BD8">
            <w:pPr>
              <w:jc w:val="both"/>
              <w:rPr>
                <w:rFonts w:ascii="Century" w:hAnsi="Century"/>
                <w:sz w:val="22"/>
                <w:szCs w:val="22"/>
              </w:rPr>
            </w:pPr>
            <w:r w:rsidRPr="007E4413">
              <w:rPr>
                <w:rFonts w:ascii="Century" w:hAnsi="Century"/>
                <w:sz w:val="22"/>
                <w:szCs w:val="22"/>
              </w:rPr>
              <w:t>2018 yılında toplam fon büyüklüğü %14 oranında, katkı payı tutarı ise %12 oranında artış göstermiştir.</w:t>
            </w:r>
          </w:p>
          <w:p w:rsidR="007909D7" w:rsidRPr="007E4413" w:rsidRDefault="007909D7" w:rsidP="00C26BD8">
            <w:pPr>
              <w:jc w:val="both"/>
              <w:rPr>
                <w:rFonts w:ascii="Century" w:hAnsi="Century" w:cs="Arial"/>
                <w:sz w:val="16"/>
                <w:szCs w:val="16"/>
                <w:lang w:eastAsia="tr-TR"/>
              </w:rPr>
            </w:pPr>
            <w:r w:rsidRPr="007E4413">
              <w:rPr>
                <w:rFonts w:ascii="Century" w:hAnsi="Century" w:cs="Arial"/>
                <w:sz w:val="16"/>
                <w:szCs w:val="16"/>
                <w:lang w:eastAsia="tr-TR"/>
              </w:rPr>
              <w:t xml:space="preserve"> </w:t>
            </w:r>
          </w:p>
          <w:p w:rsidR="007909D7" w:rsidRDefault="007909D7" w:rsidP="00882340">
            <w:pPr>
              <w:jc w:val="both"/>
              <w:rPr>
                <w:rFonts w:ascii="Century" w:hAnsi="Century"/>
                <w:sz w:val="22"/>
                <w:szCs w:val="22"/>
              </w:rPr>
            </w:pPr>
            <w:r w:rsidRPr="007E4413">
              <w:rPr>
                <w:rFonts w:ascii="Century" w:hAnsi="Century" w:cs="Arial"/>
                <w:sz w:val="22"/>
                <w:szCs w:val="22"/>
                <w:lang w:eastAsia="tr-TR"/>
              </w:rPr>
              <w:t>S</w:t>
            </w:r>
            <w:r w:rsidRPr="007E4413">
              <w:rPr>
                <w:rFonts w:ascii="Century" w:hAnsi="Century"/>
                <w:sz w:val="22"/>
                <w:szCs w:val="22"/>
              </w:rPr>
              <w:t>özleşmeler bireysel ve grup dağılımında incelendiğinde, 2018 yıl sonu itibarıyla sözleşmelerin yaklaşık %75’inin bireysel, %25’inin ise grup katılımcılarından oluştuğu görülmektedir.</w:t>
            </w:r>
          </w:p>
          <w:p w:rsidR="007E4413" w:rsidRDefault="007E4413" w:rsidP="00882340">
            <w:pPr>
              <w:jc w:val="both"/>
              <w:rPr>
                <w:rFonts w:ascii="Century" w:hAnsi="Century"/>
                <w:sz w:val="16"/>
                <w:szCs w:val="16"/>
              </w:rPr>
            </w:pPr>
          </w:p>
          <w:p w:rsidR="007E4413" w:rsidRDefault="007E4413" w:rsidP="00882340">
            <w:pPr>
              <w:jc w:val="both"/>
              <w:rPr>
                <w:rFonts w:ascii="Century" w:hAnsi="Century"/>
                <w:sz w:val="16"/>
                <w:szCs w:val="16"/>
              </w:rPr>
            </w:pPr>
          </w:p>
          <w:p w:rsidR="007E4413" w:rsidRDefault="007E4413" w:rsidP="00882340">
            <w:pPr>
              <w:jc w:val="both"/>
              <w:rPr>
                <w:rFonts w:ascii="Century" w:hAnsi="Century"/>
                <w:sz w:val="16"/>
                <w:szCs w:val="16"/>
              </w:rPr>
            </w:pPr>
          </w:p>
          <w:p w:rsidR="007E4413" w:rsidRDefault="007E4413" w:rsidP="00882340">
            <w:pPr>
              <w:jc w:val="both"/>
              <w:rPr>
                <w:rFonts w:ascii="Century" w:hAnsi="Century"/>
                <w:sz w:val="16"/>
                <w:szCs w:val="16"/>
              </w:rPr>
            </w:pPr>
          </w:p>
          <w:p w:rsidR="007E4413" w:rsidRDefault="007E4413" w:rsidP="00882340">
            <w:pPr>
              <w:jc w:val="both"/>
              <w:rPr>
                <w:rFonts w:ascii="Century" w:hAnsi="Century"/>
                <w:sz w:val="16"/>
                <w:szCs w:val="16"/>
              </w:rPr>
            </w:pPr>
          </w:p>
          <w:p w:rsidR="007E4413" w:rsidRPr="007E4413" w:rsidRDefault="007E4413" w:rsidP="00882340">
            <w:pPr>
              <w:jc w:val="both"/>
              <w:rPr>
                <w:rFonts w:ascii="Century" w:hAnsi="Century"/>
                <w:sz w:val="16"/>
                <w:szCs w:val="16"/>
              </w:rPr>
            </w:pPr>
          </w:p>
          <w:p w:rsidR="007909D7" w:rsidRPr="007E4413" w:rsidRDefault="007909D7" w:rsidP="00D375D5">
            <w:pPr>
              <w:jc w:val="both"/>
              <w:rPr>
                <w:rFonts w:ascii="Century" w:hAnsi="Century"/>
                <w:sz w:val="22"/>
                <w:szCs w:val="22"/>
              </w:rPr>
            </w:pPr>
            <w:r w:rsidRPr="007E4413">
              <w:rPr>
                <w:rFonts w:ascii="Century" w:hAnsi="Century"/>
                <w:sz w:val="22"/>
                <w:szCs w:val="22"/>
              </w:rPr>
              <w:lastRenderedPageBreak/>
              <w:t>Bireysel emeklilik alanında 2018 yılı portföy hareketlerini gösteren tablo aşağıda verilmiştir.</w:t>
            </w:r>
          </w:p>
        </w:tc>
        <w:tc>
          <w:tcPr>
            <w:tcW w:w="318" w:type="dxa"/>
            <w:gridSpan w:val="7"/>
          </w:tcPr>
          <w:p w:rsidR="007909D7" w:rsidRPr="007E4413" w:rsidRDefault="007909D7" w:rsidP="00700CE3">
            <w:pPr>
              <w:rPr>
                <w:rFonts w:ascii="Century" w:hAnsi="Century"/>
                <w:sz w:val="22"/>
                <w:szCs w:val="22"/>
              </w:rPr>
            </w:pPr>
          </w:p>
        </w:tc>
        <w:tc>
          <w:tcPr>
            <w:tcW w:w="4703" w:type="dxa"/>
            <w:gridSpan w:val="6"/>
          </w:tcPr>
          <w:p w:rsidR="007E4413" w:rsidRPr="007E4413" w:rsidRDefault="007E4413" w:rsidP="007E4413">
            <w:pPr>
              <w:jc w:val="both"/>
              <w:rPr>
                <w:rFonts w:ascii="Century" w:hAnsi="Century" w:cs="Arial"/>
                <w:color w:val="333333"/>
                <w:sz w:val="22"/>
                <w:szCs w:val="22"/>
              </w:rPr>
            </w:pPr>
            <w:r w:rsidRPr="007E4413">
              <w:rPr>
                <w:rFonts w:ascii="Century" w:hAnsi="Century" w:cs="Arial"/>
                <w:color w:val="333333"/>
                <w:sz w:val="22"/>
                <w:szCs w:val="22"/>
              </w:rPr>
              <w:t xml:space="preserve">Accumulation funds and total contribution amounts has increased by 14% and 12%, respectively in 2018. </w:t>
            </w:r>
          </w:p>
          <w:p w:rsidR="007909D7" w:rsidRPr="007E4413" w:rsidRDefault="007909D7" w:rsidP="00700CE3">
            <w:pPr>
              <w:jc w:val="both"/>
              <w:rPr>
                <w:rFonts w:ascii="Century" w:hAnsi="Century" w:cs="Arial"/>
                <w:color w:val="333333"/>
                <w:sz w:val="16"/>
                <w:szCs w:val="16"/>
              </w:rPr>
            </w:pPr>
          </w:p>
          <w:p w:rsidR="007909D7" w:rsidRPr="007E4413" w:rsidRDefault="007909D7" w:rsidP="00882340">
            <w:pPr>
              <w:jc w:val="both"/>
              <w:rPr>
                <w:rFonts w:ascii="Century" w:hAnsi="Century" w:cs="Arial"/>
                <w:color w:val="333333"/>
                <w:sz w:val="22"/>
                <w:szCs w:val="22"/>
              </w:rPr>
            </w:pPr>
            <w:r w:rsidRPr="007E4413">
              <w:rPr>
                <w:rFonts w:ascii="Century" w:hAnsi="Century" w:cs="Arial"/>
                <w:color w:val="333333"/>
                <w:sz w:val="22"/>
                <w:szCs w:val="22"/>
              </w:rPr>
              <w:t>According to the contract type, approximately 75% of the participants have private pension contracts and 25% of them are in group contracts by the end of 2018.</w:t>
            </w:r>
          </w:p>
          <w:p w:rsidR="007909D7" w:rsidRPr="007E4413" w:rsidRDefault="007909D7" w:rsidP="00882340">
            <w:pPr>
              <w:jc w:val="both"/>
              <w:rPr>
                <w:rFonts w:ascii="Century" w:hAnsi="Century" w:cs="Arial"/>
                <w:color w:val="333333"/>
                <w:sz w:val="16"/>
                <w:szCs w:val="16"/>
              </w:rPr>
            </w:pPr>
          </w:p>
          <w:p w:rsidR="007909D7" w:rsidRPr="007E4413" w:rsidRDefault="007909D7" w:rsidP="0024705C">
            <w:pPr>
              <w:jc w:val="both"/>
              <w:rPr>
                <w:rFonts w:ascii="Century" w:hAnsi="Century" w:cs="Arial"/>
                <w:color w:val="333333"/>
                <w:sz w:val="22"/>
                <w:szCs w:val="22"/>
              </w:rPr>
            </w:pPr>
          </w:p>
          <w:p w:rsidR="007E4413" w:rsidRDefault="007E4413" w:rsidP="007E4413">
            <w:pPr>
              <w:jc w:val="both"/>
              <w:rPr>
                <w:rFonts w:ascii="Century" w:hAnsi="Century" w:cs="Arial"/>
                <w:color w:val="333333"/>
                <w:sz w:val="22"/>
                <w:szCs w:val="22"/>
              </w:rPr>
            </w:pPr>
          </w:p>
          <w:p w:rsidR="007E4413" w:rsidRDefault="007E4413" w:rsidP="007E4413">
            <w:pPr>
              <w:jc w:val="both"/>
              <w:rPr>
                <w:rFonts w:ascii="Century" w:hAnsi="Century" w:cs="Arial"/>
                <w:color w:val="333333"/>
                <w:sz w:val="22"/>
                <w:szCs w:val="22"/>
              </w:rPr>
            </w:pPr>
          </w:p>
          <w:p w:rsidR="007E4413" w:rsidRDefault="007E4413" w:rsidP="007E4413">
            <w:pPr>
              <w:jc w:val="both"/>
              <w:rPr>
                <w:rFonts w:ascii="Century" w:hAnsi="Century" w:cs="Arial"/>
                <w:color w:val="333333"/>
                <w:sz w:val="22"/>
                <w:szCs w:val="22"/>
              </w:rPr>
            </w:pPr>
          </w:p>
          <w:p w:rsidR="007E4413" w:rsidRDefault="007E4413" w:rsidP="007E4413">
            <w:pPr>
              <w:jc w:val="both"/>
              <w:rPr>
                <w:rFonts w:ascii="Century" w:hAnsi="Century" w:cs="Arial"/>
                <w:color w:val="333333"/>
                <w:sz w:val="22"/>
                <w:szCs w:val="22"/>
              </w:rPr>
            </w:pPr>
          </w:p>
          <w:p w:rsidR="007E4413" w:rsidRPr="007E4413" w:rsidRDefault="007E4413" w:rsidP="007E4413">
            <w:pPr>
              <w:jc w:val="both"/>
              <w:rPr>
                <w:rFonts w:ascii="Century" w:hAnsi="Century" w:cs="Arial"/>
                <w:color w:val="333333"/>
                <w:sz w:val="22"/>
                <w:szCs w:val="22"/>
              </w:rPr>
            </w:pPr>
            <w:r w:rsidRPr="007E4413">
              <w:rPr>
                <w:rFonts w:ascii="Century" w:hAnsi="Century" w:cs="Arial"/>
                <w:color w:val="333333"/>
                <w:sz w:val="22"/>
                <w:szCs w:val="22"/>
              </w:rPr>
              <w:lastRenderedPageBreak/>
              <w:t>Portfolio movements in private pension during 2018 are represented in table below.</w:t>
            </w:r>
          </w:p>
          <w:p w:rsidR="007909D7" w:rsidRDefault="007909D7" w:rsidP="0024705C">
            <w:pPr>
              <w:jc w:val="both"/>
              <w:rPr>
                <w:rFonts w:ascii="Century" w:hAnsi="Century" w:cs="Arial"/>
                <w:color w:val="333333"/>
                <w:sz w:val="22"/>
                <w:szCs w:val="22"/>
              </w:rPr>
            </w:pPr>
          </w:p>
          <w:p w:rsidR="007E4413" w:rsidRPr="007E4413" w:rsidRDefault="007E4413" w:rsidP="0024705C">
            <w:pPr>
              <w:jc w:val="both"/>
              <w:rPr>
                <w:rFonts w:ascii="Century" w:hAnsi="Century" w:cs="Arial"/>
                <w:color w:val="333333"/>
                <w:sz w:val="22"/>
                <w:szCs w:val="22"/>
              </w:rPr>
            </w:pPr>
          </w:p>
        </w:tc>
      </w:tr>
      <w:tr w:rsidR="007909D7" w:rsidRPr="00D375D5" w:rsidTr="00441D50">
        <w:trPr>
          <w:gridAfter w:val="1"/>
          <w:wAfter w:w="20" w:type="dxa"/>
          <w:trHeight w:val="180"/>
        </w:trPr>
        <w:tc>
          <w:tcPr>
            <w:tcW w:w="9838" w:type="dxa"/>
            <w:gridSpan w:val="15"/>
          </w:tcPr>
          <w:p w:rsidR="007909D7" w:rsidRPr="00D375D5" w:rsidRDefault="007909D7" w:rsidP="004F17C4">
            <w:pPr>
              <w:pStyle w:val="Caption"/>
              <w:jc w:val="center"/>
              <w:rPr>
                <w:rFonts w:ascii="Century" w:hAnsi="Century"/>
                <w:b w:val="0"/>
                <w:bCs w:val="0"/>
                <w:i/>
              </w:rPr>
            </w:pPr>
            <w:r w:rsidRPr="007D65D8">
              <w:rPr>
                <w:rFonts w:ascii="Century" w:hAnsi="Century" w:cs="Arial"/>
                <w:bCs w:val="0"/>
                <w:color w:val="000080"/>
                <w:lang w:eastAsia="tr-TR"/>
              </w:rPr>
              <w:lastRenderedPageBreak/>
              <w:t>Tablo 4.4.2: 2018 Yılı Portföy Hareketleri</w:t>
            </w:r>
            <w:r w:rsidRPr="00D375D5">
              <w:rPr>
                <w:rFonts w:ascii="Century" w:hAnsi="Century"/>
                <w:bCs w:val="0"/>
              </w:rPr>
              <w:t xml:space="preserve"> – </w:t>
            </w:r>
            <w:r w:rsidRPr="007D65D8">
              <w:rPr>
                <w:rFonts w:ascii="Century" w:hAnsi="Century" w:cs="Arial"/>
                <w:b w:val="0"/>
                <w:bCs w:val="0"/>
                <w:i/>
                <w:color w:val="000080"/>
                <w:lang w:eastAsia="tr-TR"/>
              </w:rPr>
              <w:t>Pension Companies Portfolio Movement for 201</w:t>
            </w:r>
            <w:r w:rsidR="007D65D8">
              <w:rPr>
                <w:rFonts w:ascii="Century" w:hAnsi="Century" w:cs="Arial"/>
                <w:b w:val="0"/>
                <w:bCs w:val="0"/>
                <w:i/>
                <w:color w:val="000080"/>
                <w:lang w:eastAsia="tr-TR"/>
              </w:rPr>
              <w:t>8</w:t>
            </w:r>
          </w:p>
          <w:p w:rsidR="007909D7" w:rsidRPr="00D375D5" w:rsidRDefault="007909D7" w:rsidP="00803079">
            <w:pPr>
              <w:jc w:val="center"/>
            </w:pPr>
            <w:r w:rsidRPr="00D375D5">
              <w:rPr>
                <w:noProof/>
              </w:rPr>
              <w:drawing>
                <wp:inline distT="0" distB="0" distL="0" distR="0" wp14:anchorId="1961985A" wp14:editId="501E7129">
                  <wp:extent cx="6106795" cy="3045460"/>
                  <wp:effectExtent l="0" t="0" r="8255"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6795" cy="3045460"/>
                          </a:xfrm>
                          <a:prstGeom prst="rect">
                            <a:avLst/>
                          </a:prstGeom>
                          <a:noFill/>
                          <a:ln>
                            <a:noFill/>
                          </a:ln>
                        </pic:spPr>
                      </pic:pic>
                    </a:graphicData>
                  </a:graphic>
                </wp:inline>
              </w:drawing>
            </w:r>
          </w:p>
          <w:p w:rsidR="007909D7" w:rsidRPr="00D375D5" w:rsidRDefault="007909D7" w:rsidP="00700CE3">
            <w:pPr>
              <w:jc w:val="both"/>
              <w:rPr>
                <w:rFonts w:ascii="Century" w:hAnsi="Century"/>
              </w:rPr>
            </w:pPr>
          </w:p>
        </w:tc>
      </w:tr>
      <w:tr w:rsidR="007909D7" w:rsidRPr="00B10D90" w:rsidTr="00441D50">
        <w:trPr>
          <w:gridAfter w:val="1"/>
          <w:wAfter w:w="20" w:type="dxa"/>
        </w:trPr>
        <w:tc>
          <w:tcPr>
            <w:tcW w:w="4817" w:type="dxa"/>
            <w:gridSpan w:val="2"/>
          </w:tcPr>
          <w:p w:rsidR="007909D7" w:rsidRPr="00D375D5" w:rsidRDefault="007909D7" w:rsidP="00FC6863">
            <w:pPr>
              <w:jc w:val="both"/>
              <w:rPr>
                <w:rFonts w:ascii="Century" w:hAnsi="Century"/>
                <w:sz w:val="22"/>
                <w:szCs w:val="22"/>
              </w:rPr>
            </w:pPr>
            <w:r w:rsidRPr="00D375D5">
              <w:rPr>
                <w:rFonts w:ascii="Century" w:hAnsi="Century" w:cs="Arial"/>
                <w:sz w:val="22"/>
                <w:szCs w:val="22"/>
                <w:lang w:eastAsia="tr-TR"/>
              </w:rPr>
              <w:t>Katılımcı ve sözleşme başına fon tutarlarının yıllar itibarıyla seyri aşağıdaki grafikte verilmiştir. Grafikte de görüldüğü üzere, 2018 yılı sonu itibarıyla ortalama fon tutarı katılımcı başına 12.771 TL, sözleşme başına ise 10.822 TL olarak gerçekleşmiştir.</w:t>
            </w:r>
            <w:r w:rsidRPr="00D375D5">
              <w:rPr>
                <w:rFonts w:ascii="Century" w:hAnsi="Century"/>
                <w:sz w:val="22"/>
                <w:szCs w:val="22"/>
              </w:rPr>
              <w:t xml:space="preserve">  </w:t>
            </w:r>
          </w:p>
          <w:p w:rsidR="007909D7" w:rsidRPr="00B10D90" w:rsidRDefault="007909D7" w:rsidP="00700CE3">
            <w:pPr>
              <w:jc w:val="both"/>
              <w:rPr>
                <w:rFonts w:ascii="Century" w:hAnsi="Century"/>
                <w:sz w:val="22"/>
                <w:szCs w:val="22"/>
                <w:highlight w:val="yellow"/>
              </w:rPr>
            </w:pPr>
          </w:p>
        </w:tc>
        <w:tc>
          <w:tcPr>
            <w:tcW w:w="318" w:type="dxa"/>
            <w:gridSpan w:val="7"/>
          </w:tcPr>
          <w:p w:rsidR="007909D7" w:rsidRPr="00B10D90" w:rsidRDefault="007909D7" w:rsidP="00700CE3">
            <w:pPr>
              <w:rPr>
                <w:rFonts w:ascii="Century" w:hAnsi="Century"/>
                <w:sz w:val="22"/>
                <w:szCs w:val="22"/>
                <w:highlight w:val="yellow"/>
              </w:rPr>
            </w:pPr>
          </w:p>
        </w:tc>
        <w:tc>
          <w:tcPr>
            <w:tcW w:w="4703" w:type="dxa"/>
            <w:gridSpan w:val="6"/>
          </w:tcPr>
          <w:p w:rsidR="007909D7" w:rsidRPr="00D375D5" w:rsidRDefault="007909D7" w:rsidP="00FC6863">
            <w:pPr>
              <w:jc w:val="both"/>
              <w:rPr>
                <w:rFonts w:ascii="Century" w:hAnsi="Century" w:cs="Arial"/>
                <w:color w:val="333333"/>
                <w:sz w:val="22"/>
                <w:szCs w:val="22"/>
              </w:rPr>
            </w:pPr>
            <w:r w:rsidRPr="00D375D5">
              <w:rPr>
                <w:rFonts w:ascii="Century" w:hAnsi="Century" w:cs="Arial"/>
                <w:color w:val="333333"/>
                <w:sz w:val="22"/>
                <w:szCs w:val="22"/>
              </w:rPr>
              <w:t xml:space="preserve">The graph below represents the average accumulation fund per participant and contract. As it can be seen from the graph, average accumulated fund reached </w:t>
            </w:r>
            <w:r w:rsidRPr="00D375D5">
              <w:rPr>
                <w:rFonts w:ascii="AbakuTLSymSans" w:hAnsi="AbakuTLSymSans" w:cs="Arial"/>
                <w:bCs/>
                <w:color w:val="333333"/>
                <w:sz w:val="20"/>
                <w:szCs w:val="20"/>
              </w:rPr>
              <w:t>¨</w:t>
            </w:r>
            <w:r w:rsidRPr="00D375D5">
              <w:rPr>
                <w:rFonts w:ascii="Century" w:hAnsi="Century" w:cs="Arial"/>
                <w:sz w:val="22"/>
                <w:szCs w:val="22"/>
                <w:lang w:eastAsia="tr-TR"/>
              </w:rPr>
              <w:t xml:space="preserve">12,771 </w:t>
            </w:r>
            <w:r w:rsidRPr="00D375D5">
              <w:rPr>
                <w:rFonts w:ascii="Century" w:hAnsi="Century" w:cs="Arial"/>
                <w:color w:val="333333"/>
                <w:sz w:val="22"/>
                <w:szCs w:val="22"/>
              </w:rPr>
              <w:t xml:space="preserve">per participant and </w:t>
            </w:r>
            <w:r w:rsidRPr="00D375D5">
              <w:rPr>
                <w:rFonts w:ascii="AbakuTLSymSans" w:hAnsi="AbakuTLSymSans" w:cs="Arial"/>
                <w:bCs/>
                <w:color w:val="333333"/>
                <w:sz w:val="20"/>
                <w:szCs w:val="20"/>
              </w:rPr>
              <w:t>¨</w:t>
            </w:r>
            <w:r w:rsidRPr="00D375D5">
              <w:rPr>
                <w:rFonts w:ascii="Century" w:hAnsi="Century" w:cs="Arial"/>
                <w:sz w:val="22"/>
                <w:szCs w:val="22"/>
                <w:lang w:eastAsia="tr-TR"/>
              </w:rPr>
              <w:t xml:space="preserve">10,822 </w:t>
            </w:r>
            <w:r w:rsidRPr="00D375D5">
              <w:rPr>
                <w:rFonts w:ascii="Century" w:hAnsi="Century" w:cs="Arial"/>
                <w:color w:val="333333"/>
                <w:sz w:val="22"/>
                <w:szCs w:val="22"/>
              </w:rPr>
              <w:t>per contract by the end of 2018.</w:t>
            </w:r>
          </w:p>
          <w:p w:rsidR="007909D7" w:rsidRPr="00B10D90" w:rsidRDefault="007909D7" w:rsidP="00700CE3">
            <w:pPr>
              <w:jc w:val="both"/>
              <w:rPr>
                <w:rFonts w:ascii="Century" w:hAnsi="Century" w:cs="Arial"/>
                <w:color w:val="333333"/>
                <w:sz w:val="22"/>
                <w:szCs w:val="22"/>
                <w:highlight w:val="yellow"/>
              </w:rPr>
            </w:pPr>
          </w:p>
        </w:tc>
      </w:tr>
      <w:tr w:rsidR="007909D7" w:rsidRPr="00B10D90" w:rsidTr="00441D50">
        <w:trPr>
          <w:gridAfter w:val="1"/>
          <w:wAfter w:w="20" w:type="dxa"/>
        </w:trPr>
        <w:tc>
          <w:tcPr>
            <w:tcW w:w="9838" w:type="dxa"/>
            <w:gridSpan w:val="15"/>
          </w:tcPr>
          <w:p w:rsidR="007909D7" w:rsidRPr="00D375D5" w:rsidRDefault="007909D7" w:rsidP="00C26BD8">
            <w:pPr>
              <w:jc w:val="center"/>
              <w:rPr>
                <w:rFonts w:ascii="AbakuTLSymSans" w:hAnsi="AbakuTLSymSans" w:cs="Arial"/>
                <w:i/>
                <w:color w:val="000080"/>
                <w:sz w:val="20"/>
                <w:szCs w:val="20"/>
                <w:lang w:eastAsia="tr-TR"/>
              </w:rPr>
            </w:pPr>
            <w:r w:rsidRPr="00D375D5">
              <w:rPr>
                <w:rFonts w:ascii="Century" w:hAnsi="Century" w:cs="Arial"/>
                <w:b/>
                <w:color w:val="000080"/>
                <w:sz w:val="20"/>
                <w:szCs w:val="20"/>
                <w:lang w:eastAsia="tr-TR"/>
              </w:rPr>
              <w:t xml:space="preserve">Grafik 4.4.1: Ortalama Fon Tutarları </w:t>
            </w:r>
            <w:r w:rsidRPr="00D375D5">
              <w:rPr>
                <w:rFonts w:ascii="Century" w:hAnsi="Century" w:cs="Arial"/>
                <w:i/>
                <w:color w:val="000080"/>
                <w:sz w:val="20"/>
                <w:szCs w:val="20"/>
                <w:lang w:eastAsia="tr-TR"/>
              </w:rPr>
              <w:t>– Average Accumulation Fund per Participant and Contract (</w:t>
            </w:r>
            <w:r w:rsidRPr="00D375D5">
              <w:rPr>
                <w:rFonts w:ascii="AbakuTLSymSans" w:hAnsi="AbakuTLSymSans" w:cs="Arial"/>
                <w:i/>
                <w:color w:val="000080"/>
                <w:sz w:val="20"/>
                <w:szCs w:val="20"/>
                <w:lang w:eastAsia="tr-TR"/>
              </w:rPr>
              <w:t>¨)</w:t>
            </w:r>
          </w:p>
          <w:p w:rsidR="007909D7" w:rsidRPr="00D375D5" w:rsidRDefault="007909D7" w:rsidP="00470257">
            <w:pPr>
              <w:jc w:val="center"/>
              <w:rPr>
                <w:rFonts w:ascii="Century" w:hAnsi="Century" w:cs="Arial"/>
                <w:b/>
                <w:sz w:val="20"/>
                <w:szCs w:val="20"/>
                <w:lang w:eastAsia="tr-TR"/>
              </w:rPr>
            </w:pPr>
            <w:r w:rsidRPr="00D375D5">
              <w:rPr>
                <w:rFonts w:ascii="Century" w:hAnsi="Century" w:cs="Arial"/>
                <w:b/>
                <w:noProof/>
                <w:sz w:val="20"/>
                <w:szCs w:val="20"/>
              </w:rPr>
              <w:drawing>
                <wp:inline distT="0" distB="0" distL="0" distR="0" wp14:anchorId="3AE82223" wp14:editId="7672764C">
                  <wp:extent cx="6106795" cy="2806700"/>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06795" cy="2806700"/>
                          </a:xfrm>
                          <a:prstGeom prst="rect">
                            <a:avLst/>
                          </a:prstGeom>
                          <a:noFill/>
                          <a:ln>
                            <a:noFill/>
                          </a:ln>
                        </pic:spPr>
                      </pic:pic>
                    </a:graphicData>
                  </a:graphic>
                </wp:inline>
              </w:drawing>
            </w:r>
          </w:p>
        </w:tc>
      </w:tr>
      <w:tr w:rsidR="007909D7" w:rsidRPr="00B10D90" w:rsidTr="00441D50">
        <w:trPr>
          <w:gridAfter w:val="1"/>
          <w:wAfter w:w="20" w:type="dxa"/>
        </w:trPr>
        <w:tc>
          <w:tcPr>
            <w:tcW w:w="4817" w:type="dxa"/>
            <w:gridSpan w:val="2"/>
          </w:tcPr>
          <w:p w:rsidR="007909D7" w:rsidRDefault="007909D7" w:rsidP="00FC6863">
            <w:pPr>
              <w:jc w:val="both"/>
              <w:rPr>
                <w:rFonts w:ascii="Century" w:hAnsi="Century"/>
                <w:sz w:val="22"/>
                <w:szCs w:val="22"/>
                <w:highlight w:val="yellow"/>
              </w:rPr>
            </w:pPr>
          </w:p>
          <w:p w:rsidR="007909D7" w:rsidRDefault="007909D7" w:rsidP="00FC6863">
            <w:pPr>
              <w:jc w:val="both"/>
              <w:rPr>
                <w:rFonts w:ascii="Century" w:hAnsi="Century"/>
                <w:sz w:val="22"/>
                <w:szCs w:val="22"/>
                <w:highlight w:val="yellow"/>
              </w:rPr>
            </w:pPr>
          </w:p>
          <w:p w:rsidR="007909D7" w:rsidRDefault="007909D7" w:rsidP="00750E9D">
            <w:pPr>
              <w:jc w:val="both"/>
              <w:rPr>
                <w:rFonts w:ascii="Century" w:hAnsi="Century"/>
                <w:sz w:val="22"/>
                <w:szCs w:val="22"/>
                <w:highlight w:val="yellow"/>
              </w:rPr>
            </w:pPr>
          </w:p>
          <w:p w:rsidR="007909D7" w:rsidRPr="00B10D90" w:rsidRDefault="007909D7" w:rsidP="00D375D5">
            <w:pPr>
              <w:jc w:val="both"/>
              <w:rPr>
                <w:rFonts w:ascii="Century" w:hAnsi="Century"/>
                <w:sz w:val="22"/>
                <w:szCs w:val="22"/>
                <w:highlight w:val="yellow"/>
              </w:rPr>
            </w:pPr>
            <w:r w:rsidRPr="00D375D5">
              <w:rPr>
                <w:rFonts w:ascii="Century" w:hAnsi="Century"/>
                <w:sz w:val="22"/>
                <w:szCs w:val="22"/>
              </w:rPr>
              <w:lastRenderedPageBreak/>
              <w:t>Emeklilik sözleşmelerinin yaş gruplarına göre dağılımında 25-34 ile 35-44 yaş arası grupların ağırlıklarını koruduğu görülmektedir. 2018 yılı sonu itibarıyla mevcut sözleşmelerin %62</w:t>
            </w:r>
            <w:proofErr w:type="gramStart"/>
            <w:r w:rsidRPr="00D375D5">
              <w:rPr>
                <w:rFonts w:ascii="Century" w:hAnsi="Century"/>
                <w:sz w:val="22"/>
                <w:szCs w:val="22"/>
              </w:rPr>
              <w:t>,5’inin</w:t>
            </w:r>
            <w:proofErr w:type="gramEnd"/>
            <w:r w:rsidRPr="00D375D5">
              <w:rPr>
                <w:rFonts w:ascii="Century" w:hAnsi="Century"/>
                <w:sz w:val="22"/>
                <w:szCs w:val="22"/>
              </w:rPr>
              <w:t xml:space="preserve"> sisteme girişte 25-44 yaş aralığında olan katılımcılar oluşturmaktadır.</w:t>
            </w:r>
          </w:p>
        </w:tc>
        <w:tc>
          <w:tcPr>
            <w:tcW w:w="318" w:type="dxa"/>
            <w:gridSpan w:val="7"/>
          </w:tcPr>
          <w:p w:rsidR="007909D7" w:rsidRPr="00B10D90" w:rsidRDefault="007909D7" w:rsidP="00A71B98">
            <w:pPr>
              <w:rPr>
                <w:rFonts w:ascii="Century" w:hAnsi="Century"/>
                <w:sz w:val="22"/>
                <w:szCs w:val="22"/>
                <w:highlight w:val="yellow"/>
              </w:rPr>
            </w:pPr>
          </w:p>
        </w:tc>
        <w:tc>
          <w:tcPr>
            <w:tcW w:w="4703" w:type="dxa"/>
            <w:gridSpan w:val="6"/>
          </w:tcPr>
          <w:p w:rsidR="007909D7" w:rsidRDefault="007909D7" w:rsidP="006D3F3C">
            <w:pPr>
              <w:jc w:val="both"/>
              <w:rPr>
                <w:rFonts w:ascii="Century" w:hAnsi="Century" w:cs="Arial"/>
                <w:color w:val="333333"/>
                <w:sz w:val="22"/>
                <w:szCs w:val="22"/>
                <w:highlight w:val="yellow"/>
              </w:rPr>
            </w:pPr>
          </w:p>
          <w:p w:rsidR="007909D7" w:rsidRDefault="007909D7" w:rsidP="006D3F3C">
            <w:pPr>
              <w:jc w:val="both"/>
              <w:rPr>
                <w:rFonts w:ascii="Century" w:hAnsi="Century" w:cs="Arial"/>
                <w:color w:val="333333"/>
                <w:sz w:val="22"/>
                <w:szCs w:val="22"/>
                <w:highlight w:val="yellow"/>
              </w:rPr>
            </w:pPr>
          </w:p>
          <w:p w:rsidR="007909D7" w:rsidRPr="00B10D90" w:rsidRDefault="007909D7" w:rsidP="006D3F3C">
            <w:pPr>
              <w:jc w:val="both"/>
              <w:rPr>
                <w:rFonts w:ascii="Century" w:hAnsi="Century" w:cs="Arial"/>
                <w:color w:val="333333"/>
                <w:sz w:val="22"/>
                <w:szCs w:val="22"/>
                <w:highlight w:val="yellow"/>
              </w:rPr>
            </w:pPr>
          </w:p>
          <w:p w:rsidR="007909D7" w:rsidRPr="00B10D90" w:rsidRDefault="007909D7" w:rsidP="00D375D5">
            <w:pPr>
              <w:jc w:val="both"/>
              <w:rPr>
                <w:rFonts w:ascii="Century" w:hAnsi="Century"/>
                <w:color w:val="333333"/>
                <w:sz w:val="22"/>
                <w:szCs w:val="22"/>
                <w:highlight w:val="yellow"/>
              </w:rPr>
            </w:pPr>
            <w:r w:rsidRPr="00D375D5">
              <w:rPr>
                <w:rFonts w:ascii="Century" w:hAnsi="Century" w:cs="Arial"/>
                <w:color w:val="333333"/>
                <w:sz w:val="22"/>
                <w:szCs w:val="22"/>
              </w:rPr>
              <w:lastRenderedPageBreak/>
              <w:t xml:space="preserve">Regarding the distribution of the pension contracts for different age groups, the number of participants </w:t>
            </w:r>
            <w:proofErr w:type="gramStart"/>
            <w:r w:rsidRPr="00D375D5">
              <w:rPr>
                <w:rFonts w:ascii="Century" w:hAnsi="Century" w:cs="Arial"/>
                <w:color w:val="333333"/>
                <w:sz w:val="22"/>
                <w:szCs w:val="22"/>
              </w:rPr>
              <w:t>between 25-34</w:t>
            </w:r>
            <w:proofErr w:type="gramEnd"/>
            <w:r w:rsidRPr="00D375D5">
              <w:rPr>
                <w:rFonts w:ascii="Century" w:hAnsi="Century" w:cs="Arial"/>
                <w:color w:val="333333"/>
                <w:sz w:val="22"/>
                <w:szCs w:val="22"/>
              </w:rPr>
              <w:t xml:space="preserve"> and 35-44 age groups has kept significant amount in the system. Considering the date of participation to the system, 62.5% of the contracts in force belong to 25-44 age </w:t>
            </w:r>
            <w:proofErr w:type="gramStart"/>
            <w:r w:rsidRPr="00D375D5">
              <w:rPr>
                <w:rFonts w:ascii="Century" w:hAnsi="Century" w:cs="Arial"/>
                <w:color w:val="333333"/>
                <w:sz w:val="22"/>
                <w:szCs w:val="22"/>
              </w:rPr>
              <w:t>group</w:t>
            </w:r>
            <w:proofErr w:type="gramEnd"/>
            <w:r w:rsidRPr="00D375D5">
              <w:rPr>
                <w:rFonts w:ascii="Century" w:hAnsi="Century" w:cs="Arial"/>
                <w:color w:val="333333"/>
                <w:sz w:val="22"/>
                <w:szCs w:val="22"/>
              </w:rPr>
              <w:t xml:space="preserve"> by the end of 2018.</w:t>
            </w:r>
          </w:p>
        </w:tc>
      </w:tr>
      <w:tr w:rsidR="007909D7" w:rsidRPr="00B10D90" w:rsidTr="00441D50">
        <w:trPr>
          <w:gridAfter w:val="1"/>
          <w:wAfter w:w="20" w:type="dxa"/>
          <w:trHeight w:val="227"/>
        </w:trPr>
        <w:tc>
          <w:tcPr>
            <w:tcW w:w="9838" w:type="dxa"/>
            <w:gridSpan w:val="15"/>
          </w:tcPr>
          <w:p w:rsidR="007909D7" w:rsidRPr="00327B97" w:rsidRDefault="007909D7" w:rsidP="00D8099C">
            <w:pPr>
              <w:pStyle w:val="Caption"/>
              <w:rPr>
                <w:rFonts w:ascii="Century" w:hAnsi="Century"/>
                <w:b w:val="0"/>
                <w:color w:val="000080"/>
              </w:rPr>
            </w:pPr>
          </w:p>
          <w:p w:rsidR="007909D7" w:rsidRPr="00D375D5" w:rsidRDefault="007909D7" w:rsidP="00D8099C">
            <w:pPr>
              <w:pStyle w:val="Caption"/>
              <w:rPr>
                <w:rFonts w:ascii="Century" w:hAnsi="Century"/>
                <w:b w:val="0"/>
                <w:i/>
                <w:iCs/>
                <w:color w:val="000080"/>
              </w:rPr>
            </w:pPr>
            <w:r w:rsidRPr="00D375D5">
              <w:rPr>
                <w:rFonts w:ascii="Century" w:hAnsi="Century"/>
                <w:color w:val="000080"/>
              </w:rPr>
              <w:t xml:space="preserve">Tablo 4.4.3: </w:t>
            </w:r>
            <w:r w:rsidRPr="00D375D5">
              <w:rPr>
                <w:rFonts w:ascii="Century" w:hAnsi="Century"/>
                <w:bCs w:val="0"/>
                <w:color w:val="000080"/>
              </w:rPr>
              <w:t>Yaş Gruplarına Göre Dağılımı-</w:t>
            </w:r>
            <w:r w:rsidRPr="00D375D5">
              <w:rPr>
                <w:rFonts w:ascii="Century" w:hAnsi="Century"/>
                <w:b w:val="0"/>
                <w:i/>
                <w:iCs/>
                <w:color w:val="000080"/>
              </w:rPr>
              <w:t>Distribution of Cont. according to Age Groups</w:t>
            </w:r>
          </w:p>
          <w:p w:rsidR="007909D7" w:rsidRPr="00D375D5" w:rsidRDefault="007909D7" w:rsidP="00D4572E">
            <w:pPr>
              <w:rPr>
                <w:rFonts w:ascii="Century" w:hAnsi="Century"/>
              </w:rPr>
            </w:pPr>
            <w:r w:rsidRPr="00D375D5">
              <w:rPr>
                <w:rFonts w:ascii="Century" w:hAnsi="Century"/>
                <w:noProof/>
              </w:rPr>
              <w:drawing>
                <wp:inline distT="0" distB="0" distL="0" distR="0" wp14:anchorId="20313CCB" wp14:editId="1BF602E7">
                  <wp:extent cx="6106795" cy="11131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06795" cy="1113155"/>
                          </a:xfrm>
                          <a:prstGeom prst="rect">
                            <a:avLst/>
                          </a:prstGeom>
                          <a:noFill/>
                          <a:ln>
                            <a:noFill/>
                          </a:ln>
                        </pic:spPr>
                      </pic:pic>
                    </a:graphicData>
                  </a:graphic>
                </wp:inline>
              </w:drawing>
            </w:r>
          </w:p>
        </w:tc>
      </w:tr>
      <w:tr w:rsidR="007909D7" w:rsidRPr="00B10D90" w:rsidTr="00441D50">
        <w:trPr>
          <w:gridAfter w:val="1"/>
          <w:wAfter w:w="20" w:type="dxa"/>
          <w:trHeight w:val="786"/>
        </w:trPr>
        <w:tc>
          <w:tcPr>
            <w:tcW w:w="4817" w:type="dxa"/>
            <w:gridSpan w:val="2"/>
          </w:tcPr>
          <w:p w:rsidR="007909D7" w:rsidRPr="00B10D90" w:rsidRDefault="007909D7" w:rsidP="006C1D2C">
            <w:pPr>
              <w:jc w:val="both"/>
              <w:rPr>
                <w:rFonts w:ascii="Century" w:hAnsi="Century"/>
                <w:sz w:val="22"/>
                <w:szCs w:val="22"/>
                <w:highlight w:val="yellow"/>
              </w:rPr>
            </w:pPr>
          </w:p>
          <w:p w:rsidR="007909D7" w:rsidRPr="00D375D5" w:rsidRDefault="007909D7" w:rsidP="006C1D2C">
            <w:pPr>
              <w:jc w:val="both"/>
              <w:rPr>
                <w:rFonts w:ascii="Century" w:hAnsi="Century"/>
                <w:sz w:val="22"/>
                <w:szCs w:val="22"/>
              </w:rPr>
            </w:pPr>
            <w:r w:rsidRPr="00D375D5">
              <w:rPr>
                <w:rFonts w:ascii="Century" w:hAnsi="Century"/>
                <w:sz w:val="22"/>
                <w:szCs w:val="22"/>
              </w:rPr>
              <w:t>Sistemdeki katılımcıların %87</w:t>
            </w:r>
            <w:proofErr w:type="gramStart"/>
            <w:r w:rsidRPr="00D375D5">
              <w:rPr>
                <w:rFonts w:ascii="Century" w:hAnsi="Century"/>
                <w:sz w:val="22"/>
                <w:szCs w:val="22"/>
              </w:rPr>
              <w:t>,5’i</w:t>
            </w:r>
            <w:proofErr w:type="gramEnd"/>
            <w:r w:rsidRPr="00D375D5">
              <w:rPr>
                <w:rFonts w:ascii="Century" w:hAnsi="Century"/>
                <w:sz w:val="22"/>
                <w:szCs w:val="22"/>
              </w:rPr>
              <w:t xml:space="preserve"> aylık katkı payı ödemeyi tercih etmektedir. Aşağıdaki tabloda sözleşme bazında katkı payı ödeme periyoduna ilişkin bilgiler verilmiştir.</w:t>
            </w:r>
          </w:p>
          <w:p w:rsidR="007909D7" w:rsidRPr="00B10D90" w:rsidRDefault="007909D7" w:rsidP="006C1D2C">
            <w:pPr>
              <w:jc w:val="both"/>
              <w:rPr>
                <w:rFonts w:ascii="Century" w:hAnsi="Century"/>
                <w:highlight w:val="yellow"/>
              </w:rPr>
            </w:pPr>
          </w:p>
        </w:tc>
        <w:tc>
          <w:tcPr>
            <w:tcW w:w="318" w:type="dxa"/>
            <w:gridSpan w:val="7"/>
          </w:tcPr>
          <w:p w:rsidR="007909D7" w:rsidRPr="00B10D90" w:rsidRDefault="007909D7" w:rsidP="00700CE3">
            <w:pPr>
              <w:rPr>
                <w:rFonts w:ascii="Century" w:hAnsi="Century"/>
                <w:sz w:val="22"/>
                <w:szCs w:val="22"/>
                <w:highlight w:val="yellow"/>
              </w:rPr>
            </w:pPr>
          </w:p>
        </w:tc>
        <w:tc>
          <w:tcPr>
            <w:tcW w:w="4703" w:type="dxa"/>
            <w:gridSpan w:val="6"/>
          </w:tcPr>
          <w:p w:rsidR="007909D7" w:rsidRPr="00B10D90" w:rsidRDefault="007909D7" w:rsidP="00286C7D">
            <w:pPr>
              <w:jc w:val="both"/>
              <w:rPr>
                <w:rFonts w:ascii="Century" w:hAnsi="Century" w:cs="Arial"/>
                <w:color w:val="333333"/>
                <w:sz w:val="22"/>
                <w:szCs w:val="22"/>
                <w:highlight w:val="yellow"/>
              </w:rPr>
            </w:pPr>
          </w:p>
          <w:p w:rsidR="007909D7" w:rsidRPr="00D20656" w:rsidRDefault="007909D7" w:rsidP="00286C7D">
            <w:pPr>
              <w:jc w:val="both"/>
              <w:rPr>
                <w:rFonts w:ascii="Century" w:hAnsi="Century" w:cs="Arial"/>
                <w:color w:val="333333"/>
                <w:sz w:val="22"/>
                <w:szCs w:val="22"/>
              </w:rPr>
            </w:pPr>
            <w:r w:rsidRPr="00D20656">
              <w:rPr>
                <w:rFonts w:ascii="Century" w:hAnsi="Century" w:cs="Arial"/>
                <w:color w:val="333333"/>
                <w:sz w:val="22"/>
                <w:szCs w:val="22"/>
              </w:rPr>
              <w:t>Nearly 87.5% of the participants in the system would prefer to pay contribution on a monthly basis. The detailed data about the payment period is given in the table below.</w:t>
            </w:r>
          </w:p>
          <w:p w:rsidR="007909D7" w:rsidRPr="00B10D90" w:rsidRDefault="007909D7" w:rsidP="00286C7D">
            <w:pPr>
              <w:jc w:val="both"/>
              <w:rPr>
                <w:rFonts w:ascii="Century" w:hAnsi="Century" w:cs="Arial"/>
                <w:color w:val="333333"/>
                <w:sz w:val="22"/>
                <w:szCs w:val="22"/>
                <w:highlight w:val="yellow"/>
              </w:rPr>
            </w:pPr>
            <w:r w:rsidRPr="00B10D90">
              <w:rPr>
                <w:rFonts w:ascii="Century" w:hAnsi="Century" w:cs="Arial"/>
                <w:color w:val="333333"/>
                <w:sz w:val="22"/>
                <w:szCs w:val="22"/>
                <w:highlight w:val="yellow"/>
              </w:rPr>
              <w:t xml:space="preserve"> </w:t>
            </w:r>
          </w:p>
        </w:tc>
      </w:tr>
      <w:tr w:rsidR="007909D7" w:rsidRPr="00B10D90" w:rsidTr="00441D50">
        <w:trPr>
          <w:gridAfter w:val="1"/>
          <w:wAfter w:w="20" w:type="dxa"/>
          <w:trHeight w:val="679"/>
        </w:trPr>
        <w:tc>
          <w:tcPr>
            <w:tcW w:w="9838" w:type="dxa"/>
            <w:gridSpan w:val="15"/>
          </w:tcPr>
          <w:p w:rsidR="007909D7" w:rsidRPr="00D375D5" w:rsidRDefault="007909D7" w:rsidP="004F17C4">
            <w:pPr>
              <w:pStyle w:val="Caption"/>
              <w:jc w:val="center"/>
              <w:rPr>
                <w:rFonts w:ascii="Century" w:hAnsi="Century"/>
                <w:b w:val="0"/>
                <w:i/>
                <w:iCs/>
                <w:color w:val="000080"/>
              </w:rPr>
            </w:pPr>
            <w:r w:rsidRPr="00D375D5">
              <w:rPr>
                <w:rFonts w:ascii="Century" w:hAnsi="Century"/>
                <w:color w:val="000080"/>
              </w:rPr>
              <w:t xml:space="preserve">Tablo 4.4.4: </w:t>
            </w:r>
            <w:r w:rsidRPr="00D375D5">
              <w:rPr>
                <w:rFonts w:ascii="Century" w:hAnsi="Century"/>
                <w:bCs w:val="0"/>
                <w:color w:val="000080"/>
              </w:rPr>
              <w:t xml:space="preserve">Ödeme Periyoduna Göre Dağılım - </w:t>
            </w:r>
            <w:r w:rsidRPr="00D375D5">
              <w:rPr>
                <w:rFonts w:ascii="Century" w:hAnsi="Century"/>
                <w:b w:val="0"/>
                <w:i/>
                <w:iCs/>
                <w:color w:val="000080"/>
              </w:rPr>
              <w:t>Dist.of Contracts with According to Payment Period</w:t>
            </w:r>
          </w:p>
          <w:p w:rsidR="007909D7" w:rsidRPr="00D375D5" w:rsidRDefault="007909D7" w:rsidP="00D4572E">
            <w:pPr>
              <w:rPr>
                <w:rFonts w:ascii="Century" w:hAnsi="Century"/>
              </w:rPr>
            </w:pPr>
            <w:r w:rsidRPr="00D375D5">
              <w:rPr>
                <w:rFonts w:ascii="Century" w:hAnsi="Century"/>
                <w:noProof/>
              </w:rPr>
              <w:drawing>
                <wp:inline distT="0" distB="0" distL="0" distR="0" wp14:anchorId="47DA1283" wp14:editId="14050715">
                  <wp:extent cx="6106795" cy="962025"/>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06795" cy="962025"/>
                          </a:xfrm>
                          <a:prstGeom prst="rect">
                            <a:avLst/>
                          </a:prstGeom>
                          <a:noFill/>
                          <a:ln>
                            <a:noFill/>
                          </a:ln>
                        </pic:spPr>
                      </pic:pic>
                    </a:graphicData>
                  </a:graphic>
                </wp:inline>
              </w:drawing>
            </w:r>
          </w:p>
        </w:tc>
      </w:tr>
      <w:tr w:rsidR="007909D7" w:rsidRPr="00D20656" w:rsidTr="00441D50">
        <w:trPr>
          <w:gridAfter w:val="1"/>
          <w:wAfter w:w="20" w:type="dxa"/>
          <w:trHeight w:val="736"/>
        </w:trPr>
        <w:tc>
          <w:tcPr>
            <w:tcW w:w="4817" w:type="dxa"/>
            <w:gridSpan w:val="2"/>
          </w:tcPr>
          <w:p w:rsidR="007909D7" w:rsidRPr="00B10D90" w:rsidRDefault="007909D7" w:rsidP="00624CBF">
            <w:pPr>
              <w:jc w:val="both"/>
              <w:rPr>
                <w:rFonts w:ascii="Century" w:hAnsi="Century"/>
                <w:sz w:val="22"/>
                <w:szCs w:val="22"/>
                <w:highlight w:val="yellow"/>
              </w:rPr>
            </w:pPr>
          </w:p>
          <w:p w:rsidR="007909D7" w:rsidRPr="00D20656" w:rsidRDefault="007909D7" w:rsidP="00624CBF">
            <w:pPr>
              <w:jc w:val="both"/>
              <w:rPr>
                <w:rFonts w:ascii="Century" w:hAnsi="Century"/>
                <w:sz w:val="22"/>
                <w:szCs w:val="22"/>
              </w:rPr>
            </w:pPr>
            <w:r w:rsidRPr="00D20656">
              <w:rPr>
                <w:rFonts w:ascii="Century" w:hAnsi="Century"/>
                <w:sz w:val="22"/>
                <w:szCs w:val="22"/>
              </w:rPr>
              <w:t xml:space="preserve">Sözleşmelerin aylık ortalama katkı payı tutarına göre dağılımında, katılımcıların daha çok 101-200 TL arası katkı payı ödemeyi tercih ettikleri görülmektedir. 2018 yılında aylık katkı payı ödemelerinin %51’i 101-200 TL arasıdır. </w:t>
            </w:r>
          </w:p>
          <w:p w:rsidR="007909D7" w:rsidRPr="00B10D90" w:rsidRDefault="007909D7" w:rsidP="00624CBF">
            <w:pPr>
              <w:jc w:val="both"/>
              <w:rPr>
                <w:rFonts w:ascii="Century" w:hAnsi="Century"/>
                <w:sz w:val="22"/>
                <w:szCs w:val="22"/>
                <w:highlight w:val="yellow"/>
              </w:rPr>
            </w:pPr>
          </w:p>
          <w:p w:rsidR="007909D7" w:rsidRPr="00D20656" w:rsidRDefault="007909D7" w:rsidP="00624CBF">
            <w:pPr>
              <w:jc w:val="both"/>
              <w:rPr>
                <w:rFonts w:ascii="Century" w:hAnsi="Century"/>
                <w:sz w:val="22"/>
                <w:szCs w:val="22"/>
              </w:rPr>
            </w:pPr>
            <w:r w:rsidRPr="00D20656">
              <w:rPr>
                <w:rFonts w:ascii="Century" w:hAnsi="Century"/>
                <w:sz w:val="22"/>
                <w:szCs w:val="22"/>
              </w:rPr>
              <w:t>Yıllar itibarıyla son beş yıllık katkı payı ödeme tutarları aşağıdaki tabloda sunulmuştur.</w:t>
            </w:r>
          </w:p>
          <w:p w:rsidR="007909D7" w:rsidRPr="00B10D90" w:rsidRDefault="007909D7" w:rsidP="00624CBF">
            <w:pPr>
              <w:jc w:val="both"/>
              <w:rPr>
                <w:rFonts w:ascii="Century" w:hAnsi="Century"/>
                <w:highlight w:val="yellow"/>
              </w:rPr>
            </w:pPr>
          </w:p>
        </w:tc>
        <w:tc>
          <w:tcPr>
            <w:tcW w:w="318" w:type="dxa"/>
            <w:gridSpan w:val="7"/>
          </w:tcPr>
          <w:p w:rsidR="007909D7" w:rsidRPr="00B10D90" w:rsidRDefault="007909D7" w:rsidP="00700CE3">
            <w:pPr>
              <w:rPr>
                <w:rFonts w:ascii="Century" w:hAnsi="Century"/>
                <w:sz w:val="22"/>
                <w:szCs w:val="22"/>
                <w:highlight w:val="yellow"/>
              </w:rPr>
            </w:pPr>
          </w:p>
        </w:tc>
        <w:tc>
          <w:tcPr>
            <w:tcW w:w="4703" w:type="dxa"/>
            <w:gridSpan w:val="6"/>
          </w:tcPr>
          <w:p w:rsidR="007909D7" w:rsidRPr="00D20656" w:rsidRDefault="007909D7" w:rsidP="00624CBF">
            <w:pPr>
              <w:jc w:val="both"/>
              <w:rPr>
                <w:rFonts w:ascii="Century" w:hAnsi="Century" w:cs="Arial"/>
                <w:color w:val="333333"/>
                <w:sz w:val="22"/>
                <w:szCs w:val="22"/>
              </w:rPr>
            </w:pPr>
          </w:p>
          <w:p w:rsidR="007909D7" w:rsidRPr="00D20656" w:rsidRDefault="007909D7" w:rsidP="00624CBF">
            <w:pPr>
              <w:jc w:val="both"/>
              <w:rPr>
                <w:rFonts w:ascii="Century" w:hAnsi="Century" w:cs="Arial"/>
                <w:color w:val="333333"/>
                <w:sz w:val="22"/>
                <w:szCs w:val="22"/>
              </w:rPr>
            </w:pPr>
            <w:r w:rsidRPr="00D20656">
              <w:rPr>
                <w:rFonts w:ascii="Century" w:hAnsi="Century" w:cs="Arial"/>
                <w:color w:val="333333"/>
                <w:sz w:val="22"/>
                <w:szCs w:val="22"/>
              </w:rPr>
              <w:t xml:space="preserve">According to the payment amount distribution, significant majority of participants prefer to pay contribution amounted between </w:t>
            </w:r>
            <w:r w:rsidRPr="00D20656">
              <w:rPr>
                <w:rFonts w:ascii="AbakuTLSymSans" w:hAnsi="AbakuTLSymSans" w:cs="Arial"/>
                <w:bCs/>
                <w:color w:val="333333"/>
                <w:sz w:val="20"/>
                <w:szCs w:val="20"/>
              </w:rPr>
              <w:t>¨</w:t>
            </w:r>
            <w:r w:rsidRPr="00D20656">
              <w:rPr>
                <w:rFonts w:ascii="Century" w:hAnsi="Century" w:cs="Arial"/>
                <w:color w:val="333333"/>
                <w:sz w:val="22"/>
                <w:szCs w:val="22"/>
              </w:rPr>
              <w:t xml:space="preserve">101 and </w:t>
            </w:r>
            <w:r w:rsidRPr="00D20656">
              <w:rPr>
                <w:rFonts w:ascii="AbakuTLSymSans" w:hAnsi="AbakuTLSymSans" w:cs="Arial"/>
                <w:bCs/>
                <w:color w:val="333333"/>
                <w:sz w:val="20"/>
                <w:szCs w:val="20"/>
              </w:rPr>
              <w:t>¨</w:t>
            </w:r>
            <w:r w:rsidRPr="00D20656">
              <w:rPr>
                <w:rFonts w:ascii="Century" w:hAnsi="Century" w:cs="Arial"/>
                <w:color w:val="333333"/>
                <w:sz w:val="22"/>
                <w:szCs w:val="22"/>
              </w:rPr>
              <w:t xml:space="preserve">200. In 2018, 51% of total contracts realized in the range of </w:t>
            </w:r>
            <w:r w:rsidRPr="00D20656">
              <w:rPr>
                <w:rFonts w:ascii="AbakuTLSymSans" w:hAnsi="AbakuTLSymSans" w:cs="Arial"/>
                <w:bCs/>
                <w:color w:val="333333"/>
                <w:sz w:val="20"/>
                <w:szCs w:val="20"/>
              </w:rPr>
              <w:t>¨</w:t>
            </w:r>
            <w:r w:rsidRPr="00D20656">
              <w:rPr>
                <w:rFonts w:ascii="Century" w:hAnsi="Century" w:cs="Arial"/>
                <w:color w:val="333333"/>
                <w:sz w:val="22"/>
                <w:szCs w:val="22"/>
              </w:rPr>
              <w:t xml:space="preserve">101 and </w:t>
            </w:r>
            <w:r w:rsidRPr="00D20656">
              <w:rPr>
                <w:rFonts w:ascii="AbakuTLSymSans" w:hAnsi="AbakuTLSymSans" w:cs="Arial"/>
                <w:bCs/>
                <w:color w:val="333333"/>
                <w:sz w:val="20"/>
                <w:szCs w:val="20"/>
              </w:rPr>
              <w:t>¨</w:t>
            </w:r>
            <w:r w:rsidRPr="00D20656">
              <w:rPr>
                <w:rFonts w:ascii="Century" w:hAnsi="Century" w:cs="Arial"/>
                <w:color w:val="333333"/>
                <w:sz w:val="22"/>
                <w:szCs w:val="22"/>
              </w:rPr>
              <w:t xml:space="preserve">200 payment amount. </w:t>
            </w:r>
          </w:p>
          <w:p w:rsidR="007909D7" w:rsidRPr="00D20656" w:rsidRDefault="007909D7" w:rsidP="00624CBF">
            <w:pPr>
              <w:jc w:val="both"/>
              <w:rPr>
                <w:rFonts w:ascii="Century" w:hAnsi="Century" w:cs="Arial"/>
                <w:color w:val="333333"/>
                <w:sz w:val="22"/>
                <w:szCs w:val="22"/>
              </w:rPr>
            </w:pPr>
          </w:p>
          <w:p w:rsidR="007909D7" w:rsidRPr="00D20656" w:rsidRDefault="007909D7" w:rsidP="00624CBF">
            <w:pPr>
              <w:jc w:val="both"/>
              <w:rPr>
                <w:rFonts w:ascii="Century" w:hAnsi="Century" w:cs="Arial"/>
                <w:color w:val="333333"/>
                <w:sz w:val="22"/>
                <w:szCs w:val="22"/>
              </w:rPr>
            </w:pPr>
            <w:r w:rsidRPr="00D20656">
              <w:rPr>
                <w:rFonts w:ascii="Century" w:hAnsi="Century" w:cs="Arial"/>
                <w:color w:val="333333"/>
                <w:sz w:val="22"/>
                <w:szCs w:val="22"/>
              </w:rPr>
              <w:t>The following table represents the contribution amounts for the last five years.</w:t>
            </w:r>
          </w:p>
          <w:p w:rsidR="007909D7" w:rsidRPr="00D20656" w:rsidRDefault="007909D7" w:rsidP="00624CBF">
            <w:pPr>
              <w:jc w:val="both"/>
              <w:rPr>
                <w:rFonts w:ascii="Century" w:hAnsi="Century" w:cs="Arial"/>
                <w:color w:val="333333"/>
                <w:sz w:val="22"/>
                <w:szCs w:val="22"/>
              </w:rPr>
            </w:pPr>
          </w:p>
        </w:tc>
      </w:tr>
      <w:tr w:rsidR="007909D7" w:rsidRPr="00B10D90" w:rsidTr="00441D50">
        <w:trPr>
          <w:gridAfter w:val="1"/>
          <w:wAfter w:w="20" w:type="dxa"/>
        </w:trPr>
        <w:tc>
          <w:tcPr>
            <w:tcW w:w="9838" w:type="dxa"/>
            <w:gridSpan w:val="15"/>
          </w:tcPr>
          <w:p w:rsidR="007909D7" w:rsidRPr="00D20656" w:rsidRDefault="007909D7" w:rsidP="004F17C4">
            <w:pPr>
              <w:pStyle w:val="Caption"/>
              <w:jc w:val="center"/>
              <w:rPr>
                <w:rFonts w:ascii="Century" w:hAnsi="Century"/>
                <w:b w:val="0"/>
                <w:i/>
                <w:iCs/>
                <w:color w:val="000080"/>
              </w:rPr>
            </w:pPr>
            <w:r w:rsidRPr="00D20656">
              <w:rPr>
                <w:rFonts w:ascii="Century" w:hAnsi="Century"/>
                <w:color w:val="000080"/>
              </w:rPr>
              <w:t xml:space="preserve">Tablo 4.4.5: </w:t>
            </w:r>
            <w:r w:rsidRPr="00D20656">
              <w:rPr>
                <w:rFonts w:ascii="Century" w:hAnsi="Century"/>
                <w:bCs w:val="0"/>
                <w:color w:val="000080"/>
              </w:rPr>
              <w:t xml:space="preserve">Katkı Payı Tutarına Göre Dağılım – </w:t>
            </w:r>
            <w:r w:rsidRPr="00D20656">
              <w:rPr>
                <w:rFonts w:ascii="Century" w:hAnsi="Century"/>
                <w:b w:val="0"/>
                <w:i/>
                <w:iCs/>
                <w:color w:val="000080"/>
              </w:rPr>
              <w:t>Dist. of Cont. According to Contribution Amount</w:t>
            </w:r>
          </w:p>
          <w:p w:rsidR="007909D7" w:rsidRPr="00D20656" w:rsidRDefault="007909D7" w:rsidP="00D4572E">
            <w:pPr>
              <w:tabs>
                <w:tab w:val="left" w:pos="9480"/>
              </w:tabs>
              <w:rPr>
                <w:rFonts w:ascii="Century" w:hAnsi="Century"/>
                <w:sz w:val="18"/>
                <w:szCs w:val="18"/>
              </w:rPr>
            </w:pPr>
            <w:r w:rsidRPr="00D20656">
              <w:rPr>
                <w:rFonts w:ascii="Century" w:hAnsi="Century"/>
                <w:noProof/>
                <w:sz w:val="18"/>
                <w:szCs w:val="18"/>
              </w:rPr>
              <w:drawing>
                <wp:inline distT="0" distB="0" distL="0" distR="0" wp14:anchorId="1FED5BCA" wp14:editId="6FE71FD5">
                  <wp:extent cx="6106795" cy="8191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06795" cy="819150"/>
                          </a:xfrm>
                          <a:prstGeom prst="rect">
                            <a:avLst/>
                          </a:prstGeom>
                          <a:noFill/>
                          <a:ln>
                            <a:noFill/>
                          </a:ln>
                        </pic:spPr>
                      </pic:pic>
                    </a:graphicData>
                  </a:graphic>
                </wp:inline>
              </w:drawing>
            </w:r>
          </w:p>
        </w:tc>
      </w:tr>
      <w:tr w:rsidR="007909D7" w:rsidRPr="00B10D90" w:rsidTr="00441D50">
        <w:trPr>
          <w:gridAfter w:val="1"/>
          <w:wAfter w:w="20" w:type="dxa"/>
        </w:trPr>
        <w:tc>
          <w:tcPr>
            <w:tcW w:w="4817" w:type="dxa"/>
            <w:gridSpan w:val="2"/>
          </w:tcPr>
          <w:p w:rsidR="007909D7" w:rsidRPr="00745AE4" w:rsidRDefault="007909D7" w:rsidP="000F6676">
            <w:pPr>
              <w:jc w:val="both"/>
              <w:rPr>
                <w:rFonts w:ascii="Century" w:hAnsi="Century"/>
                <w:sz w:val="22"/>
                <w:szCs w:val="22"/>
              </w:rPr>
            </w:pPr>
          </w:p>
          <w:p w:rsidR="007909D7" w:rsidRPr="00745AE4" w:rsidRDefault="007909D7" w:rsidP="000F6676">
            <w:pPr>
              <w:jc w:val="both"/>
              <w:rPr>
                <w:rFonts w:ascii="Century" w:hAnsi="Century"/>
                <w:sz w:val="22"/>
                <w:szCs w:val="22"/>
              </w:rPr>
            </w:pPr>
          </w:p>
          <w:p w:rsidR="007909D7" w:rsidRPr="00745AE4" w:rsidRDefault="007909D7" w:rsidP="000F6676">
            <w:pPr>
              <w:jc w:val="both"/>
              <w:rPr>
                <w:rFonts w:ascii="Century" w:hAnsi="Century"/>
                <w:sz w:val="22"/>
                <w:szCs w:val="22"/>
              </w:rPr>
            </w:pPr>
          </w:p>
          <w:p w:rsidR="007909D7" w:rsidRPr="00745AE4" w:rsidRDefault="007909D7" w:rsidP="000F6676">
            <w:pPr>
              <w:jc w:val="both"/>
              <w:rPr>
                <w:rFonts w:ascii="Century" w:hAnsi="Century"/>
                <w:sz w:val="22"/>
                <w:szCs w:val="22"/>
              </w:rPr>
            </w:pPr>
          </w:p>
          <w:p w:rsidR="007909D7" w:rsidRPr="00745AE4" w:rsidRDefault="007909D7" w:rsidP="000F6676">
            <w:pPr>
              <w:jc w:val="both"/>
              <w:rPr>
                <w:rFonts w:ascii="Century" w:hAnsi="Century"/>
                <w:sz w:val="22"/>
                <w:szCs w:val="22"/>
              </w:rPr>
            </w:pPr>
            <w:r w:rsidRPr="00745AE4">
              <w:rPr>
                <w:rFonts w:ascii="Century" w:hAnsi="Century"/>
                <w:sz w:val="22"/>
                <w:szCs w:val="22"/>
              </w:rPr>
              <w:lastRenderedPageBreak/>
              <w:t>4632 sayılı Bireysel Emeklilik Tasarruf ve Yatırım Sistemi Kanunu’nun 1 Ocak 2017 tarihinde yürürlüğe giren otomatik katılıma ilişkin hükümleri uyarınca, işverenler çalışanlarını Otomatik Katılım Sistemi’ne (OKS) dahil etmekle yükümlüdür.</w:t>
            </w:r>
          </w:p>
          <w:p w:rsidR="007909D7" w:rsidRPr="00745AE4" w:rsidRDefault="007909D7" w:rsidP="000F6676">
            <w:pPr>
              <w:jc w:val="both"/>
              <w:rPr>
                <w:rFonts w:ascii="Century" w:hAnsi="Century"/>
                <w:sz w:val="22"/>
                <w:szCs w:val="22"/>
              </w:rPr>
            </w:pPr>
          </w:p>
          <w:p w:rsidR="007909D7" w:rsidRDefault="007909D7" w:rsidP="00745AE4">
            <w:pPr>
              <w:jc w:val="both"/>
              <w:rPr>
                <w:rFonts w:ascii="Century" w:hAnsi="Century"/>
                <w:sz w:val="22"/>
                <w:szCs w:val="22"/>
              </w:rPr>
            </w:pPr>
            <w:r w:rsidRPr="00745AE4">
              <w:rPr>
                <w:rFonts w:ascii="Century" w:hAnsi="Century"/>
                <w:sz w:val="22"/>
                <w:szCs w:val="22"/>
              </w:rPr>
              <w:t xml:space="preserve">31.12.2018 tarihi itibariyle sistem dahilindeki çalışan sayısı </w:t>
            </w:r>
            <w:r w:rsidR="00117787">
              <w:rPr>
                <w:rFonts w:ascii="Century" w:hAnsi="Century"/>
                <w:sz w:val="22"/>
                <w:szCs w:val="22"/>
              </w:rPr>
              <w:t>5</w:t>
            </w:r>
            <w:proofErr w:type="gramStart"/>
            <w:r w:rsidR="00117787">
              <w:rPr>
                <w:rFonts w:ascii="Century" w:hAnsi="Century"/>
                <w:sz w:val="22"/>
                <w:szCs w:val="22"/>
              </w:rPr>
              <w:t>,0</w:t>
            </w:r>
            <w:proofErr w:type="gramEnd"/>
            <w:r w:rsidR="00117787">
              <w:rPr>
                <w:rFonts w:ascii="Century" w:hAnsi="Century"/>
                <w:sz w:val="22"/>
                <w:szCs w:val="22"/>
              </w:rPr>
              <w:t xml:space="preserve"> milyon</w:t>
            </w:r>
            <w:r w:rsidRPr="00745AE4">
              <w:rPr>
                <w:rFonts w:ascii="Century" w:hAnsi="Century"/>
                <w:sz w:val="22"/>
                <w:szCs w:val="22"/>
              </w:rPr>
              <w:t xml:space="preserve"> kişiye, sözleşme</w:t>
            </w:r>
            <w:r>
              <w:rPr>
                <w:rFonts w:ascii="Century" w:hAnsi="Century"/>
                <w:sz w:val="22"/>
                <w:szCs w:val="22"/>
              </w:rPr>
              <w:t>/sertifika</w:t>
            </w:r>
            <w:r w:rsidR="00117787">
              <w:rPr>
                <w:rFonts w:ascii="Century" w:hAnsi="Century"/>
                <w:sz w:val="22"/>
                <w:szCs w:val="22"/>
              </w:rPr>
              <w:t xml:space="preserve"> sayısı 5,2 milyon </w:t>
            </w:r>
            <w:r w:rsidRPr="00745AE4">
              <w:rPr>
                <w:rFonts w:ascii="Century" w:hAnsi="Century"/>
                <w:sz w:val="22"/>
                <w:szCs w:val="22"/>
              </w:rPr>
              <w:t>adede, fon tutarı ise 4,7</w:t>
            </w:r>
            <w:r>
              <w:rPr>
                <w:rFonts w:ascii="Century" w:hAnsi="Century"/>
                <w:sz w:val="22"/>
                <w:szCs w:val="22"/>
              </w:rPr>
              <w:t xml:space="preserve"> </w:t>
            </w:r>
            <w:r w:rsidRPr="00745AE4">
              <w:rPr>
                <w:rFonts w:ascii="Century" w:hAnsi="Century"/>
                <w:sz w:val="22"/>
                <w:szCs w:val="22"/>
              </w:rPr>
              <w:t>milyar TL’ye ulaşmıştır.</w:t>
            </w:r>
          </w:p>
          <w:p w:rsidR="00C175CF" w:rsidRDefault="00C175CF" w:rsidP="00745AE4">
            <w:pPr>
              <w:jc w:val="both"/>
              <w:rPr>
                <w:rFonts w:ascii="Century" w:hAnsi="Century"/>
                <w:sz w:val="22"/>
                <w:szCs w:val="22"/>
              </w:rPr>
            </w:pPr>
          </w:p>
          <w:p w:rsidR="00C175CF" w:rsidRDefault="00C175CF" w:rsidP="00745AE4">
            <w:pPr>
              <w:jc w:val="both"/>
              <w:rPr>
                <w:rFonts w:ascii="Century" w:hAnsi="Century"/>
                <w:sz w:val="22"/>
                <w:szCs w:val="22"/>
              </w:rPr>
            </w:pPr>
          </w:p>
          <w:p w:rsidR="00C175CF" w:rsidRDefault="00C175CF" w:rsidP="00745AE4">
            <w:pPr>
              <w:jc w:val="both"/>
              <w:rPr>
                <w:rFonts w:ascii="Century" w:hAnsi="Century"/>
                <w:sz w:val="22"/>
                <w:szCs w:val="22"/>
              </w:rPr>
            </w:pPr>
          </w:p>
          <w:p w:rsidR="00C175CF" w:rsidRDefault="00C175CF" w:rsidP="00745AE4">
            <w:pPr>
              <w:jc w:val="both"/>
              <w:rPr>
                <w:rFonts w:ascii="Century" w:hAnsi="Century"/>
                <w:sz w:val="22"/>
                <w:szCs w:val="22"/>
              </w:rPr>
            </w:pPr>
          </w:p>
          <w:p w:rsidR="00441D50" w:rsidRPr="00745AE4" w:rsidRDefault="00441D50" w:rsidP="00745AE4">
            <w:pPr>
              <w:jc w:val="both"/>
              <w:rPr>
                <w:rFonts w:ascii="Century" w:hAnsi="Century"/>
                <w:sz w:val="22"/>
                <w:szCs w:val="22"/>
              </w:rPr>
            </w:pPr>
          </w:p>
        </w:tc>
        <w:tc>
          <w:tcPr>
            <w:tcW w:w="318" w:type="dxa"/>
            <w:gridSpan w:val="7"/>
          </w:tcPr>
          <w:p w:rsidR="007909D7" w:rsidRPr="00745AE4" w:rsidRDefault="007909D7" w:rsidP="000F6676">
            <w:pPr>
              <w:rPr>
                <w:rFonts w:ascii="Century" w:hAnsi="Century"/>
                <w:sz w:val="22"/>
                <w:szCs w:val="22"/>
              </w:rPr>
            </w:pPr>
          </w:p>
        </w:tc>
        <w:tc>
          <w:tcPr>
            <w:tcW w:w="4703" w:type="dxa"/>
            <w:gridSpan w:val="6"/>
          </w:tcPr>
          <w:p w:rsidR="007909D7" w:rsidRPr="00745AE4" w:rsidRDefault="007909D7" w:rsidP="000F6676">
            <w:pPr>
              <w:jc w:val="both"/>
              <w:rPr>
                <w:rFonts w:ascii="Century" w:hAnsi="Century"/>
                <w:color w:val="333333"/>
                <w:sz w:val="22"/>
                <w:szCs w:val="22"/>
              </w:rPr>
            </w:pPr>
          </w:p>
          <w:p w:rsidR="007909D7" w:rsidRPr="00745AE4" w:rsidRDefault="007909D7" w:rsidP="000F6676">
            <w:pPr>
              <w:jc w:val="both"/>
              <w:rPr>
                <w:rFonts w:ascii="Century" w:hAnsi="Century"/>
                <w:color w:val="333333"/>
                <w:sz w:val="22"/>
                <w:szCs w:val="22"/>
              </w:rPr>
            </w:pPr>
          </w:p>
          <w:p w:rsidR="007909D7" w:rsidRPr="00745AE4" w:rsidRDefault="007909D7" w:rsidP="000F6676">
            <w:pPr>
              <w:jc w:val="both"/>
              <w:rPr>
                <w:rFonts w:ascii="Century" w:hAnsi="Century"/>
                <w:color w:val="333333"/>
                <w:sz w:val="22"/>
                <w:szCs w:val="22"/>
              </w:rPr>
            </w:pPr>
          </w:p>
          <w:p w:rsidR="007909D7" w:rsidRPr="00745AE4" w:rsidRDefault="007909D7" w:rsidP="000F6676">
            <w:pPr>
              <w:jc w:val="both"/>
              <w:rPr>
                <w:rFonts w:ascii="Century" w:hAnsi="Century"/>
                <w:color w:val="333333"/>
                <w:sz w:val="22"/>
                <w:szCs w:val="22"/>
              </w:rPr>
            </w:pPr>
          </w:p>
          <w:p w:rsidR="007909D7" w:rsidRPr="00745AE4" w:rsidRDefault="007909D7" w:rsidP="000F6676">
            <w:pPr>
              <w:jc w:val="both"/>
              <w:rPr>
                <w:rFonts w:ascii="Century" w:hAnsi="Century"/>
                <w:color w:val="333333"/>
                <w:sz w:val="22"/>
                <w:szCs w:val="22"/>
              </w:rPr>
            </w:pPr>
            <w:r w:rsidRPr="00745AE4">
              <w:rPr>
                <w:rFonts w:ascii="Century" w:hAnsi="Century"/>
                <w:color w:val="333333"/>
                <w:sz w:val="22"/>
                <w:szCs w:val="22"/>
              </w:rPr>
              <w:lastRenderedPageBreak/>
              <w:t>According to the changing principles of the Private Pension Savings and Investment Law about auto enrollment which came into force by January 1, 2017, employers have to incorporate their employees into Auto Enrollment System.</w:t>
            </w:r>
          </w:p>
          <w:p w:rsidR="007909D7" w:rsidRPr="00745AE4" w:rsidRDefault="007909D7" w:rsidP="000F6676">
            <w:pPr>
              <w:jc w:val="both"/>
              <w:rPr>
                <w:rFonts w:ascii="Century" w:hAnsi="Century"/>
                <w:color w:val="333333"/>
                <w:sz w:val="22"/>
                <w:szCs w:val="22"/>
              </w:rPr>
            </w:pPr>
          </w:p>
          <w:p w:rsidR="00441D50" w:rsidRDefault="007909D7" w:rsidP="00745AE4">
            <w:pPr>
              <w:jc w:val="both"/>
              <w:rPr>
                <w:rFonts w:ascii="Century" w:hAnsi="Century"/>
                <w:color w:val="333333"/>
                <w:sz w:val="22"/>
                <w:szCs w:val="22"/>
              </w:rPr>
            </w:pPr>
            <w:r w:rsidRPr="00745AE4">
              <w:rPr>
                <w:rFonts w:ascii="Century" w:hAnsi="Century"/>
                <w:color w:val="333333"/>
                <w:sz w:val="22"/>
                <w:szCs w:val="22"/>
              </w:rPr>
              <w:t>By December 31, 2018, the number of participants in the system has reached 5</w:t>
            </w:r>
            <w:proofErr w:type="gramStart"/>
            <w:r w:rsidRPr="00745AE4">
              <w:rPr>
                <w:rFonts w:ascii="Century" w:hAnsi="Century"/>
                <w:color w:val="333333"/>
                <w:sz w:val="22"/>
                <w:szCs w:val="22"/>
              </w:rPr>
              <w:t>,</w:t>
            </w:r>
            <w:r w:rsidR="00117787">
              <w:rPr>
                <w:rFonts w:ascii="Century" w:hAnsi="Century"/>
                <w:color w:val="333333"/>
                <w:sz w:val="22"/>
                <w:szCs w:val="22"/>
              </w:rPr>
              <w:t>0</w:t>
            </w:r>
            <w:proofErr w:type="gramEnd"/>
            <w:r w:rsidRPr="00745AE4">
              <w:rPr>
                <w:rFonts w:ascii="Century" w:hAnsi="Century"/>
                <w:color w:val="333333"/>
                <w:sz w:val="22"/>
                <w:szCs w:val="22"/>
              </w:rPr>
              <w:t xml:space="preserve"> </w:t>
            </w:r>
            <w:r w:rsidR="00117787">
              <w:rPr>
                <w:rFonts w:ascii="Century" w:hAnsi="Century"/>
                <w:color w:val="333333"/>
                <w:sz w:val="22"/>
                <w:szCs w:val="22"/>
              </w:rPr>
              <w:t xml:space="preserve">million </w:t>
            </w:r>
            <w:r w:rsidRPr="00745AE4">
              <w:rPr>
                <w:rFonts w:ascii="Century" w:hAnsi="Century"/>
                <w:color w:val="333333"/>
                <w:sz w:val="22"/>
                <w:szCs w:val="22"/>
              </w:rPr>
              <w:t>people, with 5,</w:t>
            </w:r>
            <w:r w:rsidR="00117787">
              <w:rPr>
                <w:rFonts w:ascii="Century" w:hAnsi="Century"/>
                <w:color w:val="333333"/>
                <w:sz w:val="22"/>
                <w:szCs w:val="22"/>
              </w:rPr>
              <w:t>2</w:t>
            </w:r>
            <w:r w:rsidRPr="00745AE4">
              <w:rPr>
                <w:rFonts w:ascii="Century" w:hAnsi="Century"/>
                <w:color w:val="333333"/>
                <w:sz w:val="22"/>
                <w:szCs w:val="22"/>
              </w:rPr>
              <w:t xml:space="preserve"> </w:t>
            </w:r>
            <w:r w:rsidR="00117787">
              <w:rPr>
                <w:rFonts w:ascii="Century" w:hAnsi="Century"/>
                <w:color w:val="333333"/>
                <w:sz w:val="22"/>
                <w:szCs w:val="22"/>
              </w:rPr>
              <w:t xml:space="preserve">million </w:t>
            </w:r>
            <w:r>
              <w:rPr>
                <w:rFonts w:ascii="Century" w:hAnsi="Century"/>
                <w:color w:val="333333"/>
                <w:sz w:val="22"/>
                <w:szCs w:val="22"/>
              </w:rPr>
              <w:t xml:space="preserve">contracts and </w:t>
            </w:r>
            <w:r w:rsidRPr="00745AE4">
              <w:rPr>
                <w:rFonts w:ascii="AbakuTLSymSans" w:hAnsi="AbakuTLSymSans" w:cs="Arial"/>
                <w:bCs/>
                <w:color w:val="333333"/>
                <w:sz w:val="20"/>
                <w:szCs w:val="20"/>
              </w:rPr>
              <w:t>¨</w:t>
            </w:r>
            <w:r w:rsidRPr="00745AE4">
              <w:rPr>
                <w:rFonts w:ascii="Century" w:hAnsi="Century"/>
                <w:color w:val="333333"/>
                <w:sz w:val="22"/>
                <w:szCs w:val="22"/>
              </w:rPr>
              <w:t xml:space="preserve">4,7 billion of accumulated funds. </w:t>
            </w:r>
          </w:p>
          <w:p w:rsidR="00C175CF" w:rsidRDefault="00C175CF" w:rsidP="00745AE4">
            <w:pPr>
              <w:jc w:val="both"/>
              <w:rPr>
                <w:rFonts w:ascii="Century" w:hAnsi="Century"/>
                <w:color w:val="333333"/>
                <w:sz w:val="22"/>
                <w:szCs w:val="22"/>
              </w:rPr>
            </w:pPr>
          </w:p>
          <w:p w:rsidR="00C175CF" w:rsidRDefault="00C175CF" w:rsidP="00745AE4">
            <w:pPr>
              <w:jc w:val="both"/>
              <w:rPr>
                <w:rFonts w:ascii="Century" w:hAnsi="Century"/>
                <w:color w:val="333333"/>
                <w:sz w:val="22"/>
                <w:szCs w:val="22"/>
              </w:rPr>
            </w:pPr>
          </w:p>
          <w:p w:rsidR="00441D50" w:rsidRDefault="00441D50" w:rsidP="00745AE4">
            <w:pPr>
              <w:jc w:val="both"/>
              <w:rPr>
                <w:rFonts w:ascii="Century" w:hAnsi="Century"/>
                <w:color w:val="333333"/>
                <w:sz w:val="22"/>
                <w:szCs w:val="22"/>
              </w:rPr>
            </w:pPr>
          </w:p>
          <w:p w:rsidR="00C175CF" w:rsidRDefault="00C175CF" w:rsidP="00745AE4">
            <w:pPr>
              <w:jc w:val="both"/>
              <w:rPr>
                <w:rFonts w:ascii="Century" w:hAnsi="Century"/>
                <w:color w:val="333333"/>
                <w:sz w:val="22"/>
                <w:szCs w:val="22"/>
              </w:rPr>
            </w:pPr>
          </w:p>
          <w:p w:rsidR="00C175CF" w:rsidRDefault="00C175CF" w:rsidP="00745AE4">
            <w:pPr>
              <w:jc w:val="both"/>
              <w:rPr>
                <w:rFonts w:ascii="Century" w:hAnsi="Century"/>
                <w:color w:val="333333"/>
                <w:sz w:val="22"/>
                <w:szCs w:val="22"/>
              </w:rPr>
            </w:pPr>
          </w:p>
          <w:p w:rsidR="00C175CF" w:rsidRDefault="00C175CF" w:rsidP="00745AE4">
            <w:pPr>
              <w:jc w:val="both"/>
              <w:rPr>
                <w:rFonts w:ascii="Century" w:hAnsi="Century"/>
                <w:color w:val="333333"/>
                <w:sz w:val="22"/>
                <w:szCs w:val="22"/>
              </w:rPr>
            </w:pPr>
          </w:p>
          <w:p w:rsidR="00C175CF" w:rsidRDefault="00C175CF" w:rsidP="00745AE4">
            <w:pPr>
              <w:jc w:val="both"/>
              <w:rPr>
                <w:rFonts w:ascii="Century" w:hAnsi="Century"/>
                <w:color w:val="333333"/>
                <w:sz w:val="22"/>
                <w:szCs w:val="22"/>
              </w:rPr>
            </w:pPr>
          </w:p>
          <w:p w:rsidR="00C175CF" w:rsidRPr="00745AE4" w:rsidRDefault="00C175CF" w:rsidP="00745AE4">
            <w:pPr>
              <w:jc w:val="both"/>
              <w:rPr>
                <w:rFonts w:ascii="Century" w:hAnsi="Century"/>
                <w:color w:val="333333"/>
                <w:sz w:val="22"/>
                <w:szCs w:val="22"/>
              </w:rPr>
            </w:pPr>
          </w:p>
        </w:tc>
      </w:tr>
      <w:tr w:rsidR="007909D7" w:rsidRPr="00B10D90" w:rsidTr="00441D50">
        <w:trPr>
          <w:gridAfter w:val="1"/>
          <w:wAfter w:w="20" w:type="dxa"/>
        </w:trPr>
        <w:tc>
          <w:tcPr>
            <w:tcW w:w="4817" w:type="dxa"/>
            <w:gridSpan w:val="2"/>
          </w:tcPr>
          <w:p w:rsidR="007909D7" w:rsidRPr="00443A8E" w:rsidRDefault="007909D7" w:rsidP="00764E8A">
            <w:pPr>
              <w:pStyle w:val="Style2"/>
              <w:numPr>
                <w:ilvl w:val="0"/>
                <w:numId w:val="1"/>
              </w:numPr>
              <w:tabs>
                <w:tab w:val="clear" w:pos="752"/>
              </w:tabs>
              <w:spacing w:before="0" w:after="0"/>
              <w:ind w:left="252" w:hanging="240"/>
              <w:jc w:val="both"/>
              <w:rPr>
                <w:bCs w:val="0"/>
                <w:iCs/>
                <w:color w:val="000080"/>
                <w:sz w:val="22"/>
                <w:szCs w:val="22"/>
              </w:rPr>
            </w:pPr>
            <w:bookmarkStart w:id="262" w:name="_Toc267481113"/>
            <w:bookmarkStart w:id="263" w:name="_Toc327793360"/>
            <w:bookmarkStart w:id="264" w:name="_Toc358380219"/>
            <w:bookmarkStart w:id="265" w:name="_Toc12957691"/>
            <w:r w:rsidRPr="00443A8E">
              <w:rPr>
                <w:bCs w:val="0"/>
                <w:iCs/>
                <w:color w:val="000080"/>
                <w:sz w:val="22"/>
                <w:szCs w:val="22"/>
              </w:rPr>
              <w:lastRenderedPageBreak/>
              <w:t>SİGORTACILIK VE BİREYSEL EMEKLİLİK ALANINDA FAALİYET GÖSTEREN DİĞER KURULUŞLAR</w:t>
            </w:r>
            <w:bookmarkEnd w:id="262"/>
            <w:bookmarkEnd w:id="263"/>
            <w:bookmarkEnd w:id="264"/>
            <w:bookmarkEnd w:id="265"/>
          </w:p>
          <w:p w:rsidR="007909D7" w:rsidRPr="00443A8E" w:rsidRDefault="007909D7" w:rsidP="005E4C66">
            <w:pPr>
              <w:pStyle w:val="NormalWeb"/>
              <w:spacing w:before="0" w:beforeAutospacing="0" w:after="0" w:afterAutospacing="0"/>
              <w:jc w:val="both"/>
              <w:rPr>
                <w:rFonts w:ascii="Century" w:hAnsi="Century"/>
                <w:b/>
                <w:sz w:val="22"/>
                <w:szCs w:val="22"/>
              </w:rPr>
            </w:pPr>
          </w:p>
          <w:p w:rsidR="007909D7" w:rsidRPr="00443A8E" w:rsidRDefault="007909D7" w:rsidP="00764E8A">
            <w:pPr>
              <w:pStyle w:val="Heading2"/>
              <w:keepNext w:val="0"/>
              <w:numPr>
                <w:ilvl w:val="1"/>
                <w:numId w:val="1"/>
              </w:numPr>
              <w:tabs>
                <w:tab w:val="left" w:pos="252"/>
                <w:tab w:val="left" w:pos="394"/>
              </w:tabs>
              <w:spacing w:before="0" w:after="0"/>
              <w:ind w:left="0"/>
              <w:jc w:val="both"/>
              <w:rPr>
                <w:rFonts w:ascii="Century" w:hAnsi="Century"/>
                <w:bCs w:val="0"/>
                <w:i w:val="0"/>
                <w:color w:val="000080"/>
                <w:kern w:val="24"/>
                <w:sz w:val="22"/>
                <w:szCs w:val="22"/>
              </w:rPr>
            </w:pPr>
            <w:bookmarkStart w:id="266" w:name="_Toc170253097"/>
            <w:bookmarkStart w:id="267" w:name="_Toc198287712"/>
            <w:bookmarkStart w:id="268" w:name="_Toc267481114"/>
            <w:bookmarkStart w:id="269" w:name="_Toc327793361"/>
            <w:bookmarkStart w:id="270" w:name="_Toc358380220"/>
            <w:bookmarkStart w:id="271" w:name="_Toc12957692"/>
            <w:r w:rsidRPr="00443A8E">
              <w:rPr>
                <w:rFonts w:ascii="Century" w:hAnsi="Century"/>
                <w:bCs w:val="0"/>
                <w:i w:val="0"/>
                <w:color w:val="000080"/>
                <w:kern w:val="24"/>
                <w:sz w:val="22"/>
                <w:szCs w:val="22"/>
              </w:rPr>
              <w:t>Doğal Afet Sigortaları Kurumu (DASK)</w:t>
            </w:r>
            <w:bookmarkEnd w:id="266"/>
            <w:bookmarkEnd w:id="267"/>
            <w:bookmarkEnd w:id="268"/>
            <w:bookmarkEnd w:id="269"/>
            <w:bookmarkEnd w:id="270"/>
            <w:bookmarkEnd w:id="271"/>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17 Ağustos 1999 tarihinde Marmara Bölgesinde meydana gelen depremden sonra deprem zararlarının en aza indirilmesi amacıyla ülkemizde Zorunlu Deprem Sigortasına ilişkin düzenleme yapılmıştır.</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 xml:space="preserve">27 Mayıs 1999 tarihli ve 4452 sayılı Kanunun verdiği yetkiye dayanılarak hazırlanan 587 sayılı "Zorunlu Deprem Sigortasına Dair Kanun Hükmünde Kararname" 27 Aralık 1999 tarihli ve 23919 (mükerrer) sayılı Resmî Gazete’de yayımlanarak yürürlüğe girmiştir. </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 xml:space="preserve">Söz konusu Kanun Hükmünde Kararname ile 27 Eylül 2000 tarihinden itibaren kapsamdaki meskenler için deprem sigortası yaptırma zorunluluğu getirilmiş olup, bu sigortayı sunmak üzere kamu tüzel kişiliğini haiz Doğal Afet Sigortaları Kurumu (DASK) kurulmuş ve aynı tarihte faaliyete başlamıştır. </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Zorunlu Deprem Sigortası, DASK nam ve hesabına sözleşme yapmaya yetkili sigorta şirketleri ve bu şirketlerin acenteleri tarafından yapılmaktadır.</w:t>
            </w:r>
          </w:p>
          <w:p w:rsidR="007909D7" w:rsidRPr="00443A8E" w:rsidRDefault="007909D7" w:rsidP="00687E46">
            <w:pPr>
              <w:pStyle w:val="NormalWeb"/>
              <w:spacing w:before="0" w:beforeAutospacing="0" w:after="0" w:afterAutospacing="0"/>
              <w:jc w:val="both"/>
              <w:rPr>
                <w:rFonts w:ascii="Century" w:hAnsi="Century"/>
                <w:sz w:val="18"/>
                <w:szCs w:val="18"/>
              </w:rPr>
            </w:pPr>
          </w:p>
          <w:p w:rsidR="007909D7" w:rsidRPr="00443A8E" w:rsidRDefault="007909D7" w:rsidP="005E4C66">
            <w:pPr>
              <w:pStyle w:val="NormalWeb"/>
              <w:spacing w:before="0" w:beforeAutospacing="0" w:after="0" w:afterAutospacing="0"/>
              <w:jc w:val="both"/>
              <w:rPr>
                <w:rFonts w:ascii="Century" w:hAnsi="Century"/>
                <w:sz w:val="22"/>
                <w:szCs w:val="22"/>
              </w:rPr>
            </w:pPr>
            <w:r w:rsidRPr="00443A8E">
              <w:rPr>
                <w:rFonts w:ascii="Century" w:hAnsi="Century"/>
                <w:sz w:val="22"/>
                <w:szCs w:val="22"/>
              </w:rPr>
              <w:t>2012 yılında kabul edilen 6305 sayılı Afet Sigortaları Kanunu ile 587 sayılı Kararname yürürlükten kaldırılmış ve DASK’a sel, yer kayması, fırtına, dolu, don, çığ düşmesi vb. doğal afetler için kamu yararı açısından gerek görülmesi hâlinde sigortacılık ilkeleri gözetilerek sigorta veya reasürans teminatı verilebilme yetkisi tanınmıştır.</w:t>
            </w:r>
          </w:p>
          <w:p w:rsidR="007909D7" w:rsidRPr="00443A8E" w:rsidRDefault="007909D7" w:rsidP="00687E46">
            <w:pPr>
              <w:pStyle w:val="NormalWeb"/>
              <w:spacing w:before="0" w:beforeAutospacing="0" w:after="0" w:afterAutospacing="0"/>
              <w:jc w:val="both"/>
              <w:rPr>
                <w:rFonts w:ascii="Century" w:hAnsi="Century"/>
                <w:sz w:val="18"/>
                <w:szCs w:val="18"/>
              </w:rPr>
            </w:pPr>
          </w:p>
          <w:p w:rsidR="007909D7" w:rsidRPr="00443A8E" w:rsidRDefault="007909D7" w:rsidP="00C96455">
            <w:pPr>
              <w:pStyle w:val="NormalWeb"/>
              <w:spacing w:before="0" w:beforeAutospacing="0" w:after="0" w:afterAutospacing="0"/>
              <w:jc w:val="both"/>
              <w:rPr>
                <w:rFonts w:ascii="Century" w:hAnsi="Century"/>
                <w:sz w:val="22"/>
                <w:szCs w:val="22"/>
              </w:rPr>
            </w:pPr>
            <w:r w:rsidRPr="00443A8E">
              <w:rPr>
                <w:rFonts w:ascii="Century" w:hAnsi="Century"/>
                <w:sz w:val="22"/>
                <w:szCs w:val="22"/>
              </w:rPr>
              <w:t xml:space="preserve">587 sayılı Kanun Hükmünde Kararname’nin 6’ncı maddesi kapsamında T.C. Başbakanlık Hazine Müsteşarlığı ile Eureko Sigorta AŞ arasında 2005 yılında yapılan sözleşme ile DASK’ın teknik ve operasyonel işlerinin yürütülmesi, kurum idarecisi sıfatıyla adı geçen şirket tarafından yerine getirilmeye başlanmıştır. Eureko Sigorta AŞ ile yapılan sözleşme 2015 yılında beş yıllık süre için yenilenmiştir. </w:t>
            </w:r>
          </w:p>
          <w:p w:rsidR="007909D7" w:rsidRPr="00443A8E" w:rsidRDefault="007909D7" w:rsidP="00C96455">
            <w:pPr>
              <w:pStyle w:val="NormalWeb"/>
              <w:spacing w:before="0" w:beforeAutospacing="0" w:after="0" w:afterAutospacing="0"/>
              <w:jc w:val="both"/>
              <w:rPr>
                <w:rFonts w:ascii="Century" w:hAnsi="Century"/>
                <w:sz w:val="22"/>
                <w:szCs w:val="22"/>
              </w:rPr>
            </w:pPr>
            <w:r w:rsidRPr="00443A8E">
              <w:rPr>
                <w:rFonts w:ascii="Century" w:hAnsi="Century"/>
                <w:sz w:val="22"/>
                <w:szCs w:val="22"/>
              </w:rPr>
              <w:lastRenderedPageBreak/>
              <w:t>DASK’dan alınan 1 Ocak - 31 Aralık 201</w:t>
            </w:r>
            <w:r>
              <w:rPr>
                <w:rFonts w:ascii="Century" w:hAnsi="Century"/>
                <w:sz w:val="22"/>
                <w:szCs w:val="22"/>
              </w:rPr>
              <w:t>8</w:t>
            </w:r>
            <w:r w:rsidRPr="00443A8E">
              <w:rPr>
                <w:rFonts w:ascii="Century" w:hAnsi="Century"/>
                <w:sz w:val="22"/>
                <w:szCs w:val="22"/>
              </w:rPr>
              <w:t xml:space="preserve"> dönemini kapsayan genel veriler aşağıda, Kurumun 31 Aralık 201</w:t>
            </w:r>
            <w:r>
              <w:rPr>
                <w:rFonts w:ascii="Century" w:hAnsi="Century"/>
                <w:sz w:val="22"/>
                <w:szCs w:val="22"/>
              </w:rPr>
              <w:t>8</w:t>
            </w:r>
            <w:r w:rsidRPr="00443A8E">
              <w:rPr>
                <w:rFonts w:ascii="Century" w:hAnsi="Century"/>
                <w:sz w:val="22"/>
                <w:szCs w:val="22"/>
              </w:rPr>
              <w:t xml:space="preserve"> tarihli mali tabloları ise Raporun Tablolar kısmında verilmiştir.</w:t>
            </w:r>
          </w:p>
          <w:p w:rsidR="007909D7" w:rsidRPr="00443A8E" w:rsidRDefault="007909D7" w:rsidP="00C96455">
            <w:pPr>
              <w:pStyle w:val="NormalWeb"/>
              <w:spacing w:before="0" w:beforeAutospacing="0" w:after="0" w:afterAutospacing="0"/>
              <w:jc w:val="both"/>
              <w:rPr>
                <w:rFonts w:ascii="Century" w:hAnsi="Century"/>
                <w:sz w:val="22"/>
                <w:szCs w:val="22"/>
              </w:rPr>
            </w:pPr>
          </w:p>
          <w:p w:rsidR="007909D7" w:rsidRPr="00443A8E" w:rsidRDefault="007909D7" w:rsidP="00C96455">
            <w:pPr>
              <w:pStyle w:val="NormalWeb"/>
              <w:spacing w:before="0" w:beforeAutospacing="0" w:after="0" w:afterAutospacing="0"/>
              <w:jc w:val="both"/>
              <w:rPr>
                <w:rFonts w:ascii="Century" w:hAnsi="Century"/>
                <w:sz w:val="6"/>
                <w:szCs w:val="6"/>
              </w:rPr>
            </w:pPr>
          </w:p>
        </w:tc>
        <w:tc>
          <w:tcPr>
            <w:tcW w:w="318" w:type="dxa"/>
            <w:gridSpan w:val="7"/>
          </w:tcPr>
          <w:p w:rsidR="007909D7" w:rsidRPr="00443A8E" w:rsidRDefault="007909D7" w:rsidP="005E4C66">
            <w:pPr>
              <w:pStyle w:val="NormalWeb"/>
              <w:spacing w:before="0" w:beforeAutospacing="0" w:after="0" w:afterAutospacing="0"/>
              <w:jc w:val="both"/>
              <w:rPr>
                <w:rFonts w:ascii="Century" w:hAnsi="Century"/>
                <w:sz w:val="22"/>
                <w:szCs w:val="22"/>
              </w:rPr>
            </w:pPr>
          </w:p>
        </w:tc>
        <w:tc>
          <w:tcPr>
            <w:tcW w:w="4703" w:type="dxa"/>
            <w:gridSpan w:val="6"/>
          </w:tcPr>
          <w:p w:rsidR="007909D7" w:rsidRPr="00443A8E" w:rsidRDefault="007909D7" w:rsidP="005E4C66">
            <w:pPr>
              <w:pStyle w:val="NormalWeb"/>
              <w:spacing w:before="0" w:beforeAutospacing="0" w:after="0" w:afterAutospacing="0"/>
              <w:jc w:val="both"/>
              <w:rPr>
                <w:rFonts w:ascii="Century" w:hAnsi="Century"/>
                <w:b/>
                <w:color w:val="1F497D" w:themeColor="text2"/>
                <w:sz w:val="22"/>
                <w:szCs w:val="22"/>
              </w:rPr>
            </w:pPr>
            <w:r w:rsidRPr="00443A8E">
              <w:rPr>
                <w:rFonts w:ascii="Century" w:hAnsi="Century"/>
                <w:b/>
                <w:color w:val="1F497D" w:themeColor="text2"/>
                <w:sz w:val="22"/>
                <w:szCs w:val="22"/>
              </w:rPr>
              <w:t>5. OTHER INSTITUTIONS IN   INSURANCE AND PRIVATE PENSION  SECTOR</w:t>
            </w:r>
          </w:p>
          <w:p w:rsidR="007909D7" w:rsidRPr="00443A8E" w:rsidRDefault="007909D7" w:rsidP="005E4C66">
            <w:pPr>
              <w:pStyle w:val="NormalWeb"/>
              <w:spacing w:before="0" w:beforeAutospacing="0" w:after="0" w:afterAutospacing="0"/>
              <w:jc w:val="both"/>
              <w:rPr>
                <w:rFonts w:ascii="Century" w:hAnsi="Century"/>
                <w:b/>
                <w:color w:val="1F497D" w:themeColor="text2"/>
                <w:sz w:val="22"/>
                <w:szCs w:val="22"/>
              </w:rPr>
            </w:pPr>
          </w:p>
          <w:p w:rsidR="007909D7" w:rsidRPr="00443A8E" w:rsidRDefault="007909D7" w:rsidP="005E4C66">
            <w:pPr>
              <w:pStyle w:val="NormalWeb"/>
              <w:spacing w:before="0" w:beforeAutospacing="0" w:after="0" w:afterAutospacing="0"/>
              <w:jc w:val="both"/>
              <w:rPr>
                <w:rFonts w:ascii="Century" w:hAnsi="Century"/>
                <w:b/>
                <w:color w:val="1F497D" w:themeColor="text2"/>
                <w:sz w:val="22"/>
                <w:szCs w:val="22"/>
              </w:rPr>
            </w:pPr>
            <w:bookmarkStart w:id="272" w:name="_Toc170569806"/>
            <w:bookmarkStart w:id="273" w:name="_Toc263361447"/>
            <w:r w:rsidRPr="00443A8E">
              <w:rPr>
                <w:rFonts w:ascii="Century" w:hAnsi="Century"/>
                <w:b/>
                <w:color w:val="1F497D" w:themeColor="text2"/>
                <w:sz w:val="22"/>
                <w:szCs w:val="22"/>
              </w:rPr>
              <w:t>5.1.Turkish Catastrophe Insurance Pool (TCIP)</w:t>
            </w:r>
            <w:bookmarkEnd w:id="272"/>
            <w:bookmarkEnd w:id="273"/>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After the Marmara Earthquake that occurred on August 17, 1999, Turkish Government regulated compulsory earthquake insurance to reduce the hazard to minimum.</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5E4C66">
            <w:pPr>
              <w:pStyle w:val="NormalWeb"/>
              <w:spacing w:before="0" w:beforeAutospacing="0" w:after="0" w:afterAutospacing="0"/>
              <w:jc w:val="both"/>
              <w:rPr>
                <w:rFonts w:ascii="Century" w:hAnsi="Century"/>
                <w:sz w:val="22"/>
                <w:szCs w:val="22"/>
              </w:rPr>
            </w:pPr>
            <w:r w:rsidRPr="00443A8E">
              <w:rPr>
                <w:rFonts w:ascii="Century" w:hAnsi="Century"/>
                <w:sz w:val="22"/>
                <w:szCs w:val="22"/>
              </w:rPr>
              <w:t>Due to Authority Bill about Regulation to Take Precautions for Catastrophic Risks, Decree Law about Compulsory Earthquake Insurance numbered 587 was published in the Official Gazette numbered 23919 and dated December 27, 1999 and came into force by the same date.</w:t>
            </w:r>
          </w:p>
          <w:p w:rsidR="007909D7" w:rsidRPr="00443A8E" w:rsidRDefault="007909D7" w:rsidP="005E4C6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With the Decree Law, since September 27, 2000, it has been obligatory to get insured the insurable dwellings. Turkish Catastrophe Insurance Pool (TCIP) possessing legal entity is established as the insurer and started to operate on September 27, 2000.</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687E46">
            <w:pPr>
              <w:pStyle w:val="NormalWeb"/>
              <w:spacing w:before="0" w:beforeAutospacing="0" w:after="0" w:afterAutospacing="0"/>
              <w:jc w:val="both"/>
              <w:rPr>
                <w:rFonts w:ascii="Century" w:hAnsi="Century"/>
                <w:sz w:val="22"/>
                <w:szCs w:val="22"/>
              </w:rPr>
            </w:pPr>
            <w:r w:rsidRPr="00443A8E">
              <w:rPr>
                <w:rFonts w:ascii="Century" w:hAnsi="Century"/>
                <w:sz w:val="22"/>
                <w:szCs w:val="22"/>
              </w:rPr>
              <w:t>Compulsory earthquake insurance policy can only be issued by authorized insurance companies and their agencies in the name and account of TCIP.</w:t>
            </w:r>
          </w:p>
          <w:p w:rsidR="007909D7" w:rsidRPr="00443A8E" w:rsidRDefault="007909D7" w:rsidP="00F71214">
            <w:pPr>
              <w:pStyle w:val="NormalWeb"/>
              <w:spacing w:before="0" w:beforeAutospacing="0" w:after="0" w:afterAutospacing="0"/>
              <w:jc w:val="both"/>
              <w:rPr>
                <w:rFonts w:ascii="Century" w:hAnsi="Century"/>
                <w:sz w:val="22"/>
                <w:szCs w:val="22"/>
              </w:rPr>
            </w:pPr>
          </w:p>
          <w:p w:rsidR="007909D7" w:rsidRPr="00443A8E" w:rsidRDefault="007909D7" w:rsidP="00F71214">
            <w:pPr>
              <w:pStyle w:val="NormalWeb"/>
              <w:spacing w:before="0" w:beforeAutospacing="0" w:after="0" w:afterAutospacing="0"/>
              <w:jc w:val="both"/>
              <w:rPr>
                <w:rFonts w:ascii="Century" w:hAnsi="Century"/>
                <w:sz w:val="22"/>
                <w:szCs w:val="22"/>
              </w:rPr>
            </w:pPr>
            <w:r w:rsidRPr="00443A8E">
              <w:rPr>
                <w:rFonts w:ascii="Century" w:hAnsi="Century"/>
                <w:sz w:val="22"/>
                <w:szCs w:val="22"/>
              </w:rPr>
              <w:t xml:space="preserve">Catastrophe Insurance Law came into force in 2012 and, therefore, Decree Law about Compulsory Earthquake Insurance numbered 587 was annulled. TCIP was authorized to indemnify flood, landslide, frost and freeze, avalanche risks etc. if required for public interest on condition to take into account of insurance principles. </w:t>
            </w:r>
          </w:p>
          <w:p w:rsidR="007909D7" w:rsidRPr="00443A8E" w:rsidRDefault="007909D7" w:rsidP="003F0EED">
            <w:pPr>
              <w:pStyle w:val="NormalWeb"/>
              <w:spacing w:before="0" w:beforeAutospacing="0" w:after="0" w:afterAutospacing="0"/>
              <w:jc w:val="both"/>
              <w:rPr>
                <w:rFonts w:ascii="Century" w:hAnsi="Century"/>
                <w:sz w:val="22"/>
                <w:szCs w:val="22"/>
              </w:rPr>
            </w:pPr>
          </w:p>
          <w:p w:rsidR="007909D7" w:rsidRPr="00443A8E" w:rsidRDefault="007909D7" w:rsidP="003F0EED">
            <w:pPr>
              <w:pStyle w:val="NormalWeb"/>
              <w:spacing w:before="0" w:beforeAutospacing="0" w:after="0" w:afterAutospacing="0"/>
              <w:jc w:val="both"/>
              <w:rPr>
                <w:rFonts w:ascii="Century" w:hAnsi="Century"/>
                <w:sz w:val="22"/>
                <w:szCs w:val="22"/>
              </w:rPr>
            </w:pPr>
            <w:r w:rsidRPr="00443A8E">
              <w:rPr>
                <w:rFonts w:ascii="Century" w:hAnsi="Century"/>
                <w:sz w:val="22"/>
                <w:szCs w:val="22"/>
              </w:rPr>
              <w:t>After the agreement between Turkish Treasury and Eureko Sigorta AŞ in 2005 due to the sixth article of Decree Law numbered 587, Eureko Sigorta AŞ was authorized as operating manager of TCIP as the establishment administrator. Eureko Sigorta has been authorized for another five year in 2010 for the period of 2015 - 2020</w:t>
            </w:r>
          </w:p>
          <w:p w:rsidR="007909D7" w:rsidRPr="00443A8E" w:rsidRDefault="007909D7" w:rsidP="00687E46">
            <w:pPr>
              <w:pStyle w:val="NormalWeb"/>
              <w:spacing w:before="0" w:beforeAutospacing="0" w:after="0" w:afterAutospacing="0"/>
              <w:jc w:val="both"/>
              <w:rPr>
                <w:rFonts w:ascii="Century" w:hAnsi="Century"/>
                <w:sz w:val="22"/>
                <w:szCs w:val="22"/>
              </w:rPr>
            </w:pPr>
          </w:p>
          <w:p w:rsidR="007909D7" w:rsidRPr="00443A8E" w:rsidRDefault="007909D7" w:rsidP="00004A85">
            <w:pPr>
              <w:pStyle w:val="NormalWeb"/>
              <w:spacing w:before="0" w:beforeAutospacing="0" w:after="0" w:afterAutospacing="0"/>
              <w:jc w:val="both"/>
              <w:rPr>
                <w:rFonts w:ascii="Century" w:hAnsi="Century"/>
                <w:sz w:val="6"/>
                <w:szCs w:val="6"/>
              </w:rPr>
            </w:pPr>
            <w:r w:rsidRPr="00443A8E">
              <w:rPr>
                <w:rFonts w:ascii="Century" w:hAnsi="Century"/>
                <w:sz w:val="22"/>
                <w:szCs w:val="22"/>
              </w:rPr>
              <w:lastRenderedPageBreak/>
              <w:t>General indicators of TCIP for the period 01.01.201</w:t>
            </w:r>
            <w:r>
              <w:rPr>
                <w:rFonts w:ascii="Century" w:hAnsi="Century"/>
                <w:sz w:val="22"/>
                <w:szCs w:val="22"/>
              </w:rPr>
              <w:t>8</w:t>
            </w:r>
            <w:r w:rsidRPr="00443A8E">
              <w:rPr>
                <w:rFonts w:ascii="Century" w:hAnsi="Century"/>
                <w:sz w:val="22"/>
                <w:szCs w:val="22"/>
              </w:rPr>
              <w:t xml:space="preserve"> - 12.31.201</w:t>
            </w:r>
            <w:r>
              <w:rPr>
                <w:rFonts w:ascii="Century" w:hAnsi="Century"/>
                <w:sz w:val="22"/>
                <w:szCs w:val="22"/>
              </w:rPr>
              <w:t>8</w:t>
            </w:r>
            <w:r w:rsidRPr="00443A8E">
              <w:rPr>
                <w:rFonts w:ascii="Century" w:hAnsi="Century"/>
                <w:sz w:val="22"/>
                <w:szCs w:val="22"/>
              </w:rPr>
              <w:t xml:space="preserve"> are shown in the table below and financial statements are represented in Tables section of the Report. </w:t>
            </w:r>
          </w:p>
          <w:p w:rsidR="007909D7" w:rsidRPr="00443A8E" w:rsidRDefault="007909D7" w:rsidP="00004A85">
            <w:pPr>
              <w:pStyle w:val="NormalWeb"/>
              <w:spacing w:before="0" w:beforeAutospacing="0" w:after="0" w:afterAutospacing="0"/>
              <w:jc w:val="both"/>
              <w:rPr>
                <w:rFonts w:ascii="Century" w:hAnsi="Century"/>
                <w:sz w:val="6"/>
                <w:szCs w:val="6"/>
              </w:rPr>
            </w:pPr>
          </w:p>
        </w:tc>
      </w:tr>
      <w:tr w:rsidR="007909D7" w:rsidRPr="00B10D90" w:rsidTr="00441D50">
        <w:trPr>
          <w:gridAfter w:val="1"/>
          <w:wAfter w:w="20" w:type="dxa"/>
          <w:trHeight w:val="181"/>
        </w:trPr>
        <w:tc>
          <w:tcPr>
            <w:tcW w:w="9838" w:type="dxa"/>
            <w:gridSpan w:val="15"/>
          </w:tcPr>
          <w:p w:rsidR="007909D7" w:rsidRPr="00443A8E" w:rsidRDefault="007909D7" w:rsidP="001B1A36">
            <w:pPr>
              <w:pStyle w:val="Caption"/>
              <w:jc w:val="center"/>
              <w:rPr>
                <w:rFonts w:ascii="Century" w:hAnsi="Century"/>
                <w:bCs w:val="0"/>
                <w:color w:val="000080"/>
              </w:rPr>
            </w:pPr>
            <w:bookmarkStart w:id="274" w:name="_Toc170665562"/>
            <w:r w:rsidRPr="00443A8E">
              <w:rPr>
                <w:rFonts w:ascii="Century" w:hAnsi="Century"/>
                <w:color w:val="000080"/>
              </w:rPr>
              <w:lastRenderedPageBreak/>
              <w:t xml:space="preserve">Tablo </w:t>
            </w:r>
            <w:r w:rsidRPr="00443A8E">
              <w:rPr>
                <w:rFonts w:ascii="Century" w:hAnsi="Century"/>
                <w:color w:val="000080"/>
              </w:rPr>
              <w:fldChar w:fldCharType="begin"/>
            </w:r>
            <w:r w:rsidRPr="00443A8E">
              <w:rPr>
                <w:rFonts w:ascii="Century" w:hAnsi="Century"/>
                <w:color w:val="000080"/>
              </w:rPr>
              <w:instrText xml:space="preserve"> STYLEREF 2 \s </w:instrText>
            </w:r>
            <w:r w:rsidRPr="00443A8E">
              <w:rPr>
                <w:rFonts w:ascii="Century" w:hAnsi="Century"/>
                <w:color w:val="000080"/>
              </w:rPr>
              <w:fldChar w:fldCharType="separate"/>
            </w:r>
            <w:r w:rsidR="00F57699">
              <w:rPr>
                <w:rFonts w:ascii="Century" w:hAnsi="Century"/>
                <w:noProof/>
                <w:color w:val="000080"/>
              </w:rPr>
              <w:t>5.1</w:t>
            </w:r>
            <w:r w:rsidRPr="00443A8E">
              <w:rPr>
                <w:rFonts w:ascii="Century" w:hAnsi="Century"/>
                <w:color w:val="000080"/>
              </w:rPr>
              <w:fldChar w:fldCharType="end"/>
            </w:r>
            <w:r w:rsidRPr="00443A8E">
              <w:rPr>
                <w:rFonts w:ascii="Century" w:hAnsi="Century"/>
                <w:color w:val="000080"/>
              </w:rPr>
              <w:t>.</w:t>
            </w:r>
            <w:r w:rsidRPr="00443A8E">
              <w:rPr>
                <w:rFonts w:ascii="Century" w:hAnsi="Century"/>
                <w:color w:val="000080"/>
              </w:rPr>
              <w:fldChar w:fldCharType="begin"/>
            </w:r>
            <w:r w:rsidRPr="00443A8E">
              <w:rPr>
                <w:rFonts w:ascii="Century" w:hAnsi="Century"/>
                <w:color w:val="000080"/>
              </w:rPr>
              <w:instrText xml:space="preserve"> SEQ Tablo \* ARABIC \s 2 </w:instrText>
            </w:r>
            <w:r w:rsidRPr="00443A8E">
              <w:rPr>
                <w:rFonts w:ascii="Century" w:hAnsi="Century"/>
                <w:color w:val="000080"/>
              </w:rPr>
              <w:fldChar w:fldCharType="separate"/>
            </w:r>
            <w:r w:rsidR="00F57699">
              <w:rPr>
                <w:rFonts w:ascii="Century" w:hAnsi="Century"/>
                <w:noProof/>
                <w:color w:val="000080"/>
              </w:rPr>
              <w:t>1</w:t>
            </w:r>
            <w:r w:rsidRPr="00443A8E">
              <w:rPr>
                <w:rFonts w:ascii="Century" w:hAnsi="Century"/>
                <w:color w:val="000080"/>
              </w:rPr>
              <w:fldChar w:fldCharType="end"/>
            </w:r>
            <w:r w:rsidRPr="00443A8E">
              <w:rPr>
                <w:rFonts w:ascii="Century" w:hAnsi="Century"/>
                <w:color w:val="000080"/>
              </w:rPr>
              <w:t xml:space="preserve">: </w:t>
            </w:r>
            <w:r w:rsidRPr="00443A8E">
              <w:rPr>
                <w:rFonts w:ascii="Century" w:hAnsi="Century"/>
                <w:bCs w:val="0"/>
                <w:color w:val="000080"/>
              </w:rPr>
              <w:t>DASK 2018 Yılı Genel Göstergeleri</w:t>
            </w:r>
          </w:p>
          <w:p w:rsidR="007909D7" w:rsidRPr="00443A8E" w:rsidRDefault="007909D7" w:rsidP="001B1A36">
            <w:pPr>
              <w:pStyle w:val="Caption"/>
              <w:jc w:val="center"/>
              <w:rPr>
                <w:rFonts w:ascii="Century" w:hAnsi="Century"/>
                <w:b w:val="0"/>
                <w:i/>
                <w:iCs/>
                <w:color w:val="000080"/>
              </w:rPr>
            </w:pPr>
            <w:r w:rsidRPr="00443A8E">
              <w:rPr>
                <w:rFonts w:ascii="Century" w:hAnsi="Century"/>
                <w:b w:val="0"/>
                <w:i/>
                <w:iCs/>
                <w:color w:val="000080"/>
              </w:rPr>
              <w:t>TCIP's General Indicators for 201</w:t>
            </w:r>
            <w:bookmarkEnd w:id="274"/>
            <w:r w:rsidRPr="00443A8E">
              <w:rPr>
                <w:rFonts w:ascii="Century" w:hAnsi="Century"/>
                <w:b w:val="0"/>
                <w:i/>
                <w:iCs/>
                <w:color w:val="000080"/>
              </w:rPr>
              <w:t>8</w:t>
            </w:r>
          </w:p>
          <w:p w:rsidR="007909D7" w:rsidRPr="00443A8E" w:rsidRDefault="007909D7" w:rsidP="00AC63F6">
            <w:pPr>
              <w:jc w:val="center"/>
              <w:rPr>
                <w:rFonts w:ascii="Century" w:hAnsi="Century"/>
                <w:sz w:val="16"/>
                <w:szCs w:val="16"/>
              </w:rPr>
            </w:pPr>
            <w:r w:rsidRPr="00443A8E">
              <w:rPr>
                <w:rFonts w:ascii="Century" w:hAnsi="Century"/>
                <w:noProof/>
                <w:sz w:val="16"/>
                <w:szCs w:val="16"/>
              </w:rPr>
              <w:drawing>
                <wp:inline distT="0" distB="0" distL="0" distR="0" wp14:anchorId="10BD2B36" wp14:editId="442F81C5">
                  <wp:extent cx="5001260" cy="962025"/>
                  <wp:effectExtent l="0" t="0" r="889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01260" cy="962025"/>
                          </a:xfrm>
                          <a:prstGeom prst="rect">
                            <a:avLst/>
                          </a:prstGeom>
                          <a:noFill/>
                          <a:ln>
                            <a:noFill/>
                          </a:ln>
                        </pic:spPr>
                      </pic:pic>
                    </a:graphicData>
                  </a:graphic>
                </wp:inline>
              </w:drawing>
            </w:r>
          </w:p>
          <w:p w:rsidR="007909D7" w:rsidRPr="00443A8E" w:rsidRDefault="007909D7" w:rsidP="00AC63F6">
            <w:pPr>
              <w:jc w:val="center"/>
              <w:rPr>
                <w:rFonts w:ascii="Century" w:hAnsi="Century"/>
                <w:sz w:val="16"/>
                <w:szCs w:val="16"/>
              </w:rPr>
            </w:pPr>
          </w:p>
          <w:p w:rsidR="007909D7" w:rsidRPr="00443A8E" w:rsidRDefault="007909D7" w:rsidP="00AC63F6">
            <w:pPr>
              <w:jc w:val="center"/>
              <w:rPr>
                <w:rFonts w:ascii="Century" w:hAnsi="Century"/>
                <w:sz w:val="16"/>
                <w:szCs w:val="16"/>
              </w:rPr>
            </w:pPr>
          </w:p>
          <w:p w:rsidR="007909D7" w:rsidRPr="00443A8E" w:rsidRDefault="007909D7" w:rsidP="00AC63F6">
            <w:pPr>
              <w:jc w:val="center"/>
              <w:rPr>
                <w:rFonts w:ascii="Century" w:hAnsi="Century"/>
                <w:sz w:val="6"/>
                <w:szCs w:val="6"/>
              </w:rPr>
            </w:pPr>
          </w:p>
        </w:tc>
      </w:tr>
      <w:tr w:rsidR="007909D7" w:rsidRPr="00B10D90" w:rsidTr="00441D50">
        <w:trPr>
          <w:gridAfter w:val="1"/>
          <w:wAfter w:w="20" w:type="dxa"/>
          <w:trHeight w:val="1213"/>
        </w:trPr>
        <w:tc>
          <w:tcPr>
            <w:tcW w:w="4817" w:type="dxa"/>
            <w:gridSpan w:val="2"/>
          </w:tcPr>
          <w:p w:rsidR="007909D7" w:rsidRPr="00443A8E" w:rsidRDefault="007909D7" w:rsidP="00004A85">
            <w:pPr>
              <w:jc w:val="both"/>
              <w:rPr>
                <w:rFonts w:ascii="Century" w:hAnsi="Century"/>
                <w:sz w:val="22"/>
                <w:szCs w:val="22"/>
              </w:rPr>
            </w:pPr>
            <w:r w:rsidRPr="00443A8E">
              <w:rPr>
                <w:rFonts w:ascii="Century" w:hAnsi="Century"/>
                <w:sz w:val="22"/>
                <w:szCs w:val="22"/>
              </w:rPr>
              <w:t>2018 yıl</w:t>
            </w:r>
            <w:r>
              <w:rPr>
                <w:rFonts w:ascii="Century" w:hAnsi="Century"/>
                <w:sz w:val="22"/>
                <w:szCs w:val="22"/>
              </w:rPr>
              <w:t>ı</w:t>
            </w:r>
            <w:r w:rsidRPr="00443A8E">
              <w:rPr>
                <w:rFonts w:ascii="Century" w:hAnsi="Century"/>
                <w:sz w:val="22"/>
                <w:szCs w:val="22"/>
              </w:rPr>
              <w:t xml:space="preserve"> sonu itibarıyla DASK finansal varlıklarının dağılımı aşağıda sunulmuştur. Tablodan da görüleceği üzere DASK finansal varlıklarının önemli bir kısmı Hazine Bonosu / Devlet Tahvili’nde değerlendirilmektedir.</w:t>
            </w:r>
          </w:p>
          <w:p w:rsidR="007909D7" w:rsidRPr="00B10D90" w:rsidRDefault="007909D7" w:rsidP="00004A85">
            <w:pPr>
              <w:jc w:val="both"/>
              <w:rPr>
                <w:rFonts w:ascii="Century" w:hAnsi="Century"/>
                <w:sz w:val="22"/>
                <w:szCs w:val="22"/>
                <w:highlight w:val="yellow"/>
              </w:rPr>
            </w:pPr>
          </w:p>
          <w:p w:rsidR="007909D7" w:rsidRPr="00B10D90" w:rsidRDefault="007909D7" w:rsidP="006C35D5">
            <w:pPr>
              <w:jc w:val="both"/>
              <w:rPr>
                <w:rFonts w:ascii="Century" w:hAnsi="Century"/>
                <w:sz w:val="6"/>
                <w:szCs w:val="6"/>
                <w:highlight w:val="yellow"/>
              </w:rPr>
            </w:pPr>
          </w:p>
        </w:tc>
        <w:tc>
          <w:tcPr>
            <w:tcW w:w="318" w:type="dxa"/>
            <w:gridSpan w:val="7"/>
          </w:tcPr>
          <w:p w:rsidR="007909D7" w:rsidRPr="00B10D90" w:rsidRDefault="007909D7" w:rsidP="00687E46">
            <w:pPr>
              <w:rPr>
                <w:rFonts w:ascii="Century" w:hAnsi="Century"/>
                <w:sz w:val="22"/>
                <w:szCs w:val="22"/>
                <w:highlight w:val="yellow"/>
              </w:rPr>
            </w:pPr>
          </w:p>
        </w:tc>
        <w:tc>
          <w:tcPr>
            <w:tcW w:w="4703" w:type="dxa"/>
            <w:gridSpan w:val="6"/>
            <w:shd w:val="clear" w:color="auto" w:fill="auto"/>
          </w:tcPr>
          <w:p w:rsidR="007909D7" w:rsidRPr="00443A8E" w:rsidRDefault="007909D7" w:rsidP="003B270C">
            <w:pPr>
              <w:jc w:val="both"/>
              <w:rPr>
                <w:rFonts w:ascii="Century" w:hAnsi="Century"/>
                <w:color w:val="333333"/>
                <w:sz w:val="22"/>
                <w:szCs w:val="22"/>
              </w:rPr>
            </w:pPr>
            <w:r w:rsidRPr="00443A8E">
              <w:rPr>
                <w:rFonts w:ascii="Century" w:hAnsi="Century"/>
                <w:color w:val="333333"/>
                <w:sz w:val="22"/>
                <w:szCs w:val="22"/>
              </w:rPr>
              <w:t>Composition of funds of the Pool by December 31, 2018 is shown in the table below. Most of the funds are invested in Tresury Bills / Government Bond (</w:t>
            </w:r>
            <w:r w:rsidRPr="00443A8E">
              <w:rPr>
                <w:rFonts w:ascii="AbakuTLSymSans" w:hAnsi="AbakuTLSymSans" w:cs="Arial"/>
                <w:bCs/>
                <w:sz w:val="20"/>
                <w:szCs w:val="20"/>
              </w:rPr>
              <w:t>¨</w:t>
            </w:r>
            <w:r w:rsidRPr="00443A8E">
              <w:rPr>
                <w:rFonts w:ascii="Century" w:hAnsi="Century"/>
                <w:color w:val="333333"/>
                <w:sz w:val="22"/>
                <w:szCs w:val="22"/>
              </w:rPr>
              <w:t>).</w:t>
            </w:r>
          </w:p>
          <w:p w:rsidR="007909D7" w:rsidRPr="00B10D90" w:rsidRDefault="007909D7" w:rsidP="006C35D5">
            <w:pPr>
              <w:rPr>
                <w:rFonts w:ascii="Century" w:hAnsi="Century"/>
                <w:color w:val="1C1C1C"/>
                <w:sz w:val="22"/>
                <w:szCs w:val="22"/>
                <w:highlight w:val="yellow"/>
              </w:rPr>
            </w:pPr>
          </w:p>
        </w:tc>
      </w:tr>
      <w:tr w:rsidR="007909D7" w:rsidRPr="00B10D90" w:rsidTr="00441D50">
        <w:trPr>
          <w:gridAfter w:val="1"/>
          <w:wAfter w:w="20" w:type="dxa"/>
          <w:trHeight w:val="181"/>
        </w:trPr>
        <w:tc>
          <w:tcPr>
            <w:tcW w:w="9838" w:type="dxa"/>
            <w:gridSpan w:val="15"/>
          </w:tcPr>
          <w:p w:rsidR="007909D7" w:rsidRPr="00443A8E" w:rsidRDefault="007909D7" w:rsidP="0063765D">
            <w:pPr>
              <w:pStyle w:val="Caption"/>
              <w:jc w:val="center"/>
              <w:rPr>
                <w:rFonts w:ascii="AbakuTLSymSans" w:hAnsi="AbakuTLSymSans" w:cs="Arial"/>
                <w:b w:val="0"/>
                <w:i/>
                <w:color w:val="000080"/>
                <w:lang w:eastAsia="tr-TR"/>
              </w:rPr>
            </w:pPr>
            <w:bookmarkStart w:id="275" w:name="_Toc170665563"/>
            <w:r w:rsidRPr="00443A8E">
              <w:rPr>
                <w:rFonts w:ascii="Century" w:hAnsi="Century"/>
                <w:color w:val="000080"/>
              </w:rPr>
              <w:t xml:space="preserve">Tablo </w:t>
            </w:r>
            <w:r w:rsidRPr="00443A8E">
              <w:rPr>
                <w:rFonts w:ascii="Century" w:hAnsi="Century"/>
                <w:color w:val="000080"/>
              </w:rPr>
              <w:fldChar w:fldCharType="begin"/>
            </w:r>
            <w:r w:rsidRPr="00443A8E">
              <w:rPr>
                <w:rFonts w:ascii="Century" w:hAnsi="Century"/>
                <w:color w:val="000080"/>
              </w:rPr>
              <w:instrText xml:space="preserve"> STYLEREF 2 \s </w:instrText>
            </w:r>
            <w:r w:rsidRPr="00443A8E">
              <w:rPr>
                <w:rFonts w:ascii="Century" w:hAnsi="Century"/>
                <w:color w:val="000080"/>
              </w:rPr>
              <w:fldChar w:fldCharType="separate"/>
            </w:r>
            <w:r w:rsidR="00F57699">
              <w:rPr>
                <w:rFonts w:ascii="Century" w:hAnsi="Century"/>
                <w:noProof/>
                <w:color w:val="000080"/>
              </w:rPr>
              <w:t>5.1</w:t>
            </w:r>
            <w:r w:rsidRPr="00443A8E">
              <w:rPr>
                <w:rFonts w:ascii="Century" w:hAnsi="Century"/>
                <w:color w:val="000080"/>
              </w:rPr>
              <w:fldChar w:fldCharType="end"/>
            </w:r>
            <w:r w:rsidRPr="00443A8E">
              <w:rPr>
                <w:rFonts w:ascii="Century" w:hAnsi="Century"/>
                <w:color w:val="000080"/>
              </w:rPr>
              <w:t>.</w:t>
            </w:r>
            <w:r w:rsidRPr="00443A8E">
              <w:rPr>
                <w:rFonts w:ascii="Century" w:hAnsi="Century"/>
                <w:color w:val="000080"/>
              </w:rPr>
              <w:fldChar w:fldCharType="begin"/>
            </w:r>
            <w:r w:rsidRPr="00443A8E">
              <w:rPr>
                <w:rFonts w:ascii="Century" w:hAnsi="Century"/>
                <w:color w:val="000080"/>
              </w:rPr>
              <w:instrText xml:space="preserve"> SEQ Tablo \* ARABIC \s 2 </w:instrText>
            </w:r>
            <w:r w:rsidRPr="00443A8E">
              <w:rPr>
                <w:rFonts w:ascii="Century" w:hAnsi="Century"/>
                <w:color w:val="000080"/>
              </w:rPr>
              <w:fldChar w:fldCharType="separate"/>
            </w:r>
            <w:r w:rsidR="00F57699">
              <w:rPr>
                <w:rFonts w:ascii="Century" w:hAnsi="Century"/>
                <w:noProof/>
                <w:color w:val="000080"/>
              </w:rPr>
              <w:t>2</w:t>
            </w:r>
            <w:r w:rsidRPr="00443A8E">
              <w:rPr>
                <w:rFonts w:ascii="Century" w:hAnsi="Century"/>
                <w:color w:val="000080"/>
              </w:rPr>
              <w:fldChar w:fldCharType="end"/>
            </w:r>
            <w:r w:rsidRPr="00443A8E">
              <w:rPr>
                <w:rFonts w:ascii="Century" w:hAnsi="Century"/>
                <w:color w:val="000080"/>
              </w:rPr>
              <w:t xml:space="preserve">: </w:t>
            </w:r>
            <w:r w:rsidRPr="00443A8E">
              <w:rPr>
                <w:rFonts w:ascii="Century" w:hAnsi="Century"/>
                <w:bCs w:val="0"/>
                <w:color w:val="000080"/>
              </w:rPr>
              <w:t xml:space="preserve">DASK Finansal Varlıklarının Dağılımı - </w:t>
            </w:r>
            <w:r w:rsidRPr="00443A8E">
              <w:rPr>
                <w:rFonts w:ascii="Century" w:hAnsi="Century"/>
                <w:b w:val="0"/>
                <w:i/>
                <w:iCs/>
                <w:color w:val="000080"/>
              </w:rPr>
              <w:t>Composition of the Funds of TCIP</w:t>
            </w:r>
            <w:bookmarkEnd w:id="275"/>
            <w:r w:rsidRPr="00443A8E">
              <w:rPr>
                <w:rFonts w:ascii="Century" w:hAnsi="Century"/>
                <w:b w:val="0"/>
                <w:i/>
                <w:iCs/>
                <w:color w:val="000080"/>
              </w:rPr>
              <w:t xml:space="preserve"> </w:t>
            </w:r>
            <w:r w:rsidRPr="00443A8E">
              <w:rPr>
                <w:rFonts w:ascii="Century" w:hAnsi="Century" w:cs="Arial"/>
                <w:b w:val="0"/>
                <w:i/>
                <w:color w:val="000080"/>
                <w:lang w:eastAsia="tr-TR"/>
              </w:rPr>
              <w:t>(</w:t>
            </w:r>
            <w:r w:rsidRPr="00443A8E">
              <w:rPr>
                <w:rFonts w:ascii="AbakuTLSymSans" w:hAnsi="AbakuTLSymSans" w:cs="Arial"/>
                <w:b w:val="0"/>
                <w:i/>
                <w:color w:val="000080"/>
                <w:lang w:eastAsia="tr-TR"/>
              </w:rPr>
              <w:t>¨)</w:t>
            </w:r>
          </w:p>
          <w:p w:rsidR="007909D7" w:rsidRPr="00443A8E" w:rsidRDefault="007909D7" w:rsidP="00E45096">
            <w:pPr>
              <w:jc w:val="center"/>
              <w:rPr>
                <w:lang w:eastAsia="tr-TR"/>
              </w:rPr>
            </w:pPr>
            <w:r>
              <w:rPr>
                <w:noProof/>
              </w:rPr>
              <w:drawing>
                <wp:inline distT="0" distB="0" distL="0" distR="0" wp14:anchorId="6D924385" wp14:editId="1F35472B">
                  <wp:extent cx="6106795" cy="213868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06795" cy="2138680"/>
                          </a:xfrm>
                          <a:prstGeom prst="rect">
                            <a:avLst/>
                          </a:prstGeom>
                          <a:noFill/>
                          <a:ln>
                            <a:noFill/>
                          </a:ln>
                        </pic:spPr>
                      </pic:pic>
                    </a:graphicData>
                  </a:graphic>
                </wp:inline>
              </w:drawing>
            </w:r>
          </w:p>
          <w:p w:rsidR="007909D7" w:rsidRPr="00443A8E" w:rsidRDefault="007909D7" w:rsidP="00687E46">
            <w:pPr>
              <w:rPr>
                <w:rFonts w:ascii="Century" w:hAnsi="Century"/>
                <w:sz w:val="10"/>
                <w:szCs w:val="10"/>
              </w:rPr>
            </w:pPr>
          </w:p>
          <w:p w:rsidR="007909D7" w:rsidRPr="00443A8E" w:rsidRDefault="007909D7" w:rsidP="00687E46">
            <w:pPr>
              <w:rPr>
                <w:rFonts w:ascii="Century" w:hAnsi="Century"/>
                <w:sz w:val="10"/>
                <w:szCs w:val="10"/>
              </w:rPr>
            </w:pPr>
          </w:p>
          <w:p w:rsidR="007909D7" w:rsidRPr="00443A8E" w:rsidRDefault="007909D7" w:rsidP="00687E46">
            <w:pPr>
              <w:rPr>
                <w:rFonts w:ascii="Century" w:hAnsi="Century"/>
                <w:sz w:val="10"/>
                <w:szCs w:val="10"/>
              </w:rPr>
            </w:pPr>
          </w:p>
        </w:tc>
      </w:tr>
      <w:tr w:rsidR="007909D7" w:rsidRPr="00B10D90" w:rsidTr="00441D50">
        <w:trPr>
          <w:gridAfter w:val="1"/>
          <w:wAfter w:w="20" w:type="dxa"/>
          <w:trHeight w:val="1854"/>
        </w:trPr>
        <w:tc>
          <w:tcPr>
            <w:tcW w:w="4817" w:type="dxa"/>
            <w:gridSpan w:val="2"/>
          </w:tcPr>
          <w:p w:rsidR="007909D7" w:rsidRPr="00D14AD9" w:rsidRDefault="007909D7" w:rsidP="006513FC">
            <w:pPr>
              <w:jc w:val="both"/>
              <w:rPr>
                <w:rFonts w:ascii="Century" w:hAnsi="Century"/>
                <w:sz w:val="22"/>
                <w:szCs w:val="22"/>
              </w:rPr>
            </w:pPr>
            <w:r w:rsidRPr="00D14AD9">
              <w:rPr>
                <w:rFonts w:ascii="Century" w:hAnsi="Century"/>
                <w:sz w:val="22"/>
                <w:szCs w:val="22"/>
              </w:rPr>
              <w:t xml:space="preserve">31.12.2018 tarihi itibarıyla bölgeler bazında sigortalı konut sayısının dağılımı ve sigortalılık oranı aşağıda, il bazındaki dağılım ise Raporun Tablolar bölümünde verilmiştir. </w:t>
            </w:r>
          </w:p>
          <w:p w:rsidR="007909D7" w:rsidRDefault="007909D7" w:rsidP="006513FC">
            <w:pPr>
              <w:jc w:val="both"/>
              <w:rPr>
                <w:rFonts w:ascii="Century" w:hAnsi="Century"/>
                <w:sz w:val="22"/>
                <w:szCs w:val="22"/>
                <w:highlight w:val="yellow"/>
              </w:rPr>
            </w:pPr>
          </w:p>
          <w:p w:rsidR="007909D7" w:rsidRDefault="007909D7" w:rsidP="006513FC">
            <w:pPr>
              <w:jc w:val="both"/>
              <w:rPr>
                <w:rFonts w:ascii="Century" w:hAnsi="Century"/>
                <w:sz w:val="22"/>
                <w:szCs w:val="22"/>
              </w:rPr>
            </w:pPr>
            <w:r w:rsidRPr="00D14AD9">
              <w:rPr>
                <w:rFonts w:ascii="Century" w:hAnsi="Century"/>
                <w:sz w:val="22"/>
                <w:szCs w:val="22"/>
              </w:rPr>
              <w:t>2018 yılı sonu itibarıyla zorunlu deprem sigortası yaptırılmış olan konut sayısı toplam konutların %50</w:t>
            </w:r>
            <w:proofErr w:type="gramStart"/>
            <w:r w:rsidRPr="00D14AD9">
              <w:rPr>
                <w:rFonts w:ascii="Century" w:hAnsi="Century"/>
                <w:sz w:val="22"/>
                <w:szCs w:val="22"/>
              </w:rPr>
              <w:t>,1’i</w:t>
            </w:r>
            <w:proofErr w:type="gramEnd"/>
            <w:r w:rsidRPr="00D14AD9">
              <w:rPr>
                <w:rFonts w:ascii="Century" w:hAnsi="Century"/>
                <w:sz w:val="22"/>
                <w:szCs w:val="22"/>
              </w:rPr>
              <w:t xml:space="preserve"> oranındadır. Sigortalılık oranının en yüksek olduğu bölge Marmara Bölgesidir.</w:t>
            </w:r>
          </w:p>
          <w:p w:rsidR="007909D7" w:rsidRPr="00B10D90" w:rsidRDefault="007909D7" w:rsidP="006513FC">
            <w:pPr>
              <w:jc w:val="both"/>
              <w:rPr>
                <w:rFonts w:ascii="Century" w:hAnsi="Century"/>
                <w:sz w:val="22"/>
                <w:szCs w:val="22"/>
                <w:highlight w:val="yellow"/>
              </w:rPr>
            </w:pPr>
          </w:p>
          <w:p w:rsidR="007909D7" w:rsidRPr="00B10D90" w:rsidRDefault="007909D7" w:rsidP="006513FC">
            <w:pPr>
              <w:jc w:val="both"/>
              <w:rPr>
                <w:rFonts w:ascii="Century" w:hAnsi="Century"/>
                <w:sz w:val="22"/>
                <w:szCs w:val="22"/>
                <w:highlight w:val="yellow"/>
              </w:rPr>
            </w:pPr>
          </w:p>
          <w:p w:rsidR="007909D7" w:rsidRPr="00B10D90" w:rsidRDefault="007909D7" w:rsidP="006513FC">
            <w:pPr>
              <w:jc w:val="both"/>
              <w:rPr>
                <w:rFonts w:ascii="Century" w:hAnsi="Century"/>
                <w:sz w:val="22"/>
                <w:szCs w:val="22"/>
                <w:highlight w:val="yellow"/>
              </w:rPr>
            </w:pPr>
          </w:p>
        </w:tc>
        <w:tc>
          <w:tcPr>
            <w:tcW w:w="318" w:type="dxa"/>
            <w:gridSpan w:val="7"/>
          </w:tcPr>
          <w:p w:rsidR="007909D7" w:rsidRPr="00B10D90" w:rsidRDefault="007909D7" w:rsidP="00687E46">
            <w:pPr>
              <w:rPr>
                <w:rFonts w:ascii="Century" w:hAnsi="Century"/>
                <w:sz w:val="22"/>
                <w:szCs w:val="22"/>
                <w:highlight w:val="yellow"/>
              </w:rPr>
            </w:pPr>
          </w:p>
        </w:tc>
        <w:tc>
          <w:tcPr>
            <w:tcW w:w="4703" w:type="dxa"/>
            <w:gridSpan w:val="6"/>
          </w:tcPr>
          <w:p w:rsidR="007909D7" w:rsidRPr="00D14AD9" w:rsidRDefault="007909D7" w:rsidP="00D14AD9">
            <w:pPr>
              <w:jc w:val="both"/>
              <w:rPr>
                <w:rFonts w:ascii="Century" w:hAnsi="Century"/>
                <w:color w:val="333333"/>
                <w:sz w:val="22"/>
                <w:szCs w:val="22"/>
              </w:rPr>
            </w:pPr>
            <w:r w:rsidRPr="00D14AD9">
              <w:rPr>
                <w:rFonts w:ascii="Century" w:hAnsi="Century"/>
                <w:color w:val="333333"/>
                <w:sz w:val="22"/>
                <w:szCs w:val="22"/>
              </w:rPr>
              <w:t>Geographical spread of insurable dwellings and ratios by the end of 2018 are given in table below and distribution according to regions is given in Table Section Of The Report.</w:t>
            </w:r>
          </w:p>
          <w:p w:rsidR="007909D7" w:rsidRPr="00D14AD9" w:rsidRDefault="007909D7" w:rsidP="00D14AD9">
            <w:pPr>
              <w:jc w:val="both"/>
              <w:rPr>
                <w:rFonts w:ascii="Century" w:hAnsi="Century"/>
                <w:color w:val="333333"/>
                <w:sz w:val="22"/>
                <w:szCs w:val="22"/>
              </w:rPr>
            </w:pPr>
          </w:p>
          <w:p w:rsidR="007909D7" w:rsidRPr="00D14AD9" w:rsidRDefault="007909D7" w:rsidP="00D14AD9">
            <w:pPr>
              <w:jc w:val="both"/>
              <w:rPr>
                <w:rFonts w:ascii="Century" w:hAnsi="Century"/>
                <w:sz w:val="22"/>
                <w:szCs w:val="22"/>
              </w:rPr>
            </w:pPr>
            <w:r w:rsidRPr="00D14AD9">
              <w:rPr>
                <w:rFonts w:ascii="Century" w:hAnsi="Century"/>
                <w:color w:val="333333"/>
                <w:sz w:val="22"/>
                <w:szCs w:val="22"/>
              </w:rPr>
              <w:t xml:space="preserve"> As it can be seen from the table below, penetration ratio was 50.1% as of 12.31.2018. The Marmara region has the highest insurance penetration level. </w:t>
            </w:r>
          </w:p>
        </w:tc>
      </w:tr>
      <w:tr w:rsidR="007909D7" w:rsidRPr="00B10D90" w:rsidTr="00441D50">
        <w:trPr>
          <w:gridAfter w:val="1"/>
          <w:wAfter w:w="20" w:type="dxa"/>
          <w:trHeight w:val="226"/>
        </w:trPr>
        <w:tc>
          <w:tcPr>
            <w:tcW w:w="9838" w:type="dxa"/>
            <w:gridSpan w:val="15"/>
          </w:tcPr>
          <w:p w:rsidR="007909D7" w:rsidRPr="00D14AD9" w:rsidRDefault="007909D7" w:rsidP="00335CA0">
            <w:pPr>
              <w:pStyle w:val="Caption"/>
              <w:jc w:val="center"/>
              <w:rPr>
                <w:rFonts w:ascii="Century" w:hAnsi="Century"/>
                <w:b w:val="0"/>
                <w:i/>
                <w:iCs/>
                <w:color w:val="000080"/>
              </w:rPr>
            </w:pPr>
            <w:bookmarkStart w:id="276" w:name="_Toc170665564"/>
            <w:r w:rsidRPr="00D14AD9">
              <w:rPr>
                <w:rFonts w:ascii="Century" w:hAnsi="Century"/>
                <w:color w:val="000080"/>
              </w:rPr>
              <w:lastRenderedPageBreak/>
              <w:t xml:space="preserve">Tablo </w:t>
            </w:r>
            <w:r w:rsidRPr="00D14AD9">
              <w:rPr>
                <w:rFonts w:ascii="Century" w:hAnsi="Century"/>
                <w:color w:val="000080"/>
              </w:rPr>
              <w:fldChar w:fldCharType="begin"/>
            </w:r>
            <w:r w:rsidRPr="00D14AD9">
              <w:rPr>
                <w:rFonts w:ascii="Century" w:hAnsi="Century"/>
                <w:color w:val="000080"/>
              </w:rPr>
              <w:instrText xml:space="preserve"> STYLEREF 2 \s </w:instrText>
            </w:r>
            <w:r w:rsidRPr="00D14AD9">
              <w:rPr>
                <w:rFonts w:ascii="Century" w:hAnsi="Century"/>
                <w:color w:val="000080"/>
              </w:rPr>
              <w:fldChar w:fldCharType="separate"/>
            </w:r>
            <w:r w:rsidR="00F57699">
              <w:rPr>
                <w:rFonts w:ascii="Century" w:hAnsi="Century"/>
                <w:noProof/>
                <w:color w:val="000080"/>
              </w:rPr>
              <w:t>5.1</w:t>
            </w:r>
            <w:r w:rsidRPr="00D14AD9">
              <w:rPr>
                <w:rFonts w:ascii="Century" w:hAnsi="Century"/>
                <w:color w:val="000080"/>
              </w:rPr>
              <w:fldChar w:fldCharType="end"/>
            </w:r>
            <w:r w:rsidRPr="00D14AD9">
              <w:rPr>
                <w:rFonts w:ascii="Century" w:hAnsi="Century"/>
                <w:color w:val="000080"/>
              </w:rPr>
              <w:t>.</w:t>
            </w:r>
            <w:r w:rsidRPr="00D14AD9">
              <w:rPr>
                <w:rFonts w:ascii="Century" w:hAnsi="Century"/>
                <w:color w:val="000080"/>
              </w:rPr>
              <w:fldChar w:fldCharType="begin"/>
            </w:r>
            <w:r w:rsidRPr="00D14AD9">
              <w:rPr>
                <w:rFonts w:ascii="Century" w:hAnsi="Century"/>
                <w:color w:val="000080"/>
              </w:rPr>
              <w:instrText xml:space="preserve"> SEQ Tablo \* ARABIC \s 2 </w:instrText>
            </w:r>
            <w:r w:rsidRPr="00D14AD9">
              <w:rPr>
                <w:rFonts w:ascii="Century" w:hAnsi="Century"/>
                <w:color w:val="000080"/>
              </w:rPr>
              <w:fldChar w:fldCharType="separate"/>
            </w:r>
            <w:r w:rsidR="00F57699">
              <w:rPr>
                <w:rFonts w:ascii="Century" w:hAnsi="Century"/>
                <w:noProof/>
                <w:color w:val="000080"/>
              </w:rPr>
              <w:t>3</w:t>
            </w:r>
            <w:r w:rsidRPr="00D14AD9">
              <w:rPr>
                <w:rFonts w:ascii="Century" w:hAnsi="Century"/>
                <w:color w:val="000080"/>
              </w:rPr>
              <w:fldChar w:fldCharType="end"/>
            </w:r>
            <w:r w:rsidRPr="00D14AD9">
              <w:rPr>
                <w:rFonts w:ascii="Century" w:hAnsi="Century"/>
                <w:color w:val="000080"/>
              </w:rPr>
              <w:t xml:space="preserve">: </w:t>
            </w:r>
            <w:r w:rsidRPr="00D14AD9">
              <w:rPr>
                <w:rFonts w:ascii="Century" w:hAnsi="Century"/>
                <w:bCs w:val="0"/>
                <w:color w:val="000080"/>
              </w:rPr>
              <w:t xml:space="preserve">Bölgeler Bazında Sigortalılık Oranı - </w:t>
            </w:r>
            <w:r w:rsidRPr="00D14AD9">
              <w:rPr>
                <w:rFonts w:ascii="Century" w:hAnsi="Century"/>
                <w:b w:val="0"/>
                <w:i/>
                <w:iCs/>
                <w:color w:val="000080"/>
              </w:rPr>
              <w:t>Insurance Ratio according to the Region</w:t>
            </w:r>
            <w:bookmarkEnd w:id="276"/>
            <w:r w:rsidRPr="00D14AD9">
              <w:rPr>
                <w:rFonts w:ascii="Century" w:hAnsi="Century"/>
                <w:b w:val="0"/>
                <w:i/>
                <w:iCs/>
                <w:color w:val="000080"/>
              </w:rPr>
              <w:t>s</w:t>
            </w:r>
          </w:p>
          <w:p w:rsidR="007909D7" w:rsidRPr="00D14AD9" w:rsidRDefault="007909D7" w:rsidP="003D3A97">
            <w:pPr>
              <w:jc w:val="center"/>
              <w:rPr>
                <w:rFonts w:ascii="Century" w:hAnsi="Century"/>
                <w:sz w:val="16"/>
                <w:szCs w:val="16"/>
              </w:rPr>
            </w:pPr>
            <w:r w:rsidRPr="00D14AD9">
              <w:rPr>
                <w:rFonts w:ascii="Century" w:hAnsi="Century"/>
                <w:noProof/>
                <w:sz w:val="16"/>
                <w:szCs w:val="16"/>
              </w:rPr>
              <w:drawing>
                <wp:inline distT="0" distB="0" distL="0" distR="0" wp14:anchorId="59F80E37" wp14:editId="1C464CC4">
                  <wp:extent cx="6106109" cy="1804946"/>
                  <wp:effectExtent l="0" t="0" r="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06795" cy="1805149"/>
                          </a:xfrm>
                          <a:prstGeom prst="rect">
                            <a:avLst/>
                          </a:prstGeom>
                          <a:noFill/>
                          <a:ln>
                            <a:noFill/>
                          </a:ln>
                        </pic:spPr>
                      </pic:pic>
                    </a:graphicData>
                  </a:graphic>
                </wp:inline>
              </w:drawing>
            </w:r>
          </w:p>
        </w:tc>
      </w:tr>
      <w:tr w:rsidR="007909D7" w:rsidRPr="00B10D90" w:rsidTr="00441D50">
        <w:trPr>
          <w:gridAfter w:val="1"/>
          <w:wAfter w:w="20" w:type="dxa"/>
          <w:trHeight w:val="181"/>
        </w:trPr>
        <w:tc>
          <w:tcPr>
            <w:tcW w:w="4817" w:type="dxa"/>
            <w:gridSpan w:val="2"/>
          </w:tcPr>
          <w:p w:rsidR="007909D7" w:rsidRPr="00B10D90" w:rsidRDefault="007909D7" w:rsidP="008872B5">
            <w:pPr>
              <w:jc w:val="both"/>
              <w:rPr>
                <w:rFonts w:ascii="Century" w:hAnsi="Century"/>
                <w:sz w:val="10"/>
                <w:szCs w:val="10"/>
                <w:highlight w:val="yellow"/>
              </w:rPr>
            </w:pPr>
          </w:p>
          <w:p w:rsidR="007909D7" w:rsidRPr="00B10D90" w:rsidRDefault="007909D7" w:rsidP="008872B5">
            <w:pPr>
              <w:jc w:val="both"/>
              <w:rPr>
                <w:rFonts w:ascii="Century" w:hAnsi="Century"/>
                <w:sz w:val="22"/>
                <w:szCs w:val="22"/>
                <w:highlight w:val="yellow"/>
              </w:rPr>
            </w:pPr>
          </w:p>
          <w:p w:rsidR="007909D7" w:rsidRPr="00B10D90" w:rsidRDefault="007909D7" w:rsidP="008872B5">
            <w:pPr>
              <w:jc w:val="both"/>
              <w:rPr>
                <w:rFonts w:ascii="Century" w:hAnsi="Century"/>
                <w:sz w:val="22"/>
                <w:szCs w:val="22"/>
                <w:highlight w:val="yellow"/>
              </w:rPr>
            </w:pPr>
            <w:r w:rsidRPr="00574560">
              <w:rPr>
                <w:rFonts w:ascii="Century" w:hAnsi="Century"/>
                <w:sz w:val="22"/>
                <w:szCs w:val="22"/>
              </w:rPr>
              <w:t xml:space="preserve">Yıllar itibarıyla yazılan poliçe adetlerinin ve prim tutarlarının seyri aşağıda verilmiştir. </w:t>
            </w:r>
          </w:p>
          <w:p w:rsidR="007909D7" w:rsidRPr="00B10D90" w:rsidRDefault="007909D7" w:rsidP="008872B5">
            <w:pPr>
              <w:jc w:val="both"/>
              <w:rPr>
                <w:rFonts w:ascii="Century" w:hAnsi="Century"/>
                <w:sz w:val="22"/>
                <w:szCs w:val="22"/>
                <w:highlight w:val="yellow"/>
              </w:rPr>
            </w:pPr>
          </w:p>
        </w:tc>
        <w:tc>
          <w:tcPr>
            <w:tcW w:w="318" w:type="dxa"/>
            <w:gridSpan w:val="7"/>
          </w:tcPr>
          <w:p w:rsidR="007909D7" w:rsidRPr="00B10D90" w:rsidRDefault="007909D7" w:rsidP="00687E46">
            <w:pPr>
              <w:rPr>
                <w:rFonts w:ascii="Century" w:hAnsi="Century"/>
                <w:sz w:val="22"/>
                <w:szCs w:val="22"/>
                <w:highlight w:val="yellow"/>
              </w:rPr>
            </w:pPr>
          </w:p>
        </w:tc>
        <w:tc>
          <w:tcPr>
            <w:tcW w:w="4703" w:type="dxa"/>
            <w:gridSpan w:val="6"/>
          </w:tcPr>
          <w:p w:rsidR="007909D7" w:rsidRPr="00B10D90" w:rsidRDefault="007909D7" w:rsidP="008872B5">
            <w:pPr>
              <w:jc w:val="both"/>
              <w:rPr>
                <w:rFonts w:ascii="Century" w:hAnsi="Century"/>
                <w:color w:val="333333"/>
                <w:sz w:val="10"/>
                <w:szCs w:val="10"/>
                <w:highlight w:val="yellow"/>
              </w:rPr>
            </w:pPr>
          </w:p>
          <w:p w:rsidR="007909D7" w:rsidRPr="00B10D90" w:rsidRDefault="007909D7" w:rsidP="003D3A97">
            <w:pPr>
              <w:jc w:val="both"/>
              <w:rPr>
                <w:rFonts w:ascii="Century" w:hAnsi="Century"/>
                <w:color w:val="333333"/>
                <w:sz w:val="22"/>
                <w:szCs w:val="22"/>
                <w:highlight w:val="yellow"/>
              </w:rPr>
            </w:pPr>
          </w:p>
          <w:p w:rsidR="007909D7" w:rsidRPr="00574560" w:rsidRDefault="007909D7" w:rsidP="003D3A97">
            <w:pPr>
              <w:jc w:val="both"/>
              <w:rPr>
                <w:rFonts w:ascii="Century" w:hAnsi="Century"/>
                <w:color w:val="333333"/>
                <w:sz w:val="22"/>
                <w:szCs w:val="22"/>
              </w:rPr>
            </w:pPr>
            <w:r w:rsidRPr="00574560">
              <w:rPr>
                <w:rFonts w:ascii="Century" w:hAnsi="Century"/>
                <w:color w:val="333333"/>
                <w:sz w:val="22"/>
                <w:szCs w:val="22"/>
              </w:rPr>
              <w:t>Written policies and premium volumes for years are given below.</w:t>
            </w:r>
          </w:p>
          <w:p w:rsidR="007909D7" w:rsidRPr="00B10D90" w:rsidRDefault="007909D7" w:rsidP="003D3A97">
            <w:pPr>
              <w:jc w:val="both"/>
              <w:rPr>
                <w:rFonts w:ascii="Century" w:hAnsi="Century"/>
                <w:color w:val="333333"/>
                <w:sz w:val="22"/>
                <w:szCs w:val="22"/>
                <w:highlight w:val="yellow"/>
              </w:rPr>
            </w:pPr>
          </w:p>
          <w:p w:rsidR="007909D7" w:rsidRPr="00B10D90" w:rsidRDefault="007909D7" w:rsidP="003D3A97">
            <w:pPr>
              <w:jc w:val="both"/>
              <w:rPr>
                <w:rFonts w:ascii="Century" w:hAnsi="Century"/>
                <w:color w:val="333333"/>
                <w:sz w:val="10"/>
                <w:szCs w:val="10"/>
                <w:highlight w:val="yellow"/>
              </w:rPr>
            </w:pPr>
          </w:p>
        </w:tc>
      </w:tr>
      <w:tr w:rsidR="007909D7" w:rsidRPr="00B10D90" w:rsidTr="00441D50">
        <w:trPr>
          <w:gridAfter w:val="1"/>
          <w:wAfter w:w="20" w:type="dxa"/>
          <w:trHeight w:val="181"/>
        </w:trPr>
        <w:tc>
          <w:tcPr>
            <w:tcW w:w="9838" w:type="dxa"/>
            <w:gridSpan w:val="15"/>
          </w:tcPr>
          <w:p w:rsidR="007909D7" w:rsidRPr="00574560" w:rsidRDefault="007909D7" w:rsidP="00687E46">
            <w:pPr>
              <w:pStyle w:val="Caption"/>
              <w:jc w:val="center"/>
              <w:rPr>
                <w:rFonts w:ascii="Century" w:hAnsi="Century"/>
                <w:bCs w:val="0"/>
                <w:color w:val="000080"/>
              </w:rPr>
            </w:pPr>
            <w:bookmarkStart w:id="277" w:name="_Toc170665565"/>
            <w:r w:rsidRPr="00574560">
              <w:rPr>
                <w:rFonts w:ascii="Century" w:hAnsi="Century"/>
                <w:color w:val="000080"/>
              </w:rPr>
              <w:t xml:space="preserve">Tablo </w:t>
            </w:r>
            <w:r w:rsidRPr="00574560">
              <w:rPr>
                <w:rFonts w:ascii="Century" w:hAnsi="Century"/>
                <w:color w:val="000080"/>
              </w:rPr>
              <w:fldChar w:fldCharType="begin"/>
            </w:r>
            <w:r w:rsidRPr="00574560">
              <w:rPr>
                <w:rFonts w:ascii="Century" w:hAnsi="Century"/>
                <w:color w:val="000080"/>
              </w:rPr>
              <w:instrText xml:space="preserve"> STYLEREF 2 \s </w:instrText>
            </w:r>
            <w:r w:rsidRPr="00574560">
              <w:rPr>
                <w:rFonts w:ascii="Century" w:hAnsi="Century"/>
                <w:color w:val="000080"/>
              </w:rPr>
              <w:fldChar w:fldCharType="separate"/>
            </w:r>
            <w:r w:rsidR="00F57699">
              <w:rPr>
                <w:rFonts w:ascii="Century" w:hAnsi="Century"/>
                <w:noProof/>
                <w:color w:val="000080"/>
              </w:rPr>
              <w:t>5.1</w:t>
            </w:r>
            <w:r w:rsidRPr="00574560">
              <w:rPr>
                <w:rFonts w:ascii="Century" w:hAnsi="Century"/>
                <w:color w:val="000080"/>
              </w:rPr>
              <w:fldChar w:fldCharType="end"/>
            </w:r>
            <w:r w:rsidRPr="00574560">
              <w:rPr>
                <w:rFonts w:ascii="Century" w:hAnsi="Century"/>
                <w:color w:val="000080"/>
              </w:rPr>
              <w:t>.</w:t>
            </w:r>
            <w:r w:rsidRPr="00574560">
              <w:rPr>
                <w:rFonts w:ascii="Century" w:hAnsi="Century"/>
                <w:color w:val="000080"/>
              </w:rPr>
              <w:fldChar w:fldCharType="begin"/>
            </w:r>
            <w:r w:rsidRPr="00574560">
              <w:rPr>
                <w:rFonts w:ascii="Century" w:hAnsi="Century"/>
                <w:color w:val="000080"/>
              </w:rPr>
              <w:instrText xml:space="preserve"> SEQ Tablo \* ARABIC \s 2 </w:instrText>
            </w:r>
            <w:r w:rsidRPr="00574560">
              <w:rPr>
                <w:rFonts w:ascii="Century" w:hAnsi="Century"/>
                <w:color w:val="000080"/>
              </w:rPr>
              <w:fldChar w:fldCharType="separate"/>
            </w:r>
            <w:r w:rsidR="00F57699">
              <w:rPr>
                <w:rFonts w:ascii="Century" w:hAnsi="Century"/>
                <w:noProof/>
                <w:color w:val="000080"/>
              </w:rPr>
              <w:t>4</w:t>
            </w:r>
            <w:r w:rsidRPr="00574560">
              <w:rPr>
                <w:rFonts w:ascii="Century" w:hAnsi="Century"/>
                <w:color w:val="000080"/>
              </w:rPr>
              <w:fldChar w:fldCharType="end"/>
            </w:r>
            <w:r w:rsidRPr="00574560">
              <w:rPr>
                <w:rFonts w:ascii="Century" w:hAnsi="Century"/>
                <w:color w:val="000080"/>
              </w:rPr>
              <w:t xml:space="preserve">: </w:t>
            </w:r>
            <w:r w:rsidRPr="00574560">
              <w:rPr>
                <w:rFonts w:ascii="Century" w:hAnsi="Century"/>
                <w:bCs w:val="0"/>
                <w:color w:val="000080"/>
              </w:rPr>
              <w:t>Poliçe Adetleri / Prim Tutarı</w:t>
            </w:r>
          </w:p>
          <w:p w:rsidR="007909D7" w:rsidRPr="00574560" w:rsidRDefault="007909D7" w:rsidP="00687E46">
            <w:pPr>
              <w:pStyle w:val="Caption"/>
              <w:jc w:val="center"/>
              <w:rPr>
                <w:rFonts w:ascii="Century" w:hAnsi="Century"/>
                <w:b w:val="0"/>
                <w:i/>
                <w:iCs/>
                <w:color w:val="000080"/>
              </w:rPr>
            </w:pPr>
            <w:r w:rsidRPr="00574560">
              <w:rPr>
                <w:rFonts w:ascii="Century" w:hAnsi="Century"/>
                <w:b w:val="0"/>
                <w:i/>
                <w:iCs/>
                <w:color w:val="000080"/>
              </w:rPr>
              <w:t>No.of Policies / Premium</w:t>
            </w:r>
            <w:bookmarkEnd w:id="277"/>
          </w:p>
          <w:p w:rsidR="007909D7" w:rsidRPr="00574560" w:rsidRDefault="007909D7" w:rsidP="004A2D56">
            <w:r w:rsidRPr="00574560">
              <w:rPr>
                <w:noProof/>
              </w:rPr>
              <w:drawing>
                <wp:inline distT="0" distB="0" distL="0" distR="0" wp14:anchorId="4FFBCD8C" wp14:editId="0A09659B">
                  <wp:extent cx="6035040" cy="3554095"/>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35040" cy="3554095"/>
                          </a:xfrm>
                          <a:prstGeom prst="rect">
                            <a:avLst/>
                          </a:prstGeom>
                          <a:noFill/>
                          <a:ln>
                            <a:noFill/>
                          </a:ln>
                        </pic:spPr>
                      </pic:pic>
                    </a:graphicData>
                  </a:graphic>
                </wp:inline>
              </w:drawing>
            </w:r>
          </w:p>
          <w:p w:rsidR="007909D7" w:rsidRPr="00574560" w:rsidRDefault="007909D7" w:rsidP="003D3A97">
            <w:pPr>
              <w:jc w:val="center"/>
              <w:rPr>
                <w:rFonts w:ascii="Century" w:hAnsi="Century"/>
                <w:sz w:val="10"/>
                <w:szCs w:val="10"/>
              </w:rPr>
            </w:pPr>
          </w:p>
        </w:tc>
      </w:tr>
      <w:tr w:rsidR="007909D7" w:rsidRPr="00B10D90" w:rsidTr="00441D50">
        <w:trPr>
          <w:gridAfter w:val="1"/>
          <w:wAfter w:w="20" w:type="dxa"/>
          <w:trHeight w:val="181"/>
        </w:trPr>
        <w:tc>
          <w:tcPr>
            <w:tcW w:w="4817" w:type="dxa"/>
            <w:gridSpan w:val="2"/>
          </w:tcPr>
          <w:p w:rsidR="007909D7" w:rsidRPr="007E4413" w:rsidRDefault="007909D7" w:rsidP="00B84479">
            <w:pPr>
              <w:jc w:val="both"/>
              <w:rPr>
                <w:rFonts w:ascii="Century" w:hAnsi="Century"/>
                <w:sz w:val="22"/>
                <w:szCs w:val="22"/>
              </w:rPr>
            </w:pPr>
            <w:r w:rsidRPr="007E4413">
              <w:rPr>
                <w:rFonts w:ascii="Century" w:hAnsi="Century"/>
                <w:sz w:val="22"/>
                <w:szCs w:val="22"/>
              </w:rPr>
              <w:t xml:space="preserve">Geçmiş yıllarda zorunlu deprem sigortası poliçe adetlerinde dalgalı bir seyir izlenmiştir. 2005 yılında meydana gelen deprem sayısındaki artış, anılan yıldan itibaren sigortalılık oranının artmasında etkili olmuştur. 2010 yılında poliçe adedinde küçük oranda gerileme yaşanmasına rağmen bu tarihten itibaren poliçe adetlerindeki artış 2001-2014 yılları arasında %10’un üzerinde gerçekleşmiş, 2018 yılında ise police adetlerinde %7 oranında artış meydana gelmiştir. </w:t>
            </w:r>
          </w:p>
          <w:p w:rsidR="007909D7" w:rsidRPr="007E4413" w:rsidRDefault="007909D7" w:rsidP="00B84479">
            <w:pPr>
              <w:jc w:val="both"/>
              <w:rPr>
                <w:rFonts w:ascii="Century" w:hAnsi="Century"/>
                <w:sz w:val="22"/>
                <w:szCs w:val="22"/>
              </w:rPr>
            </w:pPr>
            <w:r w:rsidRPr="007E4413">
              <w:rPr>
                <w:rFonts w:ascii="Century" w:hAnsi="Century"/>
                <w:sz w:val="22"/>
                <w:szCs w:val="22"/>
              </w:rPr>
              <w:lastRenderedPageBreak/>
              <w:t>Ülkemizde yıllar itibarıyla oluşan deprem sayısı ile ödenen tazminat dosya sayısı ve tutarları aşağıda gösterilmiştir.</w:t>
            </w:r>
          </w:p>
          <w:p w:rsidR="007909D7" w:rsidRPr="007E4413" w:rsidRDefault="007909D7" w:rsidP="00B84479">
            <w:pPr>
              <w:jc w:val="both"/>
              <w:rPr>
                <w:rFonts w:ascii="Century" w:hAnsi="Century"/>
                <w:sz w:val="22"/>
                <w:szCs w:val="22"/>
              </w:rPr>
            </w:pPr>
          </w:p>
          <w:p w:rsidR="007909D7" w:rsidRPr="007E4413" w:rsidRDefault="007909D7" w:rsidP="00B84479">
            <w:pPr>
              <w:jc w:val="both"/>
              <w:rPr>
                <w:rFonts w:ascii="Century" w:hAnsi="Century"/>
                <w:sz w:val="22"/>
                <w:szCs w:val="22"/>
              </w:rPr>
            </w:pPr>
          </w:p>
        </w:tc>
        <w:tc>
          <w:tcPr>
            <w:tcW w:w="318" w:type="dxa"/>
            <w:gridSpan w:val="7"/>
          </w:tcPr>
          <w:p w:rsidR="007909D7" w:rsidRPr="007E4413" w:rsidRDefault="007909D7" w:rsidP="00687E46">
            <w:pPr>
              <w:rPr>
                <w:rFonts w:ascii="Century" w:hAnsi="Century"/>
                <w:sz w:val="22"/>
                <w:szCs w:val="22"/>
              </w:rPr>
            </w:pPr>
          </w:p>
        </w:tc>
        <w:tc>
          <w:tcPr>
            <w:tcW w:w="4703" w:type="dxa"/>
            <w:gridSpan w:val="6"/>
          </w:tcPr>
          <w:p w:rsidR="007909D7" w:rsidRPr="007E4413" w:rsidRDefault="007909D7" w:rsidP="0059072C">
            <w:pPr>
              <w:jc w:val="both"/>
              <w:rPr>
                <w:rFonts w:ascii="Century" w:hAnsi="Century"/>
                <w:color w:val="333333"/>
                <w:sz w:val="22"/>
                <w:szCs w:val="22"/>
              </w:rPr>
            </w:pPr>
            <w:r w:rsidRPr="007E4413">
              <w:rPr>
                <w:rFonts w:ascii="Century" w:hAnsi="Century"/>
                <w:color w:val="333333"/>
                <w:sz w:val="22"/>
                <w:szCs w:val="22"/>
              </w:rPr>
              <w:t>In recent years, a fluctuating trend has been observed in the sale performance of compulsory earthquake insurance policies. The increase on earthquake frequency in 2005 had a positive effect on penetration rate in the following years</w:t>
            </w:r>
            <w:r w:rsidRPr="007E4413">
              <w:rPr>
                <w:rFonts w:ascii="Century" w:hAnsi="Century"/>
                <w:color w:val="333333"/>
                <w:sz w:val="22"/>
              </w:rPr>
              <w:t xml:space="preserve">. </w:t>
            </w:r>
            <w:r w:rsidR="007E4413" w:rsidRPr="007E4413">
              <w:rPr>
                <w:rFonts w:ascii="Century" w:hAnsi="Century"/>
                <w:color w:val="333333"/>
                <w:sz w:val="22"/>
              </w:rPr>
              <w:t xml:space="preserve">Although </w:t>
            </w:r>
            <w:r w:rsidR="007E4413" w:rsidRPr="007E4413">
              <w:rPr>
                <w:rFonts w:ascii="Century" w:hAnsi="Century"/>
                <w:color w:val="333333"/>
                <w:sz w:val="22"/>
                <w:szCs w:val="22"/>
              </w:rPr>
              <w:t>there was a slight decrease in number of policy in 2010, number of policy increased above 10% in the years between 2011 and 2014, and also increased by 7% in 2018.</w:t>
            </w:r>
          </w:p>
          <w:p w:rsidR="007E4413" w:rsidRPr="007E4413" w:rsidRDefault="007E4413" w:rsidP="0059072C">
            <w:pPr>
              <w:jc w:val="both"/>
              <w:rPr>
                <w:rFonts w:ascii="Century" w:hAnsi="Century"/>
                <w:color w:val="333333"/>
                <w:sz w:val="22"/>
                <w:szCs w:val="22"/>
              </w:rPr>
            </w:pPr>
          </w:p>
          <w:p w:rsidR="007E4413" w:rsidRPr="007E4413" w:rsidRDefault="007E4413" w:rsidP="0059072C">
            <w:pPr>
              <w:jc w:val="both"/>
              <w:rPr>
                <w:rFonts w:ascii="Century" w:hAnsi="Century"/>
                <w:color w:val="333333"/>
                <w:sz w:val="22"/>
                <w:szCs w:val="22"/>
              </w:rPr>
            </w:pPr>
          </w:p>
          <w:p w:rsidR="007909D7" w:rsidRPr="007E4413" w:rsidRDefault="007909D7" w:rsidP="00B84479">
            <w:pPr>
              <w:jc w:val="both"/>
              <w:rPr>
                <w:rFonts w:ascii="Century" w:hAnsi="Century"/>
                <w:color w:val="333333"/>
                <w:sz w:val="22"/>
                <w:szCs w:val="22"/>
              </w:rPr>
            </w:pPr>
            <w:r w:rsidRPr="007E4413">
              <w:rPr>
                <w:rFonts w:ascii="Century" w:hAnsi="Century"/>
                <w:color w:val="333333"/>
                <w:sz w:val="22"/>
                <w:szCs w:val="22"/>
              </w:rPr>
              <w:lastRenderedPageBreak/>
              <w:t>The number of earthquakes occurred annually and the number of claims and paid losses for each year are given below.</w:t>
            </w:r>
          </w:p>
        </w:tc>
      </w:tr>
      <w:tr w:rsidR="007909D7" w:rsidRPr="00B10D90" w:rsidTr="00441D50">
        <w:trPr>
          <w:gridAfter w:val="1"/>
          <w:wAfter w:w="20" w:type="dxa"/>
          <w:trHeight w:val="5026"/>
        </w:trPr>
        <w:tc>
          <w:tcPr>
            <w:tcW w:w="9838" w:type="dxa"/>
            <w:gridSpan w:val="15"/>
          </w:tcPr>
          <w:p w:rsidR="007909D7" w:rsidRPr="00574560" w:rsidRDefault="007909D7" w:rsidP="00015A3E">
            <w:pPr>
              <w:pStyle w:val="Caption"/>
              <w:jc w:val="center"/>
              <w:rPr>
                <w:rFonts w:ascii="Century" w:hAnsi="Century"/>
                <w:bCs w:val="0"/>
                <w:color w:val="000080"/>
              </w:rPr>
            </w:pPr>
            <w:bookmarkStart w:id="278" w:name="_Toc170665566"/>
            <w:r w:rsidRPr="00574560">
              <w:rPr>
                <w:rFonts w:ascii="Century" w:hAnsi="Century"/>
                <w:color w:val="000080"/>
              </w:rPr>
              <w:lastRenderedPageBreak/>
              <w:t xml:space="preserve">Tablo </w:t>
            </w:r>
            <w:r w:rsidRPr="00574560">
              <w:rPr>
                <w:rFonts w:ascii="Century" w:hAnsi="Century"/>
                <w:color w:val="000080"/>
              </w:rPr>
              <w:fldChar w:fldCharType="begin"/>
            </w:r>
            <w:r w:rsidRPr="00574560">
              <w:rPr>
                <w:rFonts w:ascii="Century" w:hAnsi="Century"/>
                <w:color w:val="000080"/>
              </w:rPr>
              <w:instrText xml:space="preserve"> STYLEREF 2 \s </w:instrText>
            </w:r>
            <w:r w:rsidRPr="00574560">
              <w:rPr>
                <w:rFonts w:ascii="Century" w:hAnsi="Century"/>
                <w:color w:val="000080"/>
              </w:rPr>
              <w:fldChar w:fldCharType="separate"/>
            </w:r>
            <w:r w:rsidR="00F57699">
              <w:rPr>
                <w:rFonts w:ascii="Century" w:hAnsi="Century"/>
                <w:noProof/>
                <w:color w:val="000080"/>
              </w:rPr>
              <w:t>5.1</w:t>
            </w:r>
            <w:r w:rsidRPr="00574560">
              <w:rPr>
                <w:rFonts w:ascii="Century" w:hAnsi="Century"/>
                <w:color w:val="000080"/>
              </w:rPr>
              <w:fldChar w:fldCharType="end"/>
            </w:r>
            <w:r w:rsidRPr="00574560">
              <w:rPr>
                <w:rFonts w:ascii="Century" w:hAnsi="Century"/>
                <w:color w:val="000080"/>
              </w:rPr>
              <w:t>.</w:t>
            </w:r>
            <w:r w:rsidRPr="00574560">
              <w:rPr>
                <w:rFonts w:ascii="Century" w:hAnsi="Century"/>
                <w:color w:val="000080"/>
              </w:rPr>
              <w:fldChar w:fldCharType="begin"/>
            </w:r>
            <w:r w:rsidRPr="00574560">
              <w:rPr>
                <w:rFonts w:ascii="Century" w:hAnsi="Century"/>
                <w:color w:val="000080"/>
              </w:rPr>
              <w:instrText xml:space="preserve"> SEQ Tablo \* ARABIC \s 2 </w:instrText>
            </w:r>
            <w:r w:rsidRPr="00574560">
              <w:rPr>
                <w:rFonts w:ascii="Century" w:hAnsi="Century"/>
                <w:color w:val="000080"/>
              </w:rPr>
              <w:fldChar w:fldCharType="separate"/>
            </w:r>
            <w:r w:rsidR="00F57699">
              <w:rPr>
                <w:rFonts w:ascii="Century" w:hAnsi="Century"/>
                <w:noProof/>
                <w:color w:val="000080"/>
              </w:rPr>
              <w:t>5</w:t>
            </w:r>
            <w:r w:rsidRPr="00574560">
              <w:rPr>
                <w:rFonts w:ascii="Century" w:hAnsi="Century"/>
                <w:color w:val="000080"/>
              </w:rPr>
              <w:fldChar w:fldCharType="end"/>
            </w:r>
            <w:r w:rsidRPr="00574560">
              <w:rPr>
                <w:rFonts w:ascii="Century" w:hAnsi="Century"/>
                <w:color w:val="000080"/>
              </w:rPr>
              <w:t xml:space="preserve">: </w:t>
            </w:r>
            <w:r w:rsidRPr="00574560">
              <w:rPr>
                <w:rFonts w:ascii="Century" w:hAnsi="Century"/>
                <w:bCs w:val="0"/>
                <w:color w:val="000080"/>
              </w:rPr>
              <w:t>Meydana Gelen Depremler ve Ödenen Tazminat</w:t>
            </w:r>
          </w:p>
          <w:p w:rsidR="007909D7" w:rsidRPr="00574560" w:rsidRDefault="007909D7" w:rsidP="00CC3FCB">
            <w:pPr>
              <w:pStyle w:val="Caption"/>
              <w:jc w:val="center"/>
              <w:rPr>
                <w:rFonts w:ascii="Century" w:hAnsi="Century"/>
                <w:b w:val="0"/>
                <w:i/>
                <w:iCs/>
                <w:color w:val="000080"/>
              </w:rPr>
            </w:pPr>
            <w:r w:rsidRPr="00574560">
              <w:rPr>
                <w:rFonts w:ascii="Century" w:hAnsi="Century"/>
                <w:b w:val="0"/>
                <w:i/>
                <w:iCs/>
                <w:color w:val="000080"/>
              </w:rPr>
              <w:t>Occured Earthquake and Paid Losses</w:t>
            </w:r>
            <w:bookmarkEnd w:id="278"/>
          </w:p>
          <w:p w:rsidR="007909D7" w:rsidRPr="00574560" w:rsidRDefault="007909D7" w:rsidP="00E71D25">
            <w:pPr>
              <w:jc w:val="center"/>
              <w:rPr>
                <w:rFonts w:ascii="Century" w:hAnsi="Century"/>
              </w:rPr>
            </w:pPr>
            <w:r w:rsidRPr="00574560">
              <w:rPr>
                <w:rFonts w:ascii="Century" w:hAnsi="Century"/>
                <w:noProof/>
              </w:rPr>
              <w:drawing>
                <wp:inline distT="0" distB="0" distL="0" distR="0" wp14:anchorId="258B9472" wp14:editId="76CAA889">
                  <wp:extent cx="6106795" cy="3594100"/>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6795" cy="3594100"/>
                          </a:xfrm>
                          <a:prstGeom prst="rect">
                            <a:avLst/>
                          </a:prstGeom>
                          <a:noFill/>
                          <a:ln>
                            <a:noFill/>
                          </a:ln>
                        </pic:spPr>
                      </pic:pic>
                    </a:graphicData>
                  </a:graphic>
                </wp:inline>
              </w:drawing>
            </w:r>
          </w:p>
        </w:tc>
      </w:tr>
      <w:tr w:rsidR="007909D7" w:rsidRPr="00B10D90" w:rsidTr="00441D50">
        <w:trPr>
          <w:gridAfter w:val="1"/>
          <w:wAfter w:w="20" w:type="dxa"/>
        </w:trPr>
        <w:tc>
          <w:tcPr>
            <w:tcW w:w="4817" w:type="dxa"/>
            <w:gridSpan w:val="2"/>
          </w:tcPr>
          <w:p w:rsidR="007909D7" w:rsidRPr="00B10D90" w:rsidRDefault="007909D7" w:rsidP="00FC1505">
            <w:pPr>
              <w:jc w:val="both"/>
              <w:rPr>
                <w:rFonts w:ascii="Century" w:hAnsi="Century"/>
                <w:sz w:val="14"/>
                <w:szCs w:val="14"/>
                <w:highlight w:val="yellow"/>
              </w:rPr>
            </w:pPr>
          </w:p>
          <w:p w:rsidR="007909D7" w:rsidRPr="00B10D90" w:rsidRDefault="007909D7" w:rsidP="00FC1505">
            <w:pPr>
              <w:jc w:val="both"/>
              <w:rPr>
                <w:rFonts w:ascii="Century" w:hAnsi="Century"/>
                <w:sz w:val="14"/>
                <w:szCs w:val="14"/>
                <w:highlight w:val="yellow"/>
              </w:rPr>
            </w:pPr>
          </w:p>
          <w:p w:rsidR="007909D7" w:rsidRPr="00B10D90" w:rsidRDefault="007909D7" w:rsidP="00FC1505">
            <w:pPr>
              <w:jc w:val="both"/>
              <w:rPr>
                <w:rFonts w:ascii="Century" w:hAnsi="Century"/>
                <w:sz w:val="14"/>
                <w:szCs w:val="14"/>
                <w:highlight w:val="yellow"/>
              </w:rPr>
            </w:pPr>
          </w:p>
          <w:p w:rsidR="007909D7" w:rsidRPr="00B10D90" w:rsidRDefault="007909D7" w:rsidP="00FC1505">
            <w:pPr>
              <w:jc w:val="both"/>
              <w:rPr>
                <w:rFonts w:ascii="Century" w:hAnsi="Century"/>
                <w:sz w:val="22"/>
                <w:szCs w:val="22"/>
                <w:highlight w:val="yellow"/>
              </w:rPr>
            </w:pPr>
            <w:r w:rsidRPr="00574560">
              <w:rPr>
                <w:rFonts w:ascii="Century" w:hAnsi="Century"/>
                <w:sz w:val="22"/>
                <w:szCs w:val="22"/>
              </w:rPr>
              <w:t>DASK tarafından kuruluşundan itibaren 186</w:t>
            </w:r>
            <w:proofErr w:type="gramStart"/>
            <w:r w:rsidRPr="00574560">
              <w:rPr>
                <w:rFonts w:ascii="Century" w:hAnsi="Century"/>
                <w:sz w:val="22"/>
                <w:szCs w:val="22"/>
              </w:rPr>
              <w:t>,4</w:t>
            </w:r>
            <w:proofErr w:type="gramEnd"/>
            <w:r w:rsidRPr="00574560">
              <w:rPr>
                <w:rFonts w:ascii="Century" w:hAnsi="Century"/>
                <w:sz w:val="22"/>
                <w:szCs w:val="22"/>
              </w:rPr>
              <w:t xml:space="preserve"> milyon TL tazminat ödenmiştir. Bu tutarın %78’i 2011 yılında meydana gelen depremlere, özellikle Van depremine ilişkindir. 2018 yılında ödenen tazminat tutarları depremlerin oluş tarihine göre aşağıdaki tabloda verilmiştir. </w:t>
            </w:r>
          </w:p>
          <w:p w:rsidR="007909D7" w:rsidRPr="00B10D90" w:rsidRDefault="007909D7" w:rsidP="00FC1505">
            <w:pPr>
              <w:jc w:val="both"/>
              <w:rPr>
                <w:rFonts w:ascii="Century" w:hAnsi="Century"/>
                <w:sz w:val="22"/>
                <w:szCs w:val="22"/>
                <w:highlight w:val="yellow"/>
              </w:rPr>
            </w:pPr>
          </w:p>
          <w:p w:rsidR="007909D7" w:rsidRPr="00B10D90" w:rsidRDefault="007909D7" w:rsidP="00FC1505">
            <w:pPr>
              <w:jc w:val="both"/>
              <w:rPr>
                <w:rFonts w:ascii="Century" w:hAnsi="Century"/>
                <w:sz w:val="22"/>
                <w:szCs w:val="22"/>
                <w:highlight w:val="yellow"/>
              </w:rPr>
            </w:pPr>
          </w:p>
          <w:p w:rsidR="007909D7" w:rsidRPr="00B10D90" w:rsidRDefault="007909D7" w:rsidP="00FC1505">
            <w:pPr>
              <w:jc w:val="both"/>
              <w:rPr>
                <w:rFonts w:ascii="Century" w:hAnsi="Century"/>
                <w:sz w:val="22"/>
                <w:szCs w:val="22"/>
                <w:highlight w:val="yellow"/>
              </w:rPr>
            </w:pPr>
          </w:p>
          <w:p w:rsidR="007909D7" w:rsidRPr="00B10D90" w:rsidRDefault="007909D7" w:rsidP="00FC1505">
            <w:pPr>
              <w:jc w:val="both"/>
              <w:rPr>
                <w:rFonts w:ascii="Century" w:hAnsi="Century"/>
                <w:sz w:val="22"/>
                <w:szCs w:val="22"/>
                <w:highlight w:val="yellow"/>
              </w:rPr>
            </w:pPr>
          </w:p>
          <w:p w:rsidR="007909D7" w:rsidRPr="00B10D90" w:rsidRDefault="007909D7" w:rsidP="00FC1505">
            <w:pPr>
              <w:jc w:val="both"/>
              <w:rPr>
                <w:rFonts w:ascii="Century" w:hAnsi="Century"/>
                <w:sz w:val="22"/>
                <w:szCs w:val="22"/>
                <w:highlight w:val="yellow"/>
              </w:rPr>
            </w:pPr>
          </w:p>
          <w:p w:rsidR="007909D7" w:rsidRPr="00B10D90" w:rsidRDefault="007909D7" w:rsidP="00FC1505">
            <w:pPr>
              <w:jc w:val="both"/>
              <w:rPr>
                <w:rFonts w:ascii="Century" w:hAnsi="Century"/>
                <w:sz w:val="22"/>
                <w:szCs w:val="22"/>
                <w:highlight w:val="yellow"/>
              </w:rPr>
            </w:pPr>
          </w:p>
        </w:tc>
        <w:tc>
          <w:tcPr>
            <w:tcW w:w="318" w:type="dxa"/>
            <w:gridSpan w:val="7"/>
          </w:tcPr>
          <w:p w:rsidR="007909D7" w:rsidRPr="00B10D90" w:rsidRDefault="007909D7" w:rsidP="00687E46">
            <w:pPr>
              <w:rPr>
                <w:rFonts w:ascii="Century" w:hAnsi="Century"/>
                <w:sz w:val="22"/>
                <w:szCs w:val="22"/>
                <w:highlight w:val="yellow"/>
              </w:rPr>
            </w:pPr>
          </w:p>
        </w:tc>
        <w:tc>
          <w:tcPr>
            <w:tcW w:w="4703" w:type="dxa"/>
            <w:gridSpan w:val="6"/>
          </w:tcPr>
          <w:p w:rsidR="007909D7" w:rsidRPr="00B10D90" w:rsidRDefault="007909D7" w:rsidP="00ED52EE">
            <w:pPr>
              <w:jc w:val="both"/>
              <w:rPr>
                <w:rFonts w:ascii="Century" w:hAnsi="Century"/>
                <w:color w:val="333333"/>
                <w:sz w:val="14"/>
                <w:szCs w:val="14"/>
                <w:highlight w:val="yellow"/>
              </w:rPr>
            </w:pPr>
          </w:p>
          <w:p w:rsidR="007909D7" w:rsidRPr="00B10D90" w:rsidRDefault="007909D7" w:rsidP="00ED52EE">
            <w:pPr>
              <w:jc w:val="both"/>
              <w:rPr>
                <w:rFonts w:ascii="Century" w:hAnsi="Century"/>
                <w:color w:val="333333"/>
                <w:sz w:val="14"/>
                <w:szCs w:val="14"/>
                <w:highlight w:val="yellow"/>
              </w:rPr>
            </w:pPr>
          </w:p>
          <w:p w:rsidR="007909D7" w:rsidRPr="00B10D90" w:rsidRDefault="007909D7" w:rsidP="00ED52EE">
            <w:pPr>
              <w:jc w:val="both"/>
              <w:rPr>
                <w:rFonts w:ascii="Century" w:hAnsi="Century"/>
                <w:color w:val="333333"/>
                <w:sz w:val="14"/>
                <w:szCs w:val="14"/>
                <w:highlight w:val="yellow"/>
              </w:rPr>
            </w:pPr>
          </w:p>
          <w:p w:rsidR="007909D7" w:rsidRPr="00B10D90" w:rsidRDefault="007909D7" w:rsidP="00574560">
            <w:pPr>
              <w:jc w:val="both"/>
              <w:rPr>
                <w:rFonts w:ascii="Century" w:hAnsi="Century"/>
                <w:color w:val="333333"/>
                <w:sz w:val="22"/>
                <w:szCs w:val="22"/>
                <w:highlight w:val="yellow"/>
              </w:rPr>
            </w:pPr>
            <w:r w:rsidRPr="00574560">
              <w:rPr>
                <w:rFonts w:ascii="Century" w:hAnsi="Century"/>
                <w:color w:val="333333"/>
                <w:sz w:val="22"/>
                <w:szCs w:val="22"/>
              </w:rPr>
              <w:t xml:space="preserve">The total claims paid by TCIP since the beginning has been about </w:t>
            </w:r>
            <w:r w:rsidRPr="00574560">
              <w:rPr>
                <w:rFonts w:ascii="AbakuTLSymSans" w:hAnsi="AbakuTLSymSans"/>
                <w:color w:val="333333"/>
                <w:sz w:val="22"/>
                <w:szCs w:val="22"/>
              </w:rPr>
              <w:t>¨</w:t>
            </w:r>
            <w:r w:rsidRPr="00574560">
              <w:rPr>
                <w:rFonts w:ascii="Century" w:hAnsi="Century"/>
                <w:color w:val="333333"/>
                <w:sz w:val="22"/>
                <w:szCs w:val="22"/>
              </w:rPr>
              <w:t>186,4 million and 78% of this amount occurred in 2011, specifically in the earthquake of Van. The amount of claims paid in 2018 is given in the following table according to the occurrence date of earthquakes.</w:t>
            </w:r>
            <w:r w:rsidRPr="00574560">
              <w:rPr>
                <w:rFonts w:ascii="Arial" w:hAnsi="Arial" w:cs="Arial"/>
                <w:color w:val="333333"/>
              </w:rPr>
              <w:t xml:space="preserve"> </w:t>
            </w:r>
          </w:p>
        </w:tc>
      </w:tr>
      <w:tr w:rsidR="007909D7" w:rsidRPr="00B10D90" w:rsidTr="00441D50">
        <w:trPr>
          <w:gridAfter w:val="1"/>
          <w:wAfter w:w="20" w:type="dxa"/>
          <w:trHeight w:val="3028"/>
        </w:trPr>
        <w:tc>
          <w:tcPr>
            <w:tcW w:w="9838" w:type="dxa"/>
            <w:gridSpan w:val="15"/>
          </w:tcPr>
          <w:p w:rsidR="007909D7" w:rsidRPr="00574560" w:rsidRDefault="007909D7" w:rsidP="00E54EF6">
            <w:pPr>
              <w:pStyle w:val="Caption"/>
              <w:jc w:val="center"/>
              <w:rPr>
                <w:rFonts w:ascii="Century" w:hAnsi="Century"/>
                <w:bCs w:val="0"/>
                <w:color w:val="000080"/>
              </w:rPr>
            </w:pPr>
            <w:bookmarkStart w:id="279" w:name="_Toc170665567"/>
            <w:r w:rsidRPr="00574560">
              <w:rPr>
                <w:rFonts w:ascii="Century" w:hAnsi="Century"/>
                <w:color w:val="000080"/>
              </w:rPr>
              <w:lastRenderedPageBreak/>
              <w:t xml:space="preserve">Tablo </w:t>
            </w:r>
            <w:r w:rsidRPr="00574560">
              <w:rPr>
                <w:rFonts w:ascii="Century" w:hAnsi="Century"/>
                <w:color w:val="000080"/>
              </w:rPr>
              <w:fldChar w:fldCharType="begin"/>
            </w:r>
            <w:r w:rsidRPr="00574560">
              <w:rPr>
                <w:rFonts w:ascii="Century" w:hAnsi="Century"/>
                <w:color w:val="000080"/>
              </w:rPr>
              <w:instrText xml:space="preserve"> STYLEREF 2 \s </w:instrText>
            </w:r>
            <w:r w:rsidRPr="00574560">
              <w:rPr>
                <w:rFonts w:ascii="Century" w:hAnsi="Century"/>
                <w:color w:val="000080"/>
              </w:rPr>
              <w:fldChar w:fldCharType="separate"/>
            </w:r>
            <w:r w:rsidR="00F57699">
              <w:rPr>
                <w:rFonts w:ascii="Century" w:hAnsi="Century"/>
                <w:noProof/>
                <w:color w:val="000080"/>
              </w:rPr>
              <w:t>5.1</w:t>
            </w:r>
            <w:r w:rsidRPr="00574560">
              <w:rPr>
                <w:rFonts w:ascii="Century" w:hAnsi="Century"/>
                <w:color w:val="000080"/>
              </w:rPr>
              <w:fldChar w:fldCharType="end"/>
            </w:r>
            <w:r w:rsidRPr="00574560">
              <w:rPr>
                <w:rFonts w:ascii="Century" w:hAnsi="Century"/>
                <w:color w:val="000080"/>
              </w:rPr>
              <w:t>.</w:t>
            </w:r>
            <w:r w:rsidRPr="00574560">
              <w:rPr>
                <w:rFonts w:ascii="Century" w:hAnsi="Century"/>
                <w:color w:val="000080"/>
              </w:rPr>
              <w:fldChar w:fldCharType="begin"/>
            </w:r>
            <w:r w:rsidRPr="00574560">
              <w:rPr>
                <w:rFonts w:ascii="Century" w:hAnsi="Century"/>
                <w:color w:val="000080"/>
              </w:rPr>
              <w:instrText xml:space="preserve"> SEQ Tablo \* ARABIC \s 2 </w:instrText>
            </w:r>
            <w:r w:rsidRPr="00574560">
              <w:rPr>
                <w:rFonts w:ascii="Century" w:hAnsi="Century"/>
                <w:color w:val="000080"/>
              </w:rPr>
              <w:fldChar w:fldCharType="separate"/>
            </w:r>
            <w:r w:rsidR="00F57699">
              <w:rPr>
                <w:rFonts w:ascii="Century" w:hAnsi="Century"/>
                <w:noProof/>
                <w:color w:val="000080"/>
              </w:rPr>
              <w:t>6</w:t>
            </w:r>
            <w:r w:rsidRPr="00574560">
              <w:rPr>
                <w:rFonts w:ascii="Century" w:hAnsi="Century"/>
                <w:color w:val="000080"/>
              </w:rPr>
              <w:fldChar w:fldCharType="end"/>
            </w:r>
            <w:r w:rsidRPr="00574560">
              <w:rPr>
                <w:rFonts w:ascii="Century" w:hAnsi="Century"/>
                <w:color w:val="000080"/>
              </w:rPr>
              <w:t xml:space="preserve">: </w:t>
            </w:r>
            <w:r w:rsidRPr="00574560">
              <w:rPr>
                <w:rFonts w:ascii="Century" w:hAnsi="Century"/>
                <w:bCs w:val="0"/>
                <w:color w:val="000080"/>
              </w:rPr>
              <w:t>201</w:t>
            </w:r>
            <w:r>
              <w:rPr>
                <w:rFonts w:ascii="Century" w:hAnsi="Century"/>
                <w:bCs w:val="0"/>
                <w:color w:val="000080"/>
              </w:rPr>
              <w:t>8</w:t>
            </w:r>
            <w:r w:rsidRPr="00574560">
              <w:rPr>
                <w:rFonts w:ascii="Century" w:hAnsi="Century"/>
                <w:bCs w:val="0"/>
                <w:color w:val="000080"/>
              </w:rPr>
              <w:t xml:space="preserve"> Yılı Depremlerine İlişkin Ödenen Tazminat </w:t>
            </w:r>
          </w:p>
          <w:p w:rsidR="007909D7" w:rsidRPr="00574560" w:rsidRDefault="007909D7" w:rsidP="008554C5">
            <w:pPr>
              <w:pStyle w:val="Caption"/>
              <w:jc w:val="center"/>
              <w:rPr>
                <w:rFonts w:ascii="Century" w:hAnsi="Century"/>
                <w:b w:val="0"/>
                <w:i/>
                <w:iCs/>
                <w:color w:val="000080"/>
              </w:rPr>
            </w:pPr>
            <w:r w:rsidRPr="00574560">
              <w:rPr>
                <w:rFonts w:ascii="Century" w:hAnsi="Century"/>
                <w:b w:val="0"/>
                <w:i/>
                <w:iCs/>
                <w:color w:val="000080"/>
              </w:rPr>
              <w:t>Paid Losses by the TCIP</w:t>
            </w:r>
            <w:bookmarkEnd w:id="279"/>
            <w:r w:rsidRPr="00574560">
              <w:rPr>
                <w:rFonts w:ascii="Century" w:hAnsi="Century"/>
                <w:b w:val="0"/>
                <w:i/>
                <w:iCs/>
                <w:color w:val="000080"/>
              </w:rPr>
              <w:t xml:space="preserve"> in 201</w:t>
            </w:r>
            <w:r>
              <w:rPr>
                <w:rFonts w:ascii="Century" w:hAnsi="Century"/>
                <w:b w:val="0"/>
                <w:i/>
                <w:iCs/>
                <w:color w:val="000080"/>
              </w:rPr>
              <w:t>8</w:t>
            </w:r>
          </w:p>
          <w:p w:rsidR="007909D7" w:rsidRPr="00574560" w:rsidRDefault="007909D7" w:rsidP="00D73228">
            <w:pPr>
              <w:jc w:val="center"/>
              <w:rPr>
                <w:rFonts w:ascii="Century" w:hAnsi="Century"/>
              </w:rPr>
            </w:pPr>
            <w:r w:rsidRPr="00574560">
              <w:rPr>
                <w:rFonts w:ascii="Century" w:hAnsi="Century"/>
                <w:noProof/>
              </w:rPr>
              <w:drawing>
                <wp:inline distT="0" distB="0" distL="0" distR="0" wp14:anchorId="57B088C7" wp14:editId="2A7C219F">
                  <wp:extent cx="6106795" cy="5892165"/>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06795" cy="5892165"/>
                          </a:xfrm>
                          <a:prstGeom prst="rect">
                            <a:avLst/>
                          </a:prstGeom>
                          <a:noFill/>
                          <a:ln>
                            <a:noFill/>
                          </a:ln>
                        </pic:spPr>
                      </pic:pic>
                    </a:graphicData>
                  </a:graphic>
                </wp:inline>
              </w:drawing>
            </w: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Default="007909D7" w:rsidP="00D73228">
            <w:pPr>
              <w:jc w:val="center"/>
              <w:rPr>
                <w:rFonts w:ascii="Century" w:hAnsi="Century"/>
              </w:rPr>
            </w:pPr>
          </w:p>
          <w:p w:rsidR="007909D7" w:rsidRDefault="007909D7" w:rsidP="00D73228">
            <w:pPr>
              <w:jc w:val="center"/>
              <w:rPr>
                <w:rFonts w:ascii="Century" w:hAnsi="Century"/>
              </w:rPr>
            </w:pPr>
          </w:p>
          <w:p w:rsidR="007909D7" w:rsidRDefault="007909D7" w:rsidP="00D73228">
            <w:pPr>
              <w:jc w:val="center"/>
              <w:rPr>
                <w:rFonts w:ascii="Century" w:hAnsi="Century"/>
              </w:rPr>
            </w:pPr>
          </w:p>
          <w:p w:rsidR="007909D7" w:rsidRDefault="007909D7" w:rsidP="00D73228">
            <w:pPr>
              <w:jc w:val="center"/>
              <w:rPr>
                <w:rFonts w:ascii="Century" w:hAnsi="Century"/>
              </w:rPr>
            </w:pPr>
          </w:p>
          <w:p w:rsidR="007909D7" w:rsidRPr="00574560" w:rsidRDefault="007909D7" w:rsidP="00D73228">
            <w:pPr>
              <w:jc w:val="center"/>
              <w:rPr>
                <w:rFonts w:ascii="Century" w:hAnsi="Century"/>
              </w:rPr>
            </w:pPr>
          </w:p>
          <w:p w:rsidR="007909D7" w:rsidRDefault="007909D7" w:rsidP="00D73228">
            <w:pPr>
              <w:jc w:val="center"/>
              <w:rPr>
                <w:rFonts w:ascii="Century" w:hAnsi="Century"/>
              </w:rPr>
            </w:pPr>
          </w:p>
          <w:p w:rsidR="007909D7" w:rsidRPr="00574560" w:rsidRDefault="007909D7" w:rsidP="00D73228">
            <w:pPr>
              <w:jc w:val="center"/>
              <w:rPr>
                <w:rFonts w:ascii="Century" w:hAnsi="Century"/>
              </w:rPr>
            </w:pPr>
          </w:p>
        </w:tc>
      </w:tr>
      <w:tr w:rsidR="007909D7" w:rsidRPr="00B10D90" w:rsidTr="00441D50">
        <w:trPr>
          <w:gridAfter w:val="3"/>
          <w:wAfter w:w="61" w:type="dxa"/>
          <w:trHeight w:val="181"/>
        </w:trPr>
        <w:tc>
          <w:tcPr>
            <w:tcW w:w="4840" w:type="dxa"/>
            <w:gridSpan w:val="3"/>
          </w:tcPr>
          <w:p w:rsidR="007909D7" w:rsidRPr="00DA2B24" w:rsidRDefault="007909D7" w:rsidP="00C62172">
            <w:pPr>
              <w:pStyle w:val="Heading2"/>
              <w:keepNext w:val="0"/>
              <w:numPr>
                <w:ilvl w:val="1"/>
                <w:numId w:val="1"/>
              </w:numPr>
              <w:tabs>
                <w:tab w:val="left" w:pos="316"/>
                <w:tab w:val="num" w:pos="536"/>
              </w:tabs>
              <w:spacing w:before="0" w:after="0"/>
              <w:ind w:left="0"/>
              <w:jc w:val="both"/>
              <w:rPr>
                <w:rFonts w:ascii="Century" w:hAnsi="Century"/>
                <w:i w:val="0"/>
                <w:color w:val="000080"/>
                <w:sz w:val="22"/>
                <w:szCs w:val="22"/>
              </w:rPr>
            </w:pPr>
            <w:bookmarkStart w:id="280" w:name="_Toc327793362"/>
            <w:bookmarkStart w:id="281" w:name="_Toc358380221"/>
            <w:bookmarkStart w:id="282" w:name="_Toc12957693"/>
            <w:r w:rsidRPr="00DA2B24">
              <w:rPr>
                <w:rFonts w:ascii="Century" w:hAnsi="Century"/>
                <w:i w:val="0"/>
                <w:color w:val="000080"/>
                <w:sz w:val="22"/>
                <w:szCs w:val="22"/>
              </w:rPr>
              <w:lastRenderedPageBreak/>
              <w:t>Tarım Sigortaları Havuzu (TARSİM)</w:t>
            </w:r>
            <w:bookmarkEnd w:id="280"/>
            <w:bookmarkEnd w:id="281"/>
            <w:bookmarkEnd w:id="282"/>
          </w:p>
          <w:p w:rsidR="007909D7" w:rsidRPr="00DA2B24" w:rsidRDefault="007909D7" w:rsidP="004835DB">
            <w:pPr>
              <w:rPr>
                <w:rFonts w:ascii="Century" w:hAnsi="Century"/>
                <w:sz w:val="22"/>
                <w:szCs w:val="22"/>
              </w:rPr>
            </w:pPr>
          </w:p>
          <w:p w:rsidR="007909D7" w:rsidRPr="00DA2B24" w:rsidRDefault="007909D7" w:rsidP="004835DB">
            <w:pPr>
              <w:pStyle w:val="NormalWeb"/>
              <w:spacing w:before="0" w:beforeAutospacing="0" w:after="0" w:afterAutospacing="0"/>
              <w:jc w:val="both"/>
              <w:rPr>
                <w:rFonts w:ascii="Century" w:hAnsi="Century"/>
                <w:sz w:val="22"/>
                <w:szCs w:val="22"/>
              </w:rPr>
            </w:pPr>
            <w:r w:rsidRPr="00DA2B24">
              <w:rPr>
                <w:rFonts w:ascii="Century" w:hAnsi="Century"/>
                <w:sz w:val="22"/>
                <w:szCs w:val="22"/>
              </w:rPr>
              <w:t>Ülkemizde tarım sektörünü tehdit eden risklerin teminat altına alınabilmesi amacıyla bir sigorta sistemi oluşturmak üzere 2005 yılında 5363 sayılı Tarım Sigortaları Kanunu çıkartılmıştır. Bu Kanuna göre:</w:t>
            </w:r>
          </w:p>
          <w:p w:rsidR="007909D7" w:rsidRPr="00DA2B24" w:rsidRDefault="007909D7" w:rsidP="004835D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DA2B24">
              <w:rPr>
                <w:rFonts w:ascii="Century" w:hAnsi="Century"/>
                <w:sz w:val="22"/>
                <w:szCs w:val="22"/>
              </w:rPr>
              <w:t>Sigorta sözleşmelerinde standardın sağlanması,</w:t>
            </w:r>
          </w:p>
          <w:p w:rsidR="007909D7" w:rsidRPr="00DA2B24" w:rsidRDefault="007909D7" w:rsidP="009705EB">
            <w:pPr>
              <w:pStyle w:val="NormalWeb"/>
              <w:spacing w:before="0" w:beforeAutospacing="0" w:after="0" w:afterAutospacing="0"/>
              <w:ind w:left="252"/>
              <w:jc w:val="both"/>
              <w:rPr>
                <w:rFonts w:ascii="Century" w:hAnsi="Century"/>
                <w:sz w:val="22"/>
                <w:szCs w:val="22"/>
              </w:rPr>
            </w:pPr>
          </w:p>
          <w:p w:rsidR="007909D7" w:rsidRPr="00DA2B24"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DA2B24">
              <w:rPr>
                <w:rFonts w:ascii="Century" w:hAnsi="Century"/>
                <w:sz w:val="22"/>
                <w:szCs w:val="22"/>
              </w:rPr>
              <w:t>Riskin en iyi koşullarda transferi için uygun ortam oluşturulması,</w:t>
            </w:r>
          </w:p>
          <w:p w:rsidR="007909D7" w:rsidRPr="00DA2B24" w:rsidRDefault="007909D7" w:rsidP="009705E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DA2B24">
              <w:rPr>
                <w:rFonts w:ascii="Century" w:hAnsi="Century"/>
                <w:sz w:val="22"/>
                <w:szCs w:val="22"/>
              </w:rPr>
              <w:t>Oluşacak hasarlarda tazminatın tek merkezden ödenmesi,</w:t>
            </w:r>
          </w:p>
          <w:p w:rsidR="007909D7" w:rsidRPr="00DA2B24" w:rsidRDefault="007909D7" w:rsidP="009705E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DA2B24">
              <w:rPr>
                <w:rFonts w:ascii="Century" w:hAnsi="Century"/>
                <w:sz w:val="22"/>
                <w:szCs w:val="22"/>
              </w:rPr>
              <w:t xml:space="preserve">Tarım sigortalarının geliştirilmesi ve yaygınlaştırılması </w:t>
            </w:r>
          </w:p>
          <w:p w:rsidR="007909D7" w:rsidRPr="00DA2B24" w:rsidRDefault="007909D7" w:rsidP="009705E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spacing w:before="0" w:beforeAutospacing="0" w:after="0" w:afterAutospacing="0"/>
              <w:jc w:val="both"/>
              <w:rPr>
                <w:rFonts w:ascii="Century" w:hAnsi="Century"/>
                <w:sz w:val="22"/>
                <w:szCs w:val="22"/>
              </w:rPr>
            </w:pPr>
            <w:proofErr w:type="gramStart"/>
            <w:r w:rsidRPr="00DA2B24">
              <w:rPr>
                <w:rFonts w:ascii="Century" w:hAnsi="Century"/>
                <w:sz w:val="22"/>
                <w:szCs w:val="22"/>
              </w:rPr>
              <w:t>amacına</w:t>
            </w:r>
            <w:proofErr w:type="gramEnd"/>
            <w:r w:rsidRPr="00DA2B24">
              <w:rPr>
                <w:rFonts w:ascii="Century" w:hAnsi="Century"/>
                <w:sz w:val="22"/>
                <w:szCs w:val="22"/>
              </w:rPr>
              <w:t xml:space="preserve"> yönelik olmak üzere sigorta havuzu kurulmuştur.</w:t>
            </w:r>
          </w:p>
          <w:p w:rsidR="007909D7" w:rsidRPr="00DA2B24" w:rsidRDefault="007909D7" w:rsidP="004835D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spacing w:before="0" w:beforeAutospacing="0" w:after="0" w:afterAutospacing="0"/>
              <w:jc w:val="both"/>
              <w:rPr>
                <w:rFonts w:ascii="Century" w:hAnsi="Century"/>
                <w:sz w:val="22"/>
                <w:szCs w:val="22"/>
              </w:rPr>
            </w:pPr>
            <w:r w:rsidRPr="00DA2B24">
              <w:rPr>
                <w:rFonts w:ascii="Century" w:hAnsi="Century"/>
                <w:sz w:val="22"/>
                <w:szCs w:val="22"/>
              </w:rPr>
              <w:t>Devlet, 5363 sayılı Kanun kapsamında yapılan sözleşmelere çiftçi adına prim desteği sağlamaktadır. Prim desteğinin miktarı her yıl, ürün, risk, bölge ve işletme ölçekleri itibarıyla Bakanlar Kurulu tarafından belirlenmektedir. Devlet Destekli Tarım sigortasında sigorta şirketleri sigorta poliçelerini kendi adlarına düzenlemekte, ancak risk ve primin %100’ünü zorunlu olarak Havuza devretmektedirler.</w:t>
            </w:r>
          </w:p>
          <w:p w:rsidR="007909D7" w:rsidRPr="00DA2B24" w:rsidRDefault="007909D7" w:rsidP="004835DB">
            <w:pPr>
              <w:pStyle w:val="NormalWeb"/>
              <w:spacing w:before="0" w:beforeAutospacing="0" w:after="0" w:afterAutospacing="0"/>
              <w:jc w:val="both"/>
              <w:rPr>
                <w:rFonts w:ascii="Century" w:hAnsi="Century"/>
                <w:sz w:val="22"/>
                <w:szCs w:val="22"/>
              </w:rPr>
            </w:pPr>
          </w:p>
          <w:p w:rsidR="007909D7" w:rsidRPr="00DA2B24" w:rsidRDefault="007909D7" w:rsidP="004835DB">
            <w:pPr>
              <w:pStyle w:val="NormalWeb"/>
              <w:spacing w:before="0" w:beforeAutospacing="0" w:after="0" w:afterAutospacing="0"/>
              <w:jc w:val="both"/>
              <w:rPr>
                <w:rFonts w:ascii="Century" w:hAnsi="Century"/>
                <w:sz w:val="22"/>
                <w:szCs w:val="22"/>
              </w:rPr>
            </w:pPr>
            <w:r w:rsidRPr="00DA2B24">
              <w:rPr>
                <w:rFonts w:ascii="Century" w:hAnsi="Century"/>
                <w:sz w:val="22"/>
                <w:szCs w:val="22"/>
              </w:rPr>
              <w:t>Havuza ilişkin tüm iş ve işlemler, havuza katılan şirketlerin eşit hisse ile ortak oldukları Tarım Sigortaları Havuz İşletmesi AŞ tarafından yürütülmektedir. Tarım Sigortaları Havuz İşletmesi AŞ’nin 31.12.201</w:t>
            </w:r>
            <w:r>
              <w:rPr>
                <w:rFonts w:ascii="Century" w:hAnsi="Century"/>
                <w:sz w:val="22"/>
                <w:szCs w:val="22"/>
              </w:rPr>
              <w:t>8</w:t>
            </w:r>
            <w:r w:rsidRPr="00DA2B24">
              <w:rPr>
                <w:rFonts w:ascii="Century" w:hAnsi="Century"/>
                <w:sz w:val="22"/>
                <w:szCs w:val="22"/>
              </w:rPr>
              <w:t xml:space="preserve"> tarihli bilanço ve gelir tablosu Raporun Tablolar bölümünde verilmiştir. </w:t>
            </w:r>
          </w:p>
          <w:p w:rsidR="007909D7" w:rsidRPr="00DA2B24" w:rsidRDefault="007909D7" w:rsidP="004835DB">
            <w:pPr>
              <w:pStyle w:val="NormalWeb"/>
              <w:spacing w:before="0" w:beforeAutospacing="0" w:after="0" w:afterAutospacing="0"/>
              <w:jc w:val="both"/>
              <w:rPr>
                <w:rFonts w:ascii="Century" w:hAnsi="Century"/>
                <w:sz w:val="22"/>
                <w:szCs w:val="22"/>
              </w:rPr>
            </w:pPr>
          </w:p>
          <w:p w:rsidR="007909D7" w:rsidRPr="00DA2B24" w:rsidRDefault="007909D7" w:rsidP="006946C3">
            <w:pPr>
              <w:pStyle w:val="NormalWeb"/>
              <w:spacing w:before="0" w:beforeAutospacing="0" w:after="0" w:afterAutospacing="0"/>
              <w:jc w:val="both"/>
              <w:rPr>
                <w:rFonts w:ascii="Century" w:hAnsi="Century"/>
                <w:sz w:val="22"/>
                <w:szCs w:val="22"/>
              </w:rPr>
            </w:pPr>
            <w:r w:rsidRPr="00DA2B24">
              <w:rPr>
                <w:rFonts w:ascii="Century" w:hAnsi="Century"/>
                <w:sz w:val="22"/>
                <w:szCs w:val="22"/>
              </w:rPr>
              <w:t>Üye şirketler ve devlet destekli tarım sigortaları direkt prim üretimleri aşağıdaki tabloda sunulmuştur.</w:t>
            </w:r>
          </w:p>
          <w:p w:rsidR="007909D7" w:rsidRPr="00DA2B24" w:rsidRDefault="007909D7" w:rsidP="006946C3">
            <w:pPr>
              <w:pStyle w:val="NormalWeb"/>
              <w:spacing w:before="0" w:beforeAutospacing="0" w:after="0" w:afterAutospacing="0"/>
              <w:jc w:val="both"/>
              <w:rPr>
                <w:rFonts w:ascii="Century" w:hAnsi="Century"/>
                <w:sz w:val="22"/>
                <w:szCs w:val="22"/>
              </w:rPr>
            </w:pPr>
          </w:p>
          <w:p w:rsidR="007909D7" w:rsidRPr="00DA2B24" w:rsidRDefault="007909D7" w:rsidP="006946C3">
            <w:pPr>
              <w:pStyle w:val="NormalWeb"/>
              <w:spacing w:before="0" w:beforeAutospacing="0" w:after="0" w:afterAutospacing="0"/>
              <w:jc w:val="both"/>
              <w:rPr>
                <w:rFonts w:ascii="Century" w:hAnsi="Century"/>
                <w:sz w:val="22"/>
                <w:szCs w:val="22"/>
              </w:rPr>
            </w:pPr>
          </w:p>
          <w:p w:rsidR="007909D7" w:rsidRPr="00DA2B24" w:rsidRDefault="007909D7" w:rsidP="006946C3">
            <w:pPr>
              <w:pStyle w:val="NormalWeb"/>
              <w:spacing w:before="0" w:beforeAutospacing="0" w:after="0" w:afterAutospacing="0"/>
              <w:jc w:val="both"/>
              <w:rPr>
                <w:rFonts w:ascii="Century" w:hAnsi="Century"/>
                <w:sz w:val="22"/>
                <w:szCs w:val="22"/>
              </w:rPr>
            </w:pPr>
          </w:p>
          <w:p w:rsidR="007909D7" w:rsidRPr="00DA2B24" w:rsidRDefault="007909D7" w:rsidP="006946C3">
            <w:pPr>
              <w:pStyle w:val="NormalWeb"/>
              <w:spacing w:before="0" w:beforeAutospacing="0" w:after="0" w:afterAutospacing="0"/>
              <w:jc w:val="both"/>
              <w:rPr>
                <w:rFonts w:ascii="Century" w:hAnsi="Century"/>
                <w:sz w:val="22"/>
                <w:szCs w:val="22"/>
              </w:rPr>
            </w:pPr>
          </w:p>
          <w:p w:rsidR="007909D7" w:rsidRDefault="007909D7" w:rsidP="00163C9F">
            <w:pPr>
              <w:pStyle w:val="NormalWeb"/>
              <w:spacing w:before="0" w:beforeAutospacing="0" w:after="0" w:afterAutospacing="0"/>
              <w:jc w:val="both"/>
              <w:rPr>
                <w:rFonts w:ascii="Century" w:hAnsi="Century"/>
                <w:sz w:val="22"/>
                <w:szCs w:val="22"/>
              </w:rPr>
            </w:pPr>
          </w:p>
          <w:p w:rsidR="007909D7" w:rsidRPr="00DA2B24" w:rsidRDefault="007909D7" w:rsidP="00163C9F">
            <w:pPr>
              <w:pStyle w:val="NormalWeb"/>
              <w:spacing w:before="0" w:beforeAutospacing="0" w:after="0" w:afterAutospacing="0"/>
              <w:jc w:val="both"/>
              <w:rPr>
                <w:rFonts w:ascii="Century" w:hAnsi="Century"/>
                <w:sz w:val="22"/>
                <w:szCs w:val="22"/>
              </w:rPr>
            </w:pPr>
          </w:p>
        </w:tc>
        <w:tc>
          <w:tcPr>
            <w:tcW w:w="295" w:type="dxa"/>
            <w:gridSpan w:val="6"/>
          </w:tcPr>
          <w:p w:rsidR="007909D7" w:rsidRPr="00DA2B24" w:rsidRDefault="007909D7" w:rsidP="004835DB">
            <w:pPr>
              <w:rPr>
                <w:rFonts w:ascii="Century" w:hAnsi="Century"/>
                <w:sz w:val="22"/>
                <w:szCs w:val="22"/>
              </w:rPr>
            </w:pPr>
          </w:p>
        </w:tc>
        <w:tc>
          <w:tcPr>
            <w:tcW w:w="4662" w:type="dxa"/>
            <w:gridSpan w:val="4"/>
          </w:tcPr>
          <w:p w:rsidR="007909D7" w:rsidRPr="00DA2B24" w:rsidRDefault="007909D7" w:rsidP="004835DB">
            <w:pPr>
              <w:rPr>
                <w:rFonts w:ascii="Century" w:hAnsi="Century"/>
                <w:b/>
                <w:color w:val="003366"/>
                <w:sz w:val="22"/>
                <w:szCs w:val="22"/>
              </w:rPr>
            </w:pPr>
            <w:r w:rsidRPr="00DA2B24">
              <w:rPr>
                <w:rFonts w:ascii="Century" w:hAnsi="Century"/>
                <w:b/>
                <w:color w:val="003366"/>
                <w:sz w:val="22"/>
                <w:szCs w:val="22"/>
              </w:rPr>
              <w:t>5.2. Agricultural Insurance Pool (TARSIM)</w:t>
            </w:r>
          </w:p>
          <w:p w:rsidR="007909D7" w:rsidRPr="00DA2B24" w:rsidRDefault="007909D7" w:rsidP="004835DB">
            <w:pPr>
              <w:pStyle w:val="NormalWeb"/>
              <w:spacing w:before="0" w:beforeAutospacing="0" w:after="0" w:afterAutospacing="0"/>
              <w:jc w:val="both"/>
              <w:rPr>
                <w:rFonts w:ascii="Century" w:hAnsi="Century"/>
                <w:color w:val="404040"/>
                <w:sz w:val="22"/>
                <w:szCs w:val="22"/>
              </w:rPr>
            </w:pPr>
          </w:p>
          <w:p w:rsidR="007909D7" w:rsidRPr="00DA2B24" w:rsidRDefault="007909D7" w:rsidP="00880C9E">
            <w:pPr>
              <w:pStyle w:val="NormalWeb"/>
              <w:spacing w:before="0" w:beforeAutospacing="0" w:after="0" w:afterAutospacing="0"/>
              <w:jc w:val="both"/>
              <w:rPr>
                <w:rFonts w:ascii="Century" w:hAnsi="Century"/>
                <w:color w:val="333333"/>
                <w:sz w:val="22"/>
                <w:szCs w:val="22"/>
                <w:lang w:eastAsia="en-US"/>
              </w:rPr>
            </w:pPr>
            <w:r w:rsidRPr="00DA2B24">
              <w:rPr>
                <w:rFonts w:ascii="Century" w:hAnsi="Century"/>
                <w:color w:val="333333"/>
                <w:sz w:val="22"/>
                <w:szCs w:val="22"/>
              </w:rPr>
              <w:t xml:space="preserve">In order to provide coverage for the risks threatening the agricultural industry, Agricultural Insurance Law no: 5363 was enforced in 2005. Due to Law, Insurance </w:t>
            </w:r>
            <w:r w:rsidRPr="00DA2B24">
              <w:rPr>
                <w:rFonts w:ascii="Century" w:hAnsi="Century"/>
                <w:color w:val="333333"/>
                <w:sz w:val="22"/>
                <w:szCs w:val="22"/>
                <w:lang w:eastAsia="en-US"/>
              </w:rPr>
              <w:t>Pool is established to:</w:t>
            </w:r>
          </w:p>
          <w:p w:rsidR="007909D7" w:rsidRPr="00DA2B24" w:rsidRDefault="007909D7" w:rsidP="00880C9E">
            <w:pPr>
              <w:pStyle w:val="NormalWeb"/>
              <w:spacing w:before="0" w:beforeAutospacing="0" w:after="0" w:afterAutospacing="0"/>
              <w:jc w:val="both"/>
              <w:rPr>
                <w:rFonts w:ascii="Century" w:hAnsi="Century"/>
                <w:color w:val="333333"/>
                <w:sz w:val="22"/>
                <w:szCs w:val="22"/>
                <w:lang w:eastAsia="en-US"/>
              </w:rPr>
            </w:pPr>
          </w:p>
          <w:p w:rsidR="007909D7" w:rsidRPr="00DA2B24"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DA2B24">
              <w:rPr>
                <w:rFonts w:ascii="Century" w:hAnsi="Century"/>
                <w:color w:val="333333"/>
                <w:sz w:val="22"/>
                <w:szCs w:val="22"/>
                <w:lang w:eastAsia="en-US"/>
              </w:rPr>
              <w:t>Introduce standard wordings in insurance contracts,</w:t>
            </w:r>
          </w:p>
          <w:p w:rsidR="007909D7" w:rsidRPr="00DA2B24" w:rsidRDefault="007909D7" w:rsidP="00880C9E">
            <w:pPr>
              <w:pStyle w:val="NormalWeb"/>
              <w:tabs>
                <w:tab w:val="left" w:pos="267"/>
              </w:tabs>
              <w:spacing w:before="0" w:beforeAutospacing="0" w:after="0" w:afterAutospacing="0"/>
              <w:ind w:left="387"/>
              <w:jc w:val="both"/>
              <w:rPr>
                <w:rFonts w:ascii="Century" w:hAnsi="Century"/>
                <w:color w:val="333333"/>
                <w:sz w:val="22"/>
                <w:szCs w:val="22"/>
                <w:lang w:eastAsia="en-US"/>
              </w:rPr>
            </w:pPr>
          </w:p>
          <w:p w:rsidR="007909D7" w:rsidRPr="00DA2B24"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DA2B24">
              <w:rPr>
                <w:rFonts w:ascii="Century" w:hAnsi="Century"/>
                <w:color w:val="333333"/>
                <w:sz w:val="22"/>
                <w:szCs w:val="22"/>
                <w:lang w:eastAsia="en-US"/>
              </w:rPr>
              <w:t>Form the conditions for transferring risk under convenient conditions,</w:t>
            </w:r>
          </w:p>
          <w:p w:rsidR="007909D7" w:rsidRPr="00DA2B24" w:rsidRDefault="007909D7" w:rsidP="00880C9E">
            <w:pPr>
              <w:pStyle w:val="NormalWeb"/>
              <w:tabs>
                <w:tab w:val="left" w:pos="267"/>
              </w:tabs>
              <w:spacing w:before="0" w:beforeAutospacing="0" w:after="0" w:afterAutospacing="0"/>
              <w:jc w:val="both"/>
              <w:rPr>
                <w:rFonts w:ascii="Century" w:hAnsi="Century"/>
                <w:color w:val="333333"/>
                <w:sz w:val="22"/>
                <w:szCs w:val="22"/>
                <w:lang w:eastAsia="en-US"/>
              </w:rPr>
            </w:pPr>
          </w:p>
          <w:p w:rsidR="007909D7" w:rsidRPr="00DA2B24"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DA2B24">
              <w:rPr>
                <w:rFonts w:ascii="Century" w:hAnsi="Century"/>
                <w:color w:val="333333"/>
                <w:sz w:val="22"/>
                <w:szCs w:val="22"/>
                <w:lang w:eastAsia="en-US"/>
              </w:rPr>
              <w:t>Ensure centralized payment of the claims in case of occurrence of the risk,</w:t>
            </w:r>
          </w:p>
          <w:p w:rsidR="007909D7" w:rsidRPr="00DA2B24" w:rsidRDefault="007909D7" w:rsidP="00880C9E">
            <w:pPr>
              <w:pStyle w:val="NormalWeb"/>
              <w:tabs>
                <w:tab w:val="left" w:pos="267"/>
              </w:tabs>
              <w:spacing w:before="0" w:beforeAutospacing="0" w:after="0" w:afterAutospacing="0"/>
              <w:jc w:val="both"/>
              <w:rPr>
                <w:rFonts w:ascii="Century" w:hAnsi="Century"/>
                <w:color w:val="333333"/>
                <w:sz w:val="22"/>
                <w:szCs w:val="22"/>
                <w:lang w:eastAsia="en-US"/>
              </w:rPr>
            </w:pPr>
          </w:p>
          <w:p w:rsidR="007909D7" w:rsidRPr="00DA2B24" w:rsidRDefault="007909D7" w:rsidP="00880C9E">
            <w:pPr>
              <w:pStyle w:val="NormalWeb"/>
              <w:tabs>
                <w:tab w:val="left" w:pos="267"/>
              </w:tabs>
              <w:spacing w:before="0" w:beforeAutospacing="0" w:after="0" w:afterAutospacing="0"/>
              <w:ind w:left="267" w:hanging="240"/>
              <w:jc w:val="both"/>
              <w:rPr>
                <w:rFonts w:ascii="Century" w:hAnsi="Century"/>
                <w:color w:val="333333"/>
                <w:sz w:val="22"/>
                <w:szCs w:val="22"/>
                <w:lang w:eastAsia="en-US"/>
              </w:rPr>
            </w:pPr>
            <w:r w:rsidRPr="00DA2B24">
              <w:rPr>
                <w:rFonts w:ascii="Century" w:hAnsi="Century"/>
                <w:color w:val="333333"/>
                <w:sz w:val="22"/>
                <w:szCs w:val="22"/>
                <w:lang w:eastAsia="en-US"/>
              </w:rPr>
              <w:t>d) Improve and spread the agricultural insurances.</w:t>
            </w:r>
          </w:p>
          <w:p w:rsidR="007909D7" w:rsidRPr="00DA2B24" w:rsidRDefault="007909D7" w:rsidP="00880C9E">
            <w:pPr>
              <w:jc w:val="both"/>
              <w:rPr>
                <w:rFonts w:ascii="Century" w:hAnsi="Century"/>
                <w:color w:val="333333"/>
                <w:sz w:val="22"/>
                <w:szCs w:val="22"/>
              </w:rPr>
            </w:pPr>
          </w:p>
          <w:p w:rsidR="007909D7" w:rsidRPr="00DA2B24" w:rsidRDefault="007909D7" w:rsidP="00880C9E">
            <w:pPr>
              <w:jc w:val="both"/>
              <w:rPr>
                <w:rFonts w:ascii="Century" w:hAnsi="Century"/>
                <w:color w:val="333333"/>
                <w:sz w:val="22"/>
                <w:szCs w:val="22"/>
              </w:rPr>
            </w:pPr>
          </w:p>
          <w:p w:rsidR="007909D7" w:rsidRPr="00DA2B24" w:rsidRDefault="007909D7" w:rsidP="00880C9E">
            <w:pPr>
              <w:jc w:val="both"/>
              <w:rPr>
                <w:rFonts w:ascii="Century" w:hAnsi="Century"/>
                <w:color w:val="333333"/>
                <w:sz w:val="22"/>
                <w:szCs w:val="22"/>
              </w:rPr>
            </w:pPr>
            <w:r w:rsidRPr="00DA2B24">
              <w:rPr>
                <w:rFonts w:ascii="Century" w:hAnsi="Century"/>
                <w:color w:val="333333"/>
                <w:sz w:val="22"/>
                <w:szCs w:val="22"/>
              </w:rPr>
              <w:t xml:space="preserve">The Government partly contributes premiums exclusively to agricultural insurance contracts on farmers’ behalf within the context of the Law no. 5363. The amount of premium contribution is determined by Council of Ministers on annual basis with respect to the type of product, risk, region and scale of business. Within the context of agricultural insurance, companies issue insurance contracts with their own name but all risks stem from the business have to be transferred to the Pool. </w:t>
            </w:r>
          </w:p>
          <w:p w:rsidR="007909D7" w:rsidRPr="00DA2B24" w:rsidRDefault="007909D7" w:rsidP="00880C9E">
            <w:pPr>
              <w:jc w:val="both"/>
              <w:rPr>
                <w:rFonts w:ascii="Century" w:hAnsi="Century"/>
                <w:color w:val="333333"/>
                <w:sz w:val="22"/>
                <w:szCs w:val="22"/>
              </w:rPr>
            </w:pPr>
          </w:p>
          <w:p w:rsidR="007909D7" w:rsidRPr="00DA2B24" w:rsidRDefault="007909D7" w:rsidP="00880C9E">
            <w:pPr>
              <w:jc w:val="both"/>
              <w:rPr>
                <w:rFonts w:ascii="Century" w:hAnsi="Century"/>
                <w:color w:val="333333"/>
                <w:sz w:val="22"/>
                <w:szCs w:val="22"/>
              </w:rPr>
            </w:pPr>
            <w:r w:rsidRPr="00DA2B24">
              <w:rPr>
                <w:rFonts w:ascii="Century" w:hAnsi="Century"/>
                <w:color w:val="333333"/>
                <w:sz w:val="22"/>
                <w:szCs w:val="22"/>
              </w:rPr>
              <w:t>All operations of the Pool are performed by TARSIM which was established with equal share of insurance companies in 2006. Balance sheet of TARSIM as of December 31, 201</w:t>
            </w:r>
            <w:r>
              <w:rPr>
                <w:rFonts w:ascii="Century" w:hAnsi="Century"/>
                <w:color w:val="333333"/>
                <w:sz w:val="22"/>
                <w:szCs w:val="22"/>
              </w:rPr>
              <w:t>8</w:t>
            </w:r>
            <w:r w:rsidRPr="00DA2B24">
              <w:rPr>
                <w:rFonts w:ascii="Century" w:hAnsi="Century"/>
                <w:color w:val="333333"/>
                <w:sz w:val="22"/>
                <w:szCs w:val="22"/>
              </w:rPr>
              <w:t xml:space="preserve"> and Income Statement for the year of 201</w:t>
            </w:r>
            <w:r>
              <w:rPr>
                <w:rFonts w:ascii="Century" w:hAnsi="Century"/>
                <w:color w:val="333333"/>
                <w:sz w:val="22"/>
                <w:szCs w:val="22"/>
              </w:rPr>
              <w:t>8</w:t>
            </w:r>
            <w:r w:rsidRPr="00DA2B24">
              <w:rPr>
                <w:rFonts w:ascii="Century" w:hAnsi="Century"/>
                <w:color w:val="333333"/>
                <w:sz w:val="22"/>
                <w:szCs w:val="22"/>
              </w:rPr>
              <w:t xml:space="preserve"> are submitted in the Tables section of the Report.</w:t>
            </w:r>
          </w:p>
          <w:p w:rsidR="007909D7" w:rsidRPr="00DA2B24" w:rsidRDefault="007909D7" w:rsidP="00880C9E">
            <w:pPr>
              <w:jc w:val="both"/>
              <w:rPr>
                <w:rFonts w:ascii="Century" w:hAnsi="Century"/>
                <w:color w:val="333333"/>
                <w:sz w:val="22"/>
                <w:szCs w:val="22"/>
              </w:rPr>
            </w:pPr>
          </w:p>
          <w:p w:rsidR="007909D7" w:rsidRPr="00DA2B24" w:rsidRDefault="007909D7" w:rsidP="00880C9E">
            <w:pPr>
              <w:jc w:val="both"/>
              <w:rPr>
                <w:rFonts w:ascii="Century" w:hAnsi="Century"/>
                <w:color w:val="333333"/>
                <w:sz w:val="22"/>
                <w:szCs w:val="22"/>
              </w:rPr>
            </w:pPr>
            <w:r w:rsidRPr="00DA2B24">
              <w:rPr>
                <w:rFonts w:ascii="Century" w:hAnsi="Century"/>
                <w:color w:val="333333"/>
                <w:sz w:val="22"/>
                <w:szCs w:val="22"/>
              </w:rPr>
              <w:t>Member companies of the Pool and their premium volumes are shown below.</w:t>
            </w:r>
          </w:p>
          <w:p w:rsidR="007909D7" w:rsidRPr="00DA2B24" w:rsidRDefault="007909D7" w:rsidP="004835DB">
            <w:pPr>
              <w:jc w:val="both"/>
              <w:rPr>
                <w:rFonts w:ascii="Century" w:hAnsi="Century"/>
                <w:b/>
                <w:color w:val="595959"/>
                <w:sz w:val="22"/>
                <w:szCs w:val="22"/>
              </w:rPr>
            </w:pPr>
          </w:p>
        </w:tc>
      </w:tr>
      <w:tr w:rsidR="007909D7" w:rsidRPr="00B10D90" w:rsidTr="00441D50">
        <w:trPr>
          <w:gridAfter w:val="2"/>
          <w:wAfter w:w="38" w:type="dxa"/>
          <w:trHeight w:val="181"/>
        </w:trPr>
        <w:tc>
          <w:tcPr>
            <w:tcW w:w="9820" w:type="dxa"/>
            <w:gridSpan w:val="14"/>
          </w:tcPr>
          <w:p w:rsidR="007909D7" w:rsidRPr="007E5EF1" w:rsidRDefault="007909D7" w:rsidP="009705EB">
            <w:pPr>
              <w:pStyle w:val="Caption"/>
              <w:jc w:val="center"/>
              <w:rPr>
                <w:rFonts w:ascii="Century" w:hAnsi="Century"/>
                <w:color w:val="000080"/>
              </w:rPr>
            </w:pPr>
            <w:r w:rsidRPr="007E5EF1">
              <w:rPr>
                <w:rFonts w:ascii="Century" w:hAnsi="Century"/>
                <w:color w:val="000080"/>
              </w:rPr>
              <w:lastRenderedPageBreak/>
              <w:t>Tablo 5.2.1: 201</w:t>
            </w:r>
            <w:r>
              <w:rPr>
                <w:rFonts w:ascii="Century" w:hAnsi="Century"/>
                <w:color w:val="000080"/>
              </w:rPr>
              <w:t>8</w:t>
            </w:r>
            <w:r w:rsidRPr="007E5EF1">
              <w:rPr>
                <w:rFonts w:ascii="Century" w:hAnsi="Century"/>
                <w:color w:val="000080"/>
              </w:rPr>
              <w:t xml:space="preserve"> Yılı Şirket Bazında Devlet Destekli Tarım Sigortası Prim Üretimi</w:t>
            </w:r>
          </w:p>
          <w:p w:rsidR="007909D7" w:rsidRPr="007E5EF1" w:rsidRDefault="007909D7" w:rsidP="00BD4108">
            <w:pPr>
              <w:pStyle w:val="Caption"/>
              <w:jc w:val="center"/>
              <w:rPr>
                <w:rFonts w:ascii="AbakuTLSymSans" w:hAnsi="AbakuTLSymSans" w:cs="Arial"/>
                <w:b w:val="0"/>
                <w:i/>
                <w:color w:val="000080"/>
                <w:lang w:eastAsia="tr-TR"/>
              </w:rPr>
            </w:pPr>
            <w:r w:rsidRPr="007E5EF1">
              <w:rPr>
                <w:rFonts w:ascii="Century" w:hAnsi="Century"/>
                <w:b w:val="0"/>
                <w:i/>
                <w:color w:val="000080"/>
              </w:rPr>
              <w:t>Premium Volume for Subsidized Agricultural Insurance as Company for 201</w:t>
            </w:r>
            <w:r>
              <w:rPr>
                <w:rFonts w:ascii="Century" w:hAnsi="Century"/>
                <w:b w:val="0"/>
                <w:i/>
                <w:color w:val="000080"/>
              </w:rPr>
              <w:t>8</w:t>
            </w:r>
            <w:r w:rsidRPr="007E5EF1">
              <w:rPr>
                <w:rFonts w:ascii="Century" w:hAnsi="Century" w:cs="Arial"/>
                <w:b w:val="0"/>
                <w:i/>
                <w:color w:val="000080"/>
                <w:lang w:eastAsia="tr-TR"/>
              </w:rPr>
              <w:t>(</w:t>
            </w:r>
            <w:r w:rsidRPr="007E5EF1">
              <w:rPr>
                <w:rFonts w:ascii="AbakuTLSymSans" w:hAnsi="AbakuTLSymSans" w:cs="Arial"/>
                <w:b w:val="0"/>
                <w:i/>
                <w:color w:val="000080"/>
                <w:lang w:eastAsia="tr-TR"/>
              </w:rPr>
              <w:t>¨)</w:t>
            </w:r>
          </w:p>
          <w:p w:rsidR="007909D7" w:rsidRPr="007E5EF1" w:rsidRDefault="007909D7" w:rsidP="00FB6C44">
            <w:pPr>
              <w:jc w:val="center"/>
              <w:rPr>
                <w:lang w:eastAsia="tr-TR"/>
              </w:rPr>
            </w:pPr>
            <w:r>
              <w:rPr>
                <w:noProof/>
              </w:rPr>
              <w:drawing>
                <wp:inline distT="0" distB="0" distL="0" distR="0" wp14:anchorId="772296BE" wp14:editId="04FDE9E4">
                  <wp:extent cx="6090920" cy="4397375"/>
                  <wp:effectExtent l="0" t="0" r="508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90920" cy="4397375"/>
                          </a:xfrm>
                          <a:prstGeom prst="rect">
                            <a:avLst/>
                          </a:prstGeom>
                          <a:noFill/>
                          <a:ln>
                            <a:noFill/>
                          </a:ln>
                        </pic:spPr>
                      </pic:pic>
                    </a:graphicData>
                  </a:graphic>
                </wp:inline>
              </w:drawing>
            </w:r>
          </w:p>
        </w:tc>
      </w:tr>
      <w:tr w:rsidR="007909D7" w:rsidRPr="00B10D90" w:rsidTr="00441D50">
        <w:trPr>
          <w:gridAfter w:val="3"/>
          <w:wAfter w:w="61" w:type="dxa"/>
          <w:trHeight w:val="181"/>
        </w:trPr>
        <w:tc>
          <w:tcPr>
            <w:tcW w:w="4840" w:type="dxa"/>
            <w:gridSpan w:val="3"/>
          </w:tcPr>
          <w:p w:rsidR="007909D7" w:rsidRDefault="007909D7" w:rsidP="009705EB">
            <w:pPr>
              <w:jc w:val="both"/>
              <w:rPr>
                <w:rFonts w:ascii="Century" w:hAnsi="Century"/>
                <w:sz w:val="22"/>
                <w:szCs w:val="22"/>
              </w:rPr>
            </w:pPr>
          </w:p>
          <w:p w:rsidR="007909D7" w:rsidRPr="007E5EF1" w:rsidRDefault="007909D7" w:rsidP="009705EB">
            <w:pPr>
              <w:jc w:val="both"/>
              <w:rPr>
                <w:rFonts w:ascii="Century" w:hAnsi="Century"/>
                <w:sz w:val="22"/>
                <w:szCs w:val="22"/>
              </w:rPr>
            </w:pPr>
          </w:p>
          <w:p w:rsidR="007909D7" w:rsidRDefault="007909D7" w:rsidP="009705EB">
            <w:pPr>
              <w:jc w:val="both"/>
              <w:rPr>
                <w:rFonts w:ascii="Century" w:hAnsi="Century"/>
                <w:sz w:val="22"/>
                <w:szCs w:val="22"/>
              </w:rPr>
            </w:pPr>
            <w:r w:rsidRPr="007E5EF1">
              <w:rPr>
                <w:rFonts w:ascii="Century" w:hAnsi="Century"/>
                <w:sz w:val="22"/>
                <w:szCs w:val="22"/>
              </w:rPr>
              <w:t>Devlet destekli tarım sigortasında poliçe adetleri ile prim ve tazminat tutarları incelendiğinde, yıllar itibarıyla bitkisel ürün sigortasının ağırlıkta olduğu görülmektedir.</w:t>
            </w:r>
          </w:p>
          <w:p w:rsidR="007909D7" w:rsidRDefault="007909D7" w:rsidP="009705EB">
            <w:pPr>
              <w:jc w:val="both"/>
              <w:rPr>
                <w:rFonts w:ascii="Century" w:hAnsi="Century"/>
                <w:sz w:val="22"/>
                <w:szCs w:val="22"/>
              </w:rPr>
            </w:pPr>
          </w:p>
          <w:p w:rsidR="007909D7" w:rsidRPr="007E5EF1" w:rsidRDefault="007909D7" w:rsidP="009705EB">
            <w:pPr>
              <w:jc w:val="both"/>
              <w:rPr>
                <w:rFonts w:ascii="Century" w:hAnsi="Century"/>
                <w:sz w:val="22"/>
                <w:szCs w:val="22"/>
              </w:rPr>
            </w:pPr>
          </w:p>
        </w:tc>
        <w:tc>
          <w:tcPr>
            <w:tcW w:w="295" w:type="dxa"/>
            <w:gridSpan w:val="6"/>
          </w:tcPr>
          <w:p w:rsidR="007909D7" w:rsidRPr="007E5EF1" w:rsidRDefault="007909D7" w:rsidP="009705EB">
            <w:pPr>
              <w:rPr>
                <w:rFonts w:ascii="Century" w:hAnsi="Century"/>
                <w:sz w:val="22"/>
                <w:szCs w:val="22"/>
              </w:rPr>
            </w:pPr>
          </w:p>
        </w:tc>
        <w:tc>
          <w:tcPr>
            <w:tcW w:w="4662" w:type="dxa"/>
            <w:gridSpan w:val="4"/>
          </w:tcPr>
          <w:p w:rsidR="007909D7" w:rsidRDefault="007909D7" w:rsidP="009705EB">
            <w:pPr>
              <w:pStyle w:val="NormalWeb"/>
              <w:spacing w:before="0" w:beforeAutospacing="0" w:after="0" w:afterAutospacing="0"/>
              <w:jc w:val="both"/>
              <w:rPr>
                <w:rFonts w:ascii="Century" w:hAnsi="Century"/>
                <w:color w:val="404040"/>
                <w:sz w:val="22"/>
                <w:szCs w:val="22"/>
              </w:rPr>
            </w:pPr>
          </w:p>
          <w:p w:rsidR="007909D7" w:rsidRPr="007E5EF1" w:rsidRDefault="007909D7" w:rsidP="009705EB">
            <w:pPr>
              <w:pStyle w:val="NormalWeb"/>
              <w:spacing w:before="0" w:beforeAutospacing="0" w:after="0" w:afterAutospacing="0"/>
              <w:jc w:val="both"/>
              <w:rPr>
                <w:rFonts w:ascii="Century" w:hAnsi="Century"/>
                <w:color w:val="404040"/>
                <w:sz w:val="22"/>
                <w:szCs w:val="22"/>
              </w:rPr>
            </w:pPr>
          </w:p>
          <w:p w:rsidR="007909D7" w:rsidRPr="007E5EF1" w:rsidRDefault="007909D7" w:rsidP="009705EB">
            <w:pPr>
              <w:pStyle w:val="NormalWeb"/>
              <w:spacing w:before="0" w:beforeAutospacing="0" w:after="0" w:afterAutospacing="0"/>
              <w:jc w:val="both"/>
              <w:rPr>
                <w:rFonts w:ascii="Century" w:hAnsi="Century"/>
                <w:color w:val="404040"/>
                <w:sz w:val="22"/>
                <w:szCs w:val="22"/>
              </w:rPr>
            </w:pPr>
            <w:r w:rsidRPr="007E5EF1">
              <w:rPr>
                <w:rFonts w:ascii="Century" w:hAnsi="Century"/>
                <w:color w:val="404040"/>
                <w:sz w:val="22"/>
                <w:szCs w:val="22"/>
              </w:rPr>
              <w:t>State supported crop insurance has a significant majority in the Subsidized Agricultural Insurance in respect to its premium and claim amount.</w:t>
            </w:r>
          </w:p>
          <w:p w:rsidR="007909D7" w:rsidRPr="007E5EF1" w:rsidRDefault="007909D7" w:rsidP="009705EB">
            <w:pPr>
              <w:pStyle w:val="NormalWeb"/>
              <w:spacing w:before="0" w:beforeAutospacing="0" w:after="0" w:afterAutospacing="0"/>
              <w:jc w:val="both"/>
              <w:rPr>
                <w:rFonts w:ascii="Century" w:hAnsi="Century"/>
                <w:sz w:val="22"/>
                <w:szCs w:val="22"/>
              </w:rPr>
            </w:pPr>
          </w:p>
        </w:tc>
      </w:tr>
      <w:tr w:rsidR="007909D7" w:rsidRPr="00B10D90" w:rsidTr="00441D50">
        <w:trPr>
          <w:gridAfter w:val="2"/>
          <w:wAfter w:w="38" w:type="dxa"/>
          <w:trHeight w:val="181"/>
        </w:trPr>
        <w:tc>
          <w:tcPr>
            <w:tcW w:w="9820" w:type="dxa"/>
            <w:gridSpan w:val="14"/>
          </w:tcPr>
          <w:p w:rsidR="007909D7" w:rsidRPr="007E5EF1" w:rsidRDefault="007909D7" w:rsidP="00E54EF6">
            <w:pPr>
              <w:pStyle w:val="Caption"/>
              <w:jc w:val="center"/>
              <w:rPr>
                <w:rFonts w:ascii="Century" w:hAnsi="Century"/>
                <w:color w:val="000080"/>
              </w:rPr>
            </w:pPr>
            <w:r w:rsidRPr="007E5EF1">
              <w:rPr>
                <w:rFonts w:ascii="Century" w:hAnsi="Century"/>
                <w:color w:val="000080"/>
              </w:rPr>
              <w:t>Tablo 5.2.2: 201</w:t>
            </w:r>
            <w:r>
              <w:rPr>
                <w:rFonts w:ascii="Century" w:hAnsi="Century"/>
                <w:color w:val="000080"/>
              </w:rPr>
              <w:t>7</w:t>
            </w:r>
            <w:r w:rsidRPr="007E5EF1">
              <w:rPr>
                <w:rFonts w:ascii="Century" w:hAnsi="Century"/>
                <w:color w:val="000080"/>
              </w:rPr>
              <w:t xml:space="preserve"> ve 201</w:t>
            </w:r>
            <w:r>
              <w:rPr>
                <w:rFonts w:ascii="Century" w:hAnsi="Century"/>
                <w:color w:val="000080"/>
              </w:rPr>
              <w:t>8</w:t>
            </w:r>
            <w:r w:rsidRPr="007E5EF1">
              <w:rPr>
                <w:rFonts w:ascii="Century" w:hAnsi="Century"/>
                <w:color w:val="000080"/>
              </w:rPr>
              <w:t xml:space="preserve"> Yılı Prim ve Ödenen Tazminat Verileri</w:t>
            </w:r>
          </w:p>
          <w:p w:rsidR="007909D7" w:rsidRPr="007E5EF1" w:rsidRDefault="007909D7" w:rsidP="00E54EF6">
            <w:pPr>
              <w:pStyle w:val="Caption"/>
              <w:jc w:val="center"/>
              <w:rPr>
                <w:rFonts w:ascii="Century" w:hAnsi="Century"/>
                <w:b w:val="0"/>
                <w:i/>
                <w:iCs/>
                <w:color w:val="000080"/>
              </w:rPr>
            </w:pPr>
            <w:r w:rsidRPr="007E5EF1">
              <w:rPr>
                <w:rFonts w:ascii="Century" w:hAnsi="Century"/>
                <w:b w:val="0"/>
                <w:i/>
                <w:color w:val="000080"/>
              </w:rPr>
              <w:t>Premium Volume and Paid Losses</w:t>
            </w:r>
            <w:r w:rsidRPr="007E5EF1">
              <w:rPr>
                <w:rFonts w:ascii="Century" w:hAnsi="Century"/>
                <w:color w:val="000080"/>
              </w:rPr>
              <w:t xml:space="preserve"> </w:t>
            </w:r>
            <w:r w:rsidRPr="007E5EF1">
              <w:rPr>
                <w:rFonts w:ascii="Century" w:hAnsi="Century"/>
                <w:b w:val="0"/>
                <w:i/>
                <w:iCs/>
                <w:color w:val="000080"/>
              </w:rPr>
              <w:t>for 201</w:t>
            </w:r>
            <w:r>
              <w:rPr>
                <w:rFonts w:ascii="Century" w:hAnsi="Century"/>
                <w:b w:val="0"/>
                <w:i/>
                <w:iCs/>
                <w:color w:val="000080"/>
              </w:rPr>
              <w:t>7</w:t>
            </w:r>
            <w:r w:rsidRPr="007E5EF1">
              <w:rPr>
                <w:rFonts w:ascii="Century" w:hAnsi="Century"/>
                <w:b w:val="0"/>
                <w:i/>
                <w:iCs/>
                <w:color w:val="000080"/>
              </w:rPr>
              <w:t xml:space="preserve"> and 201</w:t>
            </w:r>
            <w:r>
              <w:rPr>
                <w:rFonts w:ascii="Century" w:hAnsi="Century"/>
                <w:b w:val="0"/>
                <w:i/>
                <w:iCs/>
                <w:color w:val="000080"/>
              </w:rPr>
              <w:t>8</w:t>
            </w:r>
          </w:p>
          <w:p w:rsidR="007909D7" w:rsidRPr="007E5EF1" w:rsidRDefault="007909D7" w:rsidP="00D32C44">
            <w:pPr>
              <w:jc w:val="center"/>
              <w:rPr>
                <w:rFonts w:ascii="Century" w:hAnsi="Century"/>
                <w:color w:val="404040"/>
                <w:sz w:val="22"/>
                <w:szCs w:val="22"/>
              </w:rPr>
            </w:pPr>
            <w:r w:rsidRPr="007E5EF1">
              <w:rPr>
                <w:rFonts w:ascii="Century" w:hAnsi="Century"/>
                <w:noProof/>
                <w:color w:val="404040"/>
                <w:sz w:val="22"/>
                <w:szCs w:val="22"/>
              </w:rPr>
              <w:drawing>
                <wp:inline distT="0" distB="0" distL="0" distR="0" wp14:anchorId="1C0294D7" wp14:editId="2A14BABF">
                  <wp:extent cx="6098650" cy="205938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8540" cy="2059351"/>
                          </a:xfrm>
                          <a:prstGeom prst="rect">
                            <a:avLst/>
                          </a:prstGeom>
                          <a:noFill/>
                          <a:ln>
                            <a:noFill/>
                          </a:ln>
                        </pic:spPr>
                      </pic:pic>
                    </a:graphicData>
                  </a:graphic>
                </wp:inline>
              </w:drawing>
            </w:r>
          </w:p>
        </w:tc>
      </w:tr>
      <w:tr w:rsidR="007909D7" w:rsidRPr="00B10D90" w:rsidTr="00441D50">
        <w:trPr>
          <w:gridAfter w:val="3"/>
          <w:wAfter w:w="61" w:type="dxa"/>
          <w:trHeight w:val="181"/>
        </w:trPr>
        <w:tc>
          <w:tcPr>
            <w:tcW w:w="4840" w:type="dxa"/>
            <w:gridSpan w:val="3"/>
          </w:tcPr>
          <w:p w:rsidR="007909D7" w:rsidRPr="00B10D90" w:rsidRDefault="007909D7" w:rsidP="00487BA6">
            <w:pPr>
              <w:jc w:val="both"/>
              <w:rPr>
                <w:rFonts w:ascii="Century" w:hAnsi="Century"/>
                <w:sz w:val="22"/>
                <w:szCs w:val="22"/>
                <w:highlight w:val="yellow"/>
              </w:rPr>
            </w:pPr>
          </w:p>
          <w:p w:rsidR="007909D7" w:rsidRPr="00B10D90" w:rsidRDefault="007909D7" w:rsidP="00487BA6">
            <w:pPr>
              <w:jc w:val="both"/>
              <w:rPr>
                <w:rFonts w:ascii="Century" w:hAnsi="Century"/>
                <w:sz w:val="22"/>
                <w:szCs w:val="22"/>
                <w:highlight w:val="yellow"/>
              </w:rPr>
            </w:pPr>
          </w:p>
          <w:p w:rsidR="007909D7" w:rsidRPr="00B10D90" w:rsidRDefault="007909D7" w:rsidP="00D55D59">
            <w:pPr>
              <w:jc w:val="both"/>
              <w:rPr>
                <w:rFonts w:ascii="Century" w:hAnsi="Century"/>
                <w:sz w:val="22"/>
                <w:szCs w:val="22"/>
                <w:highlight w:val="yellow"/>
              </w:rPr>
            </w:pPr>
            <w:r w:rsidRPr="00D55D59">
              <w:rPr>
                <w:rFonts w:ascii="Century" w:hAnsi="Century"/>
                <w:sz w:val="22"/>
                <w:szCs w:val="22"/>
              </w:rPr>
              <w:lastRenderedPageBreak/>
              <w:t>Aşağıdaki tabloda 2014-2018 yılları arasında devlet destekli tarım sigortası yaptırmış olan çiftçi sayısı, sigorta yaptırılan tarım alanı (dekar) ve hayvan sayıları verilmiştir.</w:t>
            </w: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Default="007909D7" w:rsidP="00EA2761">
            <w:pPr>
              <w:pStyle w:val="NormalWeb"/>
              <w:spacing w:before="0" w:beforeAutospacing="0" w:after="0" w:afterAutospacing="0"/>
              <w:jc w:val="both"/>
              <w:rPr>
                <w:rFonts w:ascii="Century" w:hAnsi="Century"/>
                <w:color w:val="404040"/>
                <w:sz w:val="22"/>
                <w:szCs w:val="22"/>
                <w:highlight w:val="yellow"/>
              </w:rPr>
            </w:pPr>
          </w:p>
          <w:p w:rsidR="007909D7" w:rsidRPr="00B10D90" w:rsidRDefault="007909D7" w:rsidP="00EA2761">
            <w:pPr>
              <w:pStyle w:val="NormalWeb"/>
              <w:spacing w:before="0" w:beforeAutospacing="0" w:after="0" w:afterAutospacing="0"/>
              <w:jc w:val="both"/>
              <w:rPr>
                <w:rFonts w:ascii="Century" w:hAnsi="Century"/>
                <w:color w:val="404040"/>
                <w:sz w:val="22"/>
                <w:szCs w:val="22"/>
                <w:highlight w:val="yellow"/>
              </w:rPr>
            </w:pPr>
          </w:p>
          <w:p w:rsidR="007909D7" w:rsidRPr="00D55D59" w:rsidRDefault="007909D7" w:rsidP="006E7455">
            <w:pPr>
              <w:pStyle w:val="NormalWeb"/>
              <w:spacing w:before="0" w:beforeAutospacing="0" w:after="0" w:afterAutospacing="0"/>
              <w:jc w:val="both"/>
              <w:rPr>
                <w:rFonts w:ascii="Century" w:hAnsi="Century"/>
                <w:color w:val="404040"/>
                <w:sz w:val="22"/>
                <w:szCs w:val="22"/>
              </w:rPr>
            </w:pPr>
            <w:r w:rsidRPr="00D55D59">
              <w:rPr>
                <w:rFonts w:ascii="Century" w:hAnsi="Century"/>
                <w:color w:val="404040"/>
                <w:sz w:val="22"/>
                <w:szCs w:val="22"/>
              </w:rPr>
              <w:lastRenderedPageBreak/>
              <w:t>Distribution of the number of policyholders, acreage of agricultural fields and number of insured animal among the regions of Turkey for the years of 2014-2018 is shown below.</w:t>
            </w:r>
          </w:p>
          <w:p w:rsidR="007909D7" w:rsidRPr="00B10D90" w:rsidRDefault="007909D7" w:rsidP="006E7455">
            <w:pPr>
              <w:pStyle w:val="NormalWeb"/>
              <w:spacing w:before="0" w:beforeAutospacing="0" w:after="0" w:afterAutospacing="0"/>
              <w:jc w:val="both"/>
              <w:rPr>
                <w:rFonts w:ascii="Century" w:hAnsi="Century"/>
                <w:sz w:val="22"/>
                <w:szCs w:val="22"/>
                <w:highlight w:val="yellow"/>
              </w:rPr>
            </w:pPr>
          </w:p>
        </w:tc>
      </w:tr>
      <w:tr w:rsidR="007909D7" w:rsidRPr="00B10D90" w:rsidTr="00441D50">
        <w:trPr>
          <w:gridAfter w:val="2"/>
          <w:wAfter w:w="38" w:type="dxa"/>
          <w:trHeight w:val="181"/>
        </w:trPr>
        <w:tc>
          <w:tcPr>
            <w:tcW w:w="9820" w:type="dxa"/>
            <w:gridSpan w:val="14"/>
          </w:tcPr>
          <w:p w:rsidR="007909D7" w:rsidRPr="00D55D59" w:rsidRDefault="007909D7" w:rsidP="00E54EF6">
            <w:pPr>
              <w:pStyle w:val="Caption"/>
              <w:jc w:val="center"/>
              <w:rPr>
                <w:rFonts w:ascii="Century" w:hAnsi="Century"/>
                <w:color w:val="000080"/>
              </w:rPr>
            </w:pPr>
            <w:r w:rsidRPr="00D55D59">
              <w:rPr>
                <w:rFonts w:ascii="Century" w:hAnsi="Century"/>
                <w:color w:val="000080"/>
              </w:rPr>
              <w:lastRenderedPageBreak/>
              <w:t>Tablo 5.2.3: Sigortalı Sayısı ve Sigortalı Alan ve Hayvan Verileri</w:t>
            </w:r>
          </w:p>
          <w:p w:rsidR="007909D7" w:rsidRPr="00D55D59" w:rsidRDefault="007909D7" w:rsidP="00E54EF6">
            <w:pPr>
              <w:pStyle w:val="Caption"/>
              <w:jc w:val="center"/>
              <w:rPr>
                <w:rFonts w:ascii="Century" w:hAnsi="Century"/>
                <w:b w:val="0"/>
                <w:i/>
                <w:color w:val="000080"/>
              </w:rPr>
            </w:pPr>
            <w:r w:rsidRPr="00D55D59">
              <w:rPr>
                <w:rFonts w:ascii="Century" w:hAnsi="Century"/>
                <w:b w:val="0"/>
                <w:i/>
                <w:color w:val="000080"/>
              </w:rPr>
              <w:t>General Data about Insured People and Field and Animal</w:t>
            </w:r>
          </w:p>
          <w:p w:rsidR="007909D7" w:rsidRPr="00D55D59" w:rsidRDefault="007909D7" w:rsidP="005C64F7">
            <w:r w:rsidRPr="00D55D59">
              <w:rPr>
                <w:noProof/>
              </w:rPr>
              <w:drawing>
                <wp:inline distT="0" distB="0" distL="0" distR="0" wp14:anchorId="784D0587" wp14:editId="3DDA0B92">
                  <wp:extent cx="6089917" cy="763325"/>
                  <wp:effectExtent l="0" t="0" r="635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0920" cy="763451"/>
                          </a:xfrm>
                          <a:prstGeom prst="rect">
                            <a:avLst/>
                          </a:prstGeom>
                          <a:noFill/>
                          <a:ln>
                            <a:noFill/>
                          </a:ln>
                        </pic:spPr>
                      </pic:pic>
                    </a:graphicData>
                  </a:graphic>
                </wp:inline>
              </w:drawing>
            </w:r>
          </w:p>
          <w:p w:rsidR="007909D7" w:rsidRPr="00D55D59" w:rsidRDefault="007909D7" w:rsidP="005C0315">
            <w:pPr>
              <w:jc w:val="center"/>
              <w:rPr>
                <w:rFonts w:ascii="Century" w:hAnsi="Century"/>
                <w:color w:val="404040"/>
                <w:sz w:val="22"/>
                <w:szCs w:val="22"/>
              </w:rPr>
            </w:pPr>
          </w:p>
        </w:tc>
      </w:tr>
      <w:tr w:rsidR="007909D7" w:rsidRPr="00B10D90" w:rsidTr="00441D50">
        <w:trPr>
          <w:gridAfter w:val="3"/>
          <w:wAfter w:w="61" w:type="dxa"/>
          <w:trHeight w:val="181"/>
        </w:trPr>
        <w:tc>
          <w:tcPr>
            <w:tcW w:w="4840" w:type="dxa"/>
            <w:gridSpan w:val="3"/>
          </w:tcPr>
          <w:p w:rsidR="007909D7" w:rsidRPr="00D55D59" w:rsidRDefault="007909D7" w:rsidP="00BF4B85">
            <w:pPr>
              <w:jc w:val="both"/>
              <w:rPr>
                <w:rFonts w:ascii="Century" w:hAnsi="Century"/>
                <w:sz w:val="22"/>
                <w:szCs w:val="22"/>
              </w:rPr>
            </w:pPr>
            <w:r w:rsidRPr="00D55D59">
              <w:rPr>
                <w:rFonts w:ascii="Century" w:hAnsi="Century"/>
                <w:sz w:val="22"/>
                <w:szCs w:val="22"/>
              </w:rPr>
              <w:t>Aşağıdaki tabloda 2018 yılına ilişkin olarak d</w:t>
            </w:r>
            <w:r>
              <w:rPr>
                <w:rFonts w:ascii="Century" w:hAnsi="Century"/>
                <w:sz w:val="22"/>
                <w:szCs w:val="22"/>
              </w:rPr>
              <w:t>evlet destekli tarım sigortalı</w:t>
            </w:r>
            <w:r w:rsidRPr="00D55D59">
              <w:rPr>
                <w:rFonts w:ascii="Century" w:hAnsi="Century"/>
                <w:sz w:val="22"/>
                <w:szCs w:val="22"/>
              </w:rPr>
              <w:t xml:space="preserve"> sayısı, sigortalı tarım alanı ile sigortalı hayvan sayısının bölgeler bazında dağılımı verilmiştir.</w:t>
            </w:r>
          </w:p>
          <w:p w:rsidR="007909D7" w:rsidRPr="00D55D59" w:rsidRDefault="007909D7" w:rsidP="00BF4B85">
            <w:pPr>
              <w:jc w:val="both"/>
              <w:rPr>
                <w:rFonts w:ascii="Century" w:hAnsi="Century"/>
                <w:sz w:val="22"/>
                <w:szCs w:val="22"/>
              </w:rPr>
            </w:pPr>
          </w:p>
        </w:tc>
        <w:tc>
          <w:tcPr>
            <w:tcW w:w="295" w:type="dxa"/>
            <w:gridSpan w:val="6"/>
          </w:tcPr>
          <w:p w:rsidR="007909D7" w:rsidRPr="00D55D59" w:rsidRDefault="007909D7" w:rsidP="004835DB">
            <w:pPr>
              <w:rPr>
                <w:rFonts w:ascii="Century" w:hAnsi="Century"/>
                <w:sz w:val="22"/>
                <w:szCs w:val="22"/>
              </w:rPr>
            </w:pPr>
          </w:p>
        </w:tc>
        <w:tc>
          <w:tcPr>
            <w:tcW w:w="4662" w:type="dxa"/>
            <w:gridSpan w:val="4"/>
          </w:tcPr>
          <w:p w:rsidR="007909D7" w:rsidRPr="00D55D59" w:rsidRDefault="007909D7" w:rsidP="00BF4B85">
            <w:pPr>
              <w:pStyle w:val="NormalWeb"/>
              <w:tabs>
                <w:tab w:val="left" w:pos="1199"/>
              </w:tabs>
              <w:spacing w:before="0" w:beforeAutospacing="0" w:after="0" w:afterAutospacing="0"/>
              <w:jc w:val="both"/>
              <w:rPr>
                <w:rFonts w:ascii="Century" w:hAnsi="Century"/>
                <w:color w:val="404040"/>
                <w:sz w:val="22"/>
                <w:szCs w:val="22"/>
              </w:rPr>
            </w:pPr>
            <w:r w:rsidRPr="00D55D59">
              <w:rPr>
                <w:rFonts w:ascii="Century" w:hAnsi="Century"/>
                <w:color w:val="404040"/>
                <w:sz w:val="22"/>
                <w:szCs w:val="22"/>
              </w:rPr>
              <w:t>Distribution of the number of policyholders, acreage of agricultural fields and number of insured animal among the regions of Turkey for the year 2018 is shown below.</w:t>
            </w:r>
          </w:p>
          <w:p w:rsidR="007909D7" w:rsidRPr="00D55D59" w:rsidRDefault="007909D7" w:rsidP="00BF4B85">
            <w:pPr>
              <w:pStyle w:val="NormalWeb"/>
              <w:tabs>
                <w:tab w:val="left" w:pos="1199"/>
              </w:tabs>
              <w:spacing w:before="0" w:beforeAutospacing="0" w:after="0" w:afterAutospacing="0"/>
              <w:jc w:val="both"/>
              <w:rPr>
                <w:rFonts w:ascii="Century" w:hAnsi="Century"/>
                <w:color w:val="404040"/>
                <w:sz w:val="22"/>
                <w:szCs w:val="22"/>
              </w:rPr>
            </w:pPr>
          </w:p>
        </w:tc>
      </w:tr>
      <w:tr w:rsidR="007909D7" w:rsidRPr="00B10D90" w:rsidTr="00441D50">
        <w:trPr>
          <w:gridAfter w:val="2"/>
          <w:wAfter w:w="38" w:type="dxa"/>
          <w:trHeight w:val="181"/>
        </w:trPr>
        <w:tc>
          <w:tcPr>
            <w:tcW w:w="9820" w:type="dxa"/>
            <w:gridSpan w:val="14"/>
          </w:tcPr>
          <w:p w:rsidR="007909D7" w:rsidRPr="00D55D59" w:rsidRDefault="007909D7" w:rsidP="00E54EF6">
            <w:pPr>
              <w:pStyle w:val="Caption"/>
              <w:jc w:val="center"/>
              <w:rPr>
                <w:rFonts w:ascii="Century" w:hAnsi="Century"/>
                <w:color w:val="000080"/>
              </w:rPr>
            </w:pPr>
            <w:r w:rsidRPr="00D55D59">
              <w:rPr>
                <w:rFonts w:ascii="Century" w:hAnsi="Century"/>
                <w:color w:val="000080"/>
              </w:rPr>
              <w:t>Tablo 5.2.4: 2018 Yılı Bölge Bazında Sigorta Verileri</w:t>
            </w:r>
          </w:p>
          <w:p w:rsidR="007909D7" w:rsidRPr="00D55D59" w:rsidRDefault="007909D7" w:rsidP="00E54EF6">
            <w:pPr>
              <w:pStyle w:val="Caption"/>
              <w:jc w:val="center"/>
              <w:rPr>
                <w:rFonts w:ascii="Century" w:hAnsi="Century"/>
                <w:b w:val="0"/>
                <w:i/>
                <w:color w:val="000080"/>
              </w:rPr>
            </w:pPr>
            <w:r w:rsidRPr="00D55D59">
              <w:rPr>
                <w:rFonts w:ascii="Century" w:hAnsi="Century"/>
                <w:b w:val="0"/>
                <w:i/>
                <w:color w:val="000080"/>
              </w:rPr>
              <w:t>General Data about Insured People and Field and Animal as Region for 2018</w:t>
            </w:r>
          </w:p>
          <w:p w:rsidR="007909D7" w:rsidRPr="00D55D59" w:rsidRDefault="007909D7" w:rsidP="00F06F83">
            <w:pPr>
              <w:ind w:firstLine="394"/>
            </w:pPr>
            <w:r w:rsidRPr="00D55D59">
              <w:rPr>
                <w:noProof/>
              </w:rPr>
              <w:drawing>
                <wp:inline distT="0" distB="0" distL="0" distR="0" wp14:anchorId="70FABFDF" wp14:editId="5E9FB410">
                  <wp:extent cx="5883910" cy="222631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83910" cy="2226310"/>
                          </a:xfrm>
                          <a:prstGeom prst="rect">
                            <a:avLst/>
                          </a:prstGeom>
                          <a:noFill/>
                          <a:ln>
                            <a:noFill/>
                          </a:ln>
                        </pic:spPr>
                      </pic:pic>
                    </a:graphicData>
                  </a:graphic>
                </wp:inline>
              </w:drawing>
            </w: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p w:rsidR="007909D7" w:rsidRDefault="007909D7" w:rsidP="00F06F83">
            <w:pPr>
              <w:rPr>
                <w:rFonts w:ascii="Century" w:hAnsi="Century"/>
                <w:color w:val="404040"/>
                <w:sz w:val="22"/>
                <w:szCs w:val="22"/>
              </w:rPr>
            </w:pPr>
          </w:p>
          <w:p w:rsidR="007909D7" w:rsidRPr="00D55D59" w:rsidRDefault="007909D7" w:rsidP="00F06F83">
            <w:pPr>
              <w:rPr>
                <w:rFonts w:ascii="Century" w:hAnsi="Century"/>
                <w:color w:val="404040"/>
                <w:sz w:val="22"/>
                <w:szCs w:val="22"/>
              </w:rPr>
            </w:pPr>
          </w:p>
        </w:tc>
      </w:tr>
      <w:tr w:rsidR="007909D7" w:rsidRPr="00B10D90" w:rsidTr="00441D50">
        <w:trPr>
          <w:gridAfter w:val="3"/>
          <w:wAfter w:w="61" w:type="dxa"/>
          <w:trHeight w:val="181"/>
        </w:trPr>
        <w:tc>
          <w:tcPr>
            <w:tcW w:w="4840" w:type="dxa"/>
            <w:gridSpan w:val="3"/>
          </w:tcPr>
          <w:p w:rsidR="007909D7" w:rsidRPr="00D55D59" w:rsidRDefault="007909D7" w:rsidP="00C62172">
            <w:pPr>
              <w:pStyle w:val="Heading2"/>
              <w:keepNext w:val="0"/>
              <w:numPr>
                <w:ilvl w:val="1"/>
                <w:numId w:val="1"/>
              </w:numPr>
              <w:tabs>
                <w:tab w:val="num" w:pos="536"/>
              </w:tabs>
              <w:spacing w:before="0" w:after="0"/>
              <w:ind w:left="0"/>
              <w:jc w:val="both"/>
              <w:rPr>
                <w:rFonts w:ascii="Century" w:hAnsi="Century"/>
                <w:i w:val="0"/>
                <w:color w:val="000080"/>
                <w:sz w:val="22"/>
                <w:szCs w:val="22"/>
              </w:rPr>
            </w:pPr>
            <w:bookmarkStart w:id="283" w:name="_Toc267481116"/>
            <w:bookmarkStart w:id="284" w:name="_Toc327793363"/>
            <w:bookmarkStart w:id="285" w:name="_Toc358380222"/>
            <w:bookmarkStart w:id="286" w:name="_Toc12957694"/>
            <w:r w:rsidRPr="00D55D59">
              <w:rPr>
                <w:rFonts w:ascii="Century" w:hAnsi="Century"/>
                <w:i w:val="0"/>
                <w:color w:val="000080"/>
                <w:sz w:val="22"/>
                <w:szCs w:val="22"/>
              </w:rPr>
              <w:lastRenderedPageBreak/>
              <w:t>Türkiye Motorlu Taşıt Bürosu</w:t>
            </w:r>
            <w:bookmarkEnd w:id="283"/>
            <w:bookmarkEnd w:id="284"/>
            <w:bookmarkEnd w:id="285"/>
            <w:bookmarkEnd w:id="286"/>
          </w:p>
          <w:p w:rsidR="007909D7" w:rsidRPr="000B32FB" w:rsidRDefault="007909D7" w:rsidP="004835DB">
            <w:pPr>
              <w:jc w:val="both"/>
              <w:rPr>
                <w:rFonts w:ascii="Century" w:hAnsi="Century"/>
                <w:sz w:val="16"/>
                <w:szCs w:val="16"/>
                <w:lang w:eastAsia="tr-TR"/>
              </w:rPr>
            </w:pPr>
          </w:p>
          <w:p w:rsidR="007909D7" w:rsidRPr="00D55D59" w:rsidRDefault="007909D7" w:rsidP="004835DB">
            <w:pPr>
              <w:jc w:val="both"/>
              <w:rPr>
                <w:rFonts w:ascii="Century" w:hAnsi="Century"/>
                <w:sz w:val="22"/>
                <w:szCs w:val="22"/>
                <w:lang w:eastAsia="tr-TR"/>
              </w:rPr>
            </w:pPr>
            <w:r w:rsidRPr="00D55D59">
              <w:rPr>
                <w:rFonts w:ascii="Century" w:hAnsi="Century"/>
                <w:sz w:val="22"/>
                <w:szCs w:val="22"/>
                <w:lang w:eastAsia="tr-TR"/>
              </w:rPr>
              <w:t xml:space="preserve">Merkezi İstanbul’da olan Türkiye Motorlu Taşıt Bürosu, 01.01.1953 tarihinde çalışmaya başlayan “Uluslararası Motorlu Taşıt Mali Sorumluluk Sigortası (Yeşil Kart) Sistemi” ile koordineli çalışmakta ve kendi ülkeleri dışına çıkan sürücülerin taşıtlarıyla yabancı ülkelerde üçüncü şahıslara verdikleri zararı çift yönlü </w:t>
            </w:r>
            <w:r>
              <w:rPr>
                <w:rFonts w:ascii="Century" w:hAnsi="Century"/>
                <w:sz w:val="22"/>
                <w:szCs w:val="22"/>
                <w:lang w:eastAsia="tr-TR"/>
              </w:rPr>
              <w:t>olarak karşılamaktadır. Böylece;</w:t>
            </w:r>
          </w:p>
          <w:p w:rsidR="007909D7" w:rsidRPr="00D55D59" w:rsidRDefault="007909D7" w:rsidP="004835DB">
            <w:pPr>
              <w:jc w:val="both"/>
              <w:rPr>
                <w:rFonts w:ascii="Century" w:hAnsi="Century"/>
                <w:sz w:val="14"/>
                <w:szCs w:val="14"/>
                <w:lang w:eastAsia="tr-TR"/>
              </w:rPr>
            </w:pPr>
          </w:p>
          <w:p w:rsidR="007909D7" w:rsidRPr="00D55D59" w:rsidRDefault="007909D7" w:rsidP="004835DB">
            <w:pPr>
              <w:numPr>
                <w:ilvl w:val="0"/>
                <w:numId w:val="3"/>
              </w:numPr>
              <w:tabs>
                <w:tab w:val="clear" w:pos="720"/>
                <w:tab w:val="num" w:pos="492"/>
              </w:tabs>
              <w:ind w:left="492"/>
              <w:jc w:val="both"/>
              <w:rPr>
                <w:rFonts w:ascii="Century" w:hAnsi="Century"/>
                <w:sz w:val="22"/>
                <w:szCs w:val="22"/>
                <w:lang w:eastAsia="tr-TR"/>
              </w:rPr>
            </w:pPr>
            <w:r w:rsidRPr="00D55D59">
              <w:rPr>
                <w:rFonts w:ascii="Century" w:hAnsi="Century"/>
                <w:sz w:val="22"/>
                <w:szCs w:val="22"/>
                <w:lang w:eastAsia="tr-TR"/>
              </w:rPr>
              <w:t>Sisteme dahil yabancı ülkelere taşıtlarıyla giden sürücülerin, gittikleri  ülkelerin sınırları için ayrıca birer “Motorlu Taşıt Mali Sorumluluk (Trafik) Sigortası” yaptırmak zorunda kalmamaları,</w:t>
            </w:r>
          </w:p>
          <w:p w:rsidR="007909D7" w:rsidRPr="00D55D59" w:rsidRDefault="007909D7" w:rsidP="00690B5E">
            <w:pPr>
              <w:ind w:left="492"/>
              <w:jc w:val="both"/>
              <w:rPr>
                <w:rFonts w:ascii="Century" w:hAnsi="Century"/>
                <w:sz w:val="14"/>
                <w:szCs w:val="14"/>
                <w:lang w:eastAsia="tr-TR"/>
              </w:rPr>
            </w:pPr>
          </w:p>
          <w:p w:rsidR="007909D7" w:rsidRPr="00D55D59" w:rsidRDefault="007909D7" w:rsidP="004835DB">
            <w:pPr>
              <w:numPr>
                <w:ilvl w:val="0"/>
                <w:numId w:val="3"/>
              </w:numPr>
              <w:tabs>
                <w:tab w:val="clear" w:pos="720"/>
                <w:tab w:val="num" w:pos="492"/>
              </w:tabs>
              <w:ind w:left="492"/>
              <w:jc w:val="both"/>
              <w:rPr>
                <w:rFonts w:ascii="Century" w:hAnsi="Century"/>
                <w:sz w:val="22"/>
                <w:szCs w:val="22"/>
                <w:lang w:eastAsia="tr-TR"/>
              </w:rPr>
            </w:pPr>
            <w:r w:rsidRPr="00D55D59">
              <w:rPr>
                <w:rFonts w:ascii="Century" w:hAnsi="Century"/>
                <w:sz w:val="22"/>
                <w:szCs w:val="22"/>
                <w:lang w:eastAsia="tr-TR"/>
              </w:rPr>
              <w:t>Bu sürücülerin karşı tarafa verdikleri zararlardan dolayı da üçüncü şahısların mağdur olmamaları,</w:t>
            </w:r>
          </w:p>
          <w:p w:rsidR="007909D7" w:rsidRPr="000B32FB" w:rsidRDefault="007909D7" w:rsidP="00D0474B">
            <w:pPr>
              <w:ind w:firstLine="536"/>
              <w:jc w:val="both"/>
              <w:rPr>
                <w:rFonts w:ascii="Century" w:hAnsi="Century"/>
                <w:sz w:val="16"/>
                <w:szCs w:val="16"/>
                <w:lang w:eastAsia="tr-TR"/>
              </w:rPr>
            </w:pPr>
          </w:p>
          <w:p w:rsidR="007909D7" w:rsidRPr="00D55D59" w:rsidRDefault="007909D7" w:rsidP="00D0474B">
            <w:pPr>
              <w:ind w:firstLine="536"/>
              <w:jc w:val="both"/>
              <w:rPr>
                <w:rFonts w:ascii="Century" w:hAnsi="Century"/>
                <w:sz w:val="22"/>
                <w:szCs w:val="22"/>
                <w:lang w:eastAsia="tr-TR"/>
              </w:rPr>
            </w:pPr>
            <w:proofErr w:type="gramStart"/>
            <w:r w:rsidRPr="00D55D59">
              <w:rPr>
                <w:rFonts w:ascii="Century" w:hAnsi="Century"/>
                <w:sz w:val="22"/>
                <w:szCs w:val="22"/>
                <w:lang w:eastAsia="tr-TR"/>
              </w:rPr>
              <w:t>sağlanmaktadır</w:t>
            </w:r>
            <w:proofErr w:type="gramEnd"/>
            <w:r w:rsidRPr="00D55D59">
              <w:rPr>
                <w:rFonts w:ascii="Century" w:hAnsi="Century"/>
                <w:sz w:val="22"/>
                <w:szCs w:val="22"/>
                <w:lang w:eastAsia="tr-TR"/>
              </w:rPr>
              <w:t>.</w:t>
            </w:r>
          </w:p>
          <w:p w:rsidR="007909D7" w:rsidRPr="000B32FB" w:rsidRDefault="007909D7" w:rsidP="004835DB">
            <w:pPr>
              <w:jc w:val="both"/>
              <w:rPr>
                <w:rFonts w:ascii="Century" w:hAnsi="Century"/>
                <w:sz w:val="16"/>
                <w:szCs w:val="16"/>
              </w:rPr>
            </w:pPr>
          </w:p>
          <w:p w:rsidR="007909D7" w:rsidRPr="00D55D59" w:rsidRDefault="007909D7" w:rsidP="004835DB">
            <w:pPr>
              <w:jc w:val="both"/>
              <w:rPr>
                <w:rFonts w:ascii="Century" w:hAnsi="Century"/>
                <w:sz w:val="22"/>
                <w:szCs w:val="22"/>
              </w:rPr>
            </w:pPr>
            <w:r w:rsidRPr="00D55D59">
              <w:rPr>
                <w:rFonts w:ascii="Century" w:hAnsi="Century"/>
                <w:sz w:val="22"/>
                <w:szCs w:val="22"/>
              </w:rPr>
              <w:t xml:space="preserve">Yeşilkart sigortası, zorunlu mali sorumluluk sigortasının yurt dışında geçerli olan şeklidir. Bu sigortanın tanzimi ile her ülke sınırında, o ülkenin zorunlu trafik sigortasını yaptırma zorunluluğu ortadan kalkmış olmaktadır. Kaza durumunda da hangi ülkede kaza yapılmış ise o ülkenin yasal limitleri dahilinde ödeme yapılmaktadır.  </w:t>
            </w:r>
          </w:p>
          <w:p w:rsidR="007909D7" w:rsidRPr="000B32FB" w:rsidRDefault="007909D7" w:rsidP="004835DB">
            <w:pPr>
              <w:jc w:val="both"/>
              <w:rPr>
                <w:rFonts w:ascii="Century" w:hAnsi="Century"/>
                <w:sz w:val="16"/>
                <w:szCs w:val="16"/>
              </w:rPr>
            </w:pPr>
          </w:p>
          <w:p w:rsidR="007909D7" w:rsidRPr="00B10D90" w:rsidRDefault="007909D7" w:rsidP="004835DB">
            <w:pPr>
              <w:jc w:val="both"/>
              <w:rPr>
                <w:rFonts w:ascii="Century" w:hAnsi="Century"/>
                <w:sz w:val="22"/>
                <w:szCs w:val="22"/>
                <w:highlight w:val="yellow"/>
              </w:rPr>
            </w:pPr>
            <w:r w:rsidRPr="00D55D59">
              <w:rPr>
                <w:rFonts w:ascii="Century" w:hAnsi="Century"/>
                <w:sz w:val="22"/>
                <w:szCs w:val="22"/>
              </w:rPr>
              <w:t>Yeşil Kart Sistemine üye ülkeler aşağıdaki tabloda gösterilmiştir.</w:t>
            </w: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Pr="00D55D59" w:rsidRDefault="007909D7" w:rsidP="004835DB">
            <w:pPr>
              <w:rPr>
                <w:rFonts w:ascii="Century" w:hAnsi="Century"/>
                <w:b/>
                <w:color w:val="003366"/>
                <w:sz w:val="22"/>
                <w:szCs w:val="22"/>
              </w:rPr>
            </w:pPr>
            <w:r w:rsidRPr="00D55D59">
              <w:rPr>
                <w:rFonts w:ascii="Century" w:hAnsi="Century"/>
                <w:b/>
                <w:color w:val="003366"/>
                <w:sz w:val="22"/>
                <w:szCs w:val="22"/>
              </w:rPr>
              <w:t>5.3. Turkish Motor Insurance Bureau</w:t>
            </w:r>
          </w:p>
          <w:p w:rsidR="007909D7" w:rsidRPr="00D55D59" w:rsidRDefault="007909D7" w:rsidP="003E758A">
            <w:pPr>
              <w:spacing w:before="100" w:beforeAutospacing="1" w:after="100" w:afterAutospacing="1"/>
              <w:jc w:val="both"/>
              <w:rPr>
                <w:rFonts w:ascii="Century" w:hAnsi="Century"/>
                <w:color w:val="404040"/>
                <w:sz w:val="22"/>
                <w:szCs w:val="22"/>
                <w:lang w:eastAsia="tr-TR"/>
              </w:rPr>
            </w:pPr>
            <w:r w:rsidRPr="00D55D59">
              <w:rPr>
                <w:rFonts w:ascii="Century" w:hAnsi="Century"/>
                <w:color w:val="404040"/>
                <w:sz w:val="22"/>
                <w:szCs w:val="22"/>
                <w:lang w:eastAsia="tr-TR"/>
              </w:rPr>
              <w:t>Turkish Motor Insurance Bureau which is located in Istanbul and has been operated since 01.01.1953 works in cooperation with “System of Accidents Abroad and Accidents with Foreign Registered Vehicles in the Country (Green Card)”. Bureau indemnifies the damage which would be done to third parties abroad by drivers of Turkish citizens.</w:t>
            </w:r>
          </w:p>
          <w:p w:rsidR="007909D7" w:rsidRPr="00D55D59" w:rsidRDefault="007909D7" w:rsidP="003E758A">
            <w:pPr>
              <w:spacing w:before="100" w:beforeAutospacing="1" w:after="100" w:afterAutospacing="1"/>
              <w:jc w:val="both"/>
              <w:rPr>
                <w:rFonts w:ascii="Century" w:hAnsi="Century"/>
                <w:color w:val="404040"/>
                <w:sz w:val="22"/>
                <w:szCs w:val="22"/>
                <w:lang w:eastAsia="tr-TR"/>
              </w:rPr>
            </w:pPr>
            <w:r w:rsidRPr="00D55D59">
              <w:rPr>
                <w:rFonts w:ascii="Century" w:hAnsi="Century"/>
                <w:color w:val="404040"/>
                <w:sz w:val="22"/>
                <w:szCs w:val="22"/>
                <w:lang w:eastAsia="tr-TR"/>
              </w:rPr>
              <w:t>Thus;</w:t>
            </w:r>
          </w:p>
          <w:p w:rsidR="007909D7" w:rsidRPr="00D55D59" w:rsidRDefault="007909D7" w:rsidP="00400CEB">
            <w:pPr>
              <w:numPr>
                <w:ilvl w:val="0"/>
                <w:numId w:val="5"/>
              </w:numPr>
              <w:tabs>
                <w:tab w:val="clear" w:pos="720"/>
                <w:tab w:val="num" w:pos="421"/>
              </w:tabs>
              <w:ind w:left="387"/>
              <w:jc w:val="both"/>
              <w:rPr>
                <w:rFonts w:ascii="Century" w:hAnsi="Century"/>
                <w:color w:val="404040"/>
                <w:sz w:val="22"/>
                <w:szCs w:val="22"/>
                <w:lang w:eastAsia="tr-TR"/>
              </w:rPr>
            </w:pPr>
            <w:r w:rsidRPr="00D55D59">
              <w:rPr>
                <w:rFonts w:ascii="Century" w:hAnsi="Century"/>
                <w:color w:val="404040"/>
                <w:sz w:val="22"/>
                <w:szCs w:val="22"/>
                <w:lang w:eastAsia="tr-TR"/>
              </w:rPr>
              <w:t>Drivers abroad who are members of the System are not liable to buy Compulsory Motor Third Party Liability (TPL) Insurance over again</w:t>
            </w:r>
          </w:p>
          <w:p w:rsidR="007909D7" w:rsidRPr="00D55D59" w:rsidRDefault="007909D7" w:rsidP="00400CEB">
            <w:pPr>
              <w:ind w:left="387"/>
              <w:jc w:val="both"/>
              <w:rPr>
                <w:rFonts w:ascii="Century" w:hAnsi="Century"/>
                <w:color w:val="404040"/>
                <w:sz w:val="14"/>
                <w:szCs w:val="14"/>
                <w:lang w:eastAsia="tr-TR"/>
              </w:rPr>
            </w:pPr>
          </w:p>
          <w:p w:rsidR="007909D7" w:rsidRPr="00D55D59" w:rsidRDefault="007909D7" w:rsidP="00400CEB">
            <w:pPr>
              <w:numPr>
                <w:ilvl w:val="0"/>
                <w:numId w:val="5"/>
              </w:numPr>
              <w:tabs>
                <w:tab w:val="clear" w:pos="720"/>
                <w:tab w:val="left" w:pos="421"/>
              </w:tabs>
              <w:ind w:left="387"/>
              <w:jc w:val="both"/>
              <w:rPr>
                <w:rFonts w:ascii="Century" w:hAnsi="Century"/>
                <w:color w:val="404040"/>
                <w:sz w:val="22"/>
                <w:szCs w:val="22"/>
                <w:lang w:eastAsia="tr-TR"/>
              </w:rPr>
            </w:pPr>
            <w:r w:rsidRPr="00D55D59">
              <w:rPr>
                <w:rFonts w:ascii="Century" w:hAnsi="Century"/>
                <w:color w:val="404040"/>
                <w:sz w:val="22"/>
                <w:szCs w:val="22"/>
                <w:lang w:eastAsia="tr-TR"/>
              </w:rPr>
              <w:t>Third parties are not suffered due to the damage which is caused by drivers abroad.</w:t>
            </w:r>
          </w:p>
          <w:p w:rsidR="007909D7" w:rsidRPr="00D55D59" w:rsidRDefault="007909D7" w:rsidP="00400CEB">
            <w:pPr>
              <w:jc w:val="both"/>
              <w:rPr>
                <w:rFonts w:ascii="Century" w:hAnsi="Century"/>
                <w:color w:val="404040"/>
                <w:sz w:val="10"/>
                <w:szCs w:val="10"/>
                <w:lang w:eastAsia="tr-TR"/>
              </w:rPr>
            </w:pPr>
          </w:p>
          <w:p w:rsidR="007909D7" w:rsidRPr="00D55D59" w:rsidRDefault="007909D7" w:rsidP="00400CEB">
            <w:pPr>
              <w:jc w:val="both"/>
              <w:rPr>
                <w:rFonts w:ascii="Century" w:hAnsi="Century"/>
                <w:color w:val="404040"/>
                <w:sz w:val="22"/>
                <w:szCs w:val="22"/>
                <w:lang w:eastAsia="tr-TR"/>
              </w:rPr>
            </w:pPr>
            <w:r w:rsidRPr="00D55D59">
              <w:rPr>
                <w:rFonts w:ascii="Century" w:hAnsi="Century"/>
                <w:color w:val="404040"/>
                <w:sz w:val="22"/>
                <w:szCs w:val="22"/>
                <w:lang w:eastAsia="tr-TR"/>
              </w:rPr>
              <w:t>Green card insurance is a motor vehicle third party liability (TPL) insurance which is valid in some countries. Thanks to that insurance drivers are not obliged to buy TPL insurance in some foreign countries. The loss is paid by the Bureau with respect to the legal limits of the country where accident occurs.</w:t>
            </w:r>
          </w:p>
          <w:p w:rsidR="007909D7" w:rsidRPr="00D55D59" w:rsidRDefault="007909D7" w:rsidP="00400CEB">
            <w:pPr>
              <w:jc w:val="both"/>
              <w:rPr>
                <w:rFonts w:ascii="Century" w:hAnsi="Century"/>
                <w:color w:val="404040"/>
                <w:sz w:val="22"/>
                <w:szCs w:val="22"/>
                <w:lang w:eastAsia="tr-TR"/>
              </w:rPr>
            </w:pPr>
          </w:p>
          <w:p w:rsidR="007909D7" w:rsidRPr="00B10D90" w:rsidRDefault="007909D7" w:rsidP="00400CEB">
            <w:pPr>
              <w:jc w:val="both"/>
              <w:rPr>
                <w:rFonts w:ascii="Century" w:hAnsi="Century"/>
                <w:color w:val="404040"/>
                <w:sz w:val="22"/>
                <w:szCs w:val="22"/>
                <w:highlight w:val="yellow"/>
              </w:rPr>
            </w:pPr>
            <w:r w:rsidRPr="00D55D59">
              <w:rPr>
                <w:rFonts w:ascii="Century" w:hAnsi="Century"/>
                <w:color w:val="404040"/>
                <w:sz w:val="22"/>
                <w:szCs w:val="22"/>
                <w:lang w:eastAsia="tr-TR"/>
              </w:rPr>
              <w:t>Member countries of the green card system are shown in the table below.</w:t>
            </w:r>
          </w:p>
        </w:tc>
      </w:tr>
      <w:tr w:rsidR="007909D7" w:rsidRPr="00B10D90" w:rsidTr="00441D50">
        <w:trPr>
          <w:gridAfter w:val="3"/>
          <w:wAfter w:w="61" w:type="dxa"/>
          <w:trHeight w:val="181"/>
        </w:trPr>
        <w:tc>
          <w:tcPr>
            <w:tcW w:w="4840" w:type="dxa"/>
            <w:gridSpan w:val="3"/>
          </w:tcPr>
          <w:p w:rsidR="007909D7" w:rsidRPr="00B10D90" w:rsidRDefault="007909D7" w:rsidP="006946C3">
            <w:pPr>
              <w:pStyle w:val="Heading2"/>
              <w:keepNext w:val="0"/>
              <w:numPr>
                <w:ilvl w:val="0"/>
                <w:numId w:val="0"/>
              </w:numPr>
              <w:spacing w:before="0" w:after="0"/>
              <w:jc w:val="both"/>
              <w:rPr>
                <w:rFonts w:ascii="Century" w:hAnsi="Century"/>
                <w:i w:val="0"/>
                <w:color w:val="000080"/>
                <w:sz w:val="22"/>
                <w:szCs w:val="22"/>
                <w:highlight w:val="yellow"/>
              </w:rPr>
            </w:pP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Pr="00B10D90" w:rsidRDefault="007909D7" w:rsidP="004835DB">
            <w:pPr>
              <w:rPr>
                <w:rFonts w:ascii="Century" w:hAnsi="Century"/>
                <w:b/>
                <w:color w:val="003366"/>
                <w:sz w:val="22"/>
                <w:szCs w:val="22"/>
                <w:highlight w:val="yellow"/>
              </w:rPr>
            </w:pPr>
          </w:p>
        </w:tc>
      </w:tr>
      <w:tr w:rsidR="007909D7" w:rsidRPr="00B10D90" w:rsidTr="00441D50">
        <w:trPr>
          <w:gridAfter w:val="2"/>
          <w:wAfter w:w="38" w:type="dxa"/>
          <w:trHeight w:val="181"/>
        </w:trPr>
        <w:tc>
          <w:tcPr>
            <w:tcW w:w="9820" w:type="dxa"/>
            <w:gridSpan w:val="14"/>
          </w:tcPr>
          <w:p w:rsidR="007909D7" w:rsidRDefault="007909D7" w:rsidP="00287BD7">
            <w:pPr>
              <w:jc w:val="center"/>
              <w:rPr>
                <w:rFonts w:ascii="Century" w:hAnsi="Century" w:cs="Arial TUR"/>
                <w:i/>
                <w:iCs/>
                <w:color w:val="000080"/>
                <w:sz w:val="20"/>
                <w:szCs w:val="20"/>
                <w:lang w:eastAsia="tr-TR"/>
              </w:rPr>
            </w:pPr>
            <w:r w:rsidRPr="00D55D59">
              <w:rPr>
                <w:rFonts w:ascii="Century" w:hAnsi="Century" w:cs="Arial TUR"/>
                <w:b/>
                <w:bCs/>
                <w:color w:val="000080"/>
                <w:sz w:val="20"/>
                <w:szCs w:val="20"/>
                <w:lang w:eastAsia="tr-TR"/>
              </w:rPr>
              <w:t>Tablo 5.3.1: Yeşil Kart Sistemine Dahil Ülkeler ve Kodları</w:t>
            </w:r>
            <w:r w:rsidRPr="00D55D59">
              <w:rPr>
                <w:rFonts w:ascii="Century" w:hAnsi="Century" w:cs="Arial TUR"/>
                <w:b/>
                <w:bCs/>
                <w:color w:val="000080"/>
                <w:sz w:val="20"/>
                <w:szCs w:val="20"/>
                <w:lang w:eastAsia="tr-TR"/>
              </w:rPr>
              <w:br/>
            </w:r>
            <w:r w:rsidRPr="00D55D59">
              <w:rPr>
                <w:rFonts w:ascii="Century" w:hAnsi="Century" w:cs="Arial TUR"/>
                <w:i/>
                <w:iCs/>
                <w:color w:val="000080"/>
                <w:sz w:val="20"/>
                <w:szCs w:val="20"/>
                <w:lang w:eastAsia="tr-TR"/>
              </w:rPr>
              <w:t>Member Country of Green Card System and Their Code</w:t>
            </w:r>
          </w:p>
          <w:p w:rsidR="007909D7" w:rsidRPr="00D55D59" w:rsidRDefault="007909D7" w:rsidP="00BB5C38">
            <w:pPr>
              <w:jc w:val="center"/>
              <w:rPr>
                <w:rFonts w:ascii="Century" w:hAnsi="Century"/>
              </w:rPr>
            </w:pPr>
            <w:r>
              <w:rPr>
                <w:rFonts w:ascii="Century" w:hAnsi="Century" w:cs="Arial TUR"/>
                <w:i/>
                <w:iCs/>
                <w:noProof/>
                <w:color w:val="000080"/>
                <w:sz w:val="20"/>
                <w:szCs w:val="20"/>
              </w:rPr>
              <w:drawing>
                <wp:inline distT="0" distB="0" distL="0" distR="0" wp14:anchorId="2FCBB2F0" wp14:editId="349C74F5">
                  <wp:extent cx="5422642" cy="2433100"/>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2642" cy="2433100"/>
                          </a:xfrm>
                          <a:prstGeom prst="rect">
                            <a:avLst/>
                          </a:prstGeom>
                          <a:noFill/>
                          <a:ln>
                            <a:noFill/>
                          </a:ln>
                        </pic:spPr>
                      </pic:pic>
                    </a:graphicData>
                  </a:graphic>
                </wp:inline>
              </w:drawing>
            </w:r>
          </w:p>
        </w:tc>
      </w:tr>
      <w:tr w:rsidR="007909D7" w:rsidRPr="00B10D90" w:rsidTr="00441D50">
        <w:trPr>
          <w:gridAfter w:val="3"/>
          <w:wAfter w:w="61" w:type="dxa"/>
          <w:trHeight w:val="181"/>
        </w:trPr>
        <w:tc>
          <w:tcPr>
            <w:tcW w:w="4840" w:type="dxa"/>
            <w:gridSpan w:val="3"/>
          </w:tcPr>
          <w:p w:rsidR="007909D7" w:rsidRPr="00C95B48" w:rsidRDefault="007909D7" w:rsidP="004835DB">
            <w:pPr>
              <w:pStyle w:val="NormalWeb"/>
              <w:spacing w:before="0" w:beforeAutospacing="0" w:after="0" w:afterAutospacing="0"/>
              <w:jc w:val="both"/>
              <w:rPr>
                <w:rFonts w:ascii="Century" w:hAnsi="Century"/>
                <w:sz w:val="22"/>
                <w:szCs w:val="22"/>
              </w:rPr>
            </w:pPr>
            <w:r w:rsidRPr="00C95B48">
              <w:rPr>
                <w:rFonts w:ascii="Century" w:hAnsi="Century"/>
                <w:sz w:val="22"/>
                <w:szCs w:val="22"/>
              </w:rPr>
              <w:lastRenderedPageBreak/>
              <w:t xml:space="preserve">Sigorta şirketleri yeşil kart sigortasını, faaliyette bulundukları ülkede kurulmuş olan Büro adına ve acentesi olarak yapmaktadırlar. Yeşil kart poliçesi, tanzim edilen poliçenin üzerinde yazılı olan ülkelerde geçerlidir. </w:t>
            </w:r>
          </w:p>
          <w:p w:rsidR="007909D7" w:rsidRPr="00C95B48" w:rsidRDefault="007909D7" w:rsidP="004835DB">
            <w:pPr>
              <w:pStyle w:val="NormalWeb"/>
              <w:spacing w:before="0" w:beforeAutospacing="0" w:after="0" w:afterAutospacing="0"/>
              <w:jc w:val="both"/>
              <w:rPr>
                <w:rFonts w:ascii="Century" w:hAnsi="Century"/>
                <w:sz w:val="22"/>
                <w:szCs w:val="22"/>
              </w:rPr>
            </w:pPr>
          </w:p>
          <w:p w:rsidR="007909D7" w:rsidRPr="00C95B48" w:rsidRDefault="007909D7" w:rsidP="004835DB">
            <w:pPr>
              <w:pStyle w:val="NormalWeb"/>
              <w:spacing w:before="0" w:beforeAutospacing="0" w:after="0" w:afterAutospacing="0"/>
              <w:jc w:val="both"/>
              <w:rPr>
                <w:rFonts w:ascii="Century" w:hAnsi="Century"/>
                <w:sz w:val="22"/>
                <w:szCs w:val="22"/>
              </w:rPr>
            </w:pPr>
            <w:r w:rsidRPr="00C95B48">
              <w:rPr>
                <w:rFonts w:ascii="Century" w:hAnsi="Century"/>
                <w:sz w:val="22"/>
                <w:szCs w:val="22"/>
              </w:rPr>
              <w:t>Ülkemizde 2009 yılına kadar sigorta şirketlerinin gönüllü üyelik esasına dayanan ve sadece 10 sigorta şirketinin üye olduğu yeşil kart sistemine, yapılan mevzuat değişikliği ile kara araçları sorumluluk branşında ruhsat sahibi olan tüm hayat dışı sigorta şirketleri doğal üye olarak kabul edilmiştir.</w:t>
            </w:r>
          </w:p>
          <w:p w:rsidR="007909D7" w:rsidRPr="00B10D90" w:rsidRDefault="007909D7" w:rsidP="004835DB">
            <w:pPr>
              <w:pStyle w:val="NormalWeb"/>
              <w:spacing w:before="0" w:beforeAutospacing="0" w:after="0" w:afterAutospacing="0"/>
              <w:jc w:val="both"/>
              <w:rPr>
                <w:rFonts w:ascii="Century" w:hAnsi="Century"/>
                <w:sz w:val="22"/>
                <w:szCs w:val="22"/>
                <w:highlight w:val="yellow"/>
              </w:rPr>
            </w:pPr>
          </w:p>
          <w:p w:rsidR="007909D7" w:rsidRPr="00C95B48" w:rsidRDefault="007909D7" w:rsidP="00870B54">
            <w:pPr>
              <w:pStyle w:val="NormalWeb"/>
              <w:spacing w:before="0" w:beforeAutospacing="0" w:after="0" w:afterAutospacing="0"/>
              <w:jc w:val="both"/>
              <w:rPr>
                <w:rFonts w:ascii="Century" w:hAnsi="Century"/>
                <w:sz w:val="22"/>
                <w:szCs w:val="22"/>
              </w:rPr>
            </w:pPr>
            <w:r w:rsidRPr="00C95B48">
              <w:rPr>
                <w:rFonts w:ascii="Century" w:hAnsi="Century"/>
                <w:sz w:val="22"/>
                <w:szCs w:val="22"/>
              </w:rPr>
              <w:t>Türkiye’de yeşil kart sistemi kapsamında 2018 yılında prim üretiminde bulunan şirketler ve araç bazında prim üretimleri aşağıdaki tabloda verilmiştir.</w:t>
            </w:r>
          </w:p>
          <w:p w:rsidR="007909D7" w:rsidRPr="00B10D90" w:rsidRDefault="007909D7" w:rsidP="00870B54">
            <w:pPr>
              <w:pStyle w:val="NormalWeb"/>
              <w:spacing w:before="0" w:beforeAutospacing="0" w:after="0" w:afterAutospacing="0"/>
              <w:jc w:val="both"/>
              <w:rPr>
                <w:rFonts w:ascii="Century" w:hAnsi="Century"/>
                <w:sz w:val="22"/>
                <w:szCs w:val="22"/>
                <w:highlight w:val="yellow"/>
              </w:rPr>
            </w:pP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Pr="00C95B48" w:rsidRDefault="007909D7" w:rsidP="004835DB">
            <w:pPr>
              <w:jc w:val="both"/>
              <w:rPr>
                <w:rFonts w:ascii="Century" w:hAnsi="Century"/>
                <w:color w:val="333333"/>
                <w:sz w:val="22"/>
                <w:szCs w:val="22"/>
              </w:rPr>
            </w:pPr>
            <w:r w:rsidRPr="00C95B48">
              <w:rPr>
                <w:rFonts w:ascii="Century" w:hAnsi="Century"/>
                <w:color w:val="333333"/>
                <w:sz w:val="22"/>
                <w:szCs w:val="22"/>
              </w:rPr>
              <w:t xml:space="preserve">Insurance companies write green card insurance in the name of the Bureau as an agency. Green card policy is valid in the countries presented on the policy. </w:t>
            </w:r>
          </w:p>
          <w:p w:rsidR="007909D7" w:rsidRDefault="007909D7" w:rsidP="004835DB">
            <w:pPr>
              <w:jc w:val="both"/>
              <w:rPr>
                <w:rFonts w:ascii="Century" w:hAnsi="Century"/>
                <w:color w:val="333333"/>
                <w:sz w:val="22"/>
                <w:szCs w:val="22"/>
              </w:rPr>
            </w:pPr>
          </w:p>
          <w:p w:rsidR="006B7CC2" w:rsidRDefault="006B7CC2" w:rsidP="004835DB">
            <w:pPr>
              <w:jc w:val="both"/>
              <w:rPr>
                <w:rFonts w:ascii="Century" w:hAnsi="Century"/>
                <w:color w:val="333333"/>
                <w:sz w:val="22"/>
                <w:szCs w:val="22"/>
              </w:rPr>
            </w:pPr>
          </w:p>
          <w:p w:rsidR="006B7CC2" w:rsidRPr="00C95B48" w:rsidRDefault="006B7CC2" w:rsidP="004835DB">
            <w:pPr>
              <w:jc w:val="both"/>
              <w:rPr>
                <w:rFonts w:ascii="Century" w:hAnsi="Century"/>
                <w:color w:val="333333"/>
                <w:sz w:val="22"/>
                <w:szCs w:val="22"/>
              </w:rPr>
            </w:pPr>
          </w:p>
          <w:p w:rsidR="007909D7" w:rsidRPr="00C95B48" w:rsidRDefault="007909D7" w:rsidP="004835DB">
            <w:pPr>
              <w:jc w:val="both"/>
              <w:rPr>
                <w:rFonts w:ascii="Century" w:hAnsi="Century"/>
                <w:color w:val="333333"/>
                <w:sz w:val="22"/>
                <w:szCs w:val="22"/>
              </w:rPr>
            </w:pPr>
            <w:r w:rsidRPr="00C95B48">
              <w:rPr>
                <w:rFonts w:ascii="Century" w:hAnsi="Century"/>
                <w:color w:val="333333"/>
                <w:sz w:val="22"/>
                <w:szCs w:val="22"/>
              </w:rPr>
              <w:t xml:space="preserve">Until 2009, membership to green card system was voluntarily and only ten non-life insurance companies became member. With the amendment in 2009, all non-life companies licensed in </w:t>
            </w:r>
            <w:r w:rsidR="006B7CC2">
              <w:rPr>
                <w:rFonts w:ascii="Century" w:hAnsi="Century"/>
                <w:color w:val="333333"/>
                <w:sz w:val="22"/>
                <w:szCs w:val="22"/>
              </w:rPr>
              <w:t>motor</w:t>
            </w:r>
            <w:r w:rsidRPr="00C95B48">
              <w:rPr>
                <w:rFonts w:ascii="Century" w:hAnsi="Century"/>
                <w:color w:val="333333"/>
                <w:sz w:val="22"/>
                <w:szCs w:val="22"/>
              </w:rPr>
              <w:t xml:space="preserve"> liability </w:t>
            </w:r>
            <w:r w:rsidR="006B7CC2">
              <w:rPr>
                <w:rFonts w:ascii="Century" w:hAnsi="Century"/>
                <w:color w:val="333333"/>
                <w:sz w:val="22"/>
                <w:szCs w:val="22"/>
              </w:rPr>
              <w:t xml:space="preserve">LoBs </w:t>
            </w:r>
            <w:r w:rsidRPr="00C95B48">
              <w:rPr>
                <w:rFonts w:ascii="Century" w:hAnsi="Century"/>
                <w:color w:val="333333"/>
                <w:sz w:val="22"/>
                <w:szCs w:val="22"/>
              </w:rPr>
              <w:t xml:space="preserve">are accepted as natural member of the Bureau and green card system. </w:t>
            </w:r>
          </w:p>
          <w:p w:rsidR="007909D7" w:rsidRDefault="007909D7" w:rsidP="004835DB">
            <w:pPr>
              <w:jc w:val="both"/>
              <w:rPr>
                <w:rFonts w:ascii="Century" w:hAnsi="Century"/>
                <w:color w:val="333333"/>
                <w:sz w:val="22"/>
                <w:szCs w:val="22"/>
                <w:highlight w:val="yellow"/>
              </w:rPr>
            </w:pPr>
          </w:p>
          <w:p w:rsidR="006B7CC2" w:rsidRPr="00B10D90" w:rsidRDefault="006B7CC2" w:rsidP="004835DB">
            <w:pPr>
              <w:jc w:val="both"/>
              <w:rPr>
                <w:rFonts w:ascii="Century" w:hAnsi="Century"/>
                <w:color w:val="333333"/>
                <w:sz w:val="22"/>
                <w:szCs w:val="22"/>
                <w:highlight w:val="yellow"/>
              </w:rPr>
            </w:pPr>
          </w:p>
          <w:p w:rsidR="007909D7" w:rsidRPr="00B10D90" w:rsidRDefault="007909D7" w:rsidP="00C21E26">
            <w:pPr>
              <w:jc w:val="both"/>
              <w:rPr>
                <w:rFonts w:ascii="Century" w:hAnsi="Century"/>
                <w:color w:val="404040"/>
                <w:sz w:val="22"/>
                <w:szCs w:val="22"/>
                <w:highlight w:val="yellow"/>
              </w:rPr>
            </w:pPr>
            <w:r w:rsidRPr="00C95B48">
              <w:rPr>
                <w:rFonts w:ascii="Century" w:hAnsi="Century"/>
                <w:color w:val="333333"/>
                <w:sz w:val="22"/>
                <w:szCs w:val="22"/>
              </w:rPr>
              <w:t>Insurance companies that are members of the system and generate premium are shown in the table below by vehicle types’ premium volume.</w:t>
            </w:r>
          </w:p>
        </w:tc>
      </w:tr>
      <w:tr w:rsidR="007909D7" w:rsidRPr="00B10D90" w:rsidTr="00441D50">
        <w:trPr>
          <w:gridAfter w:val="2"/>
          <w:wAfter w:w="38" w:type="dxa"/>
          <w:trHeight w:val="139"/>
        </w:trPr>
        <w:tc>
          <w:tcPr>
            <w:tcW w:w="9820" w:type="dxa"/>
            <w:gridSpan w:val="14"/>
          </w:tcPr>
          <w:p w:rsidR="007909D7" w:rsidRPr="008F1E2C" w:rsidRDefault="007909D7" w:rsidP="003C74A0">
            <w:pPr>
              <w:jc w:val="center"/>
              <w:rPr>
                <w:rFonts w:ascii="Century" w:hAnsi="Century"/>
                <w:color w:val="000080"/>
                <w:sz w:val="20"/>
                <w:szCs w:val="20"/>
              </w:rPr>
            </w:pPr>
            <w:r w:rsidRPr="008F1E2C">
              <w:rPr>
                <w:rFonts w:ascii="Century" w:hAnsi="Century"/>
                <w:b/>
                <w:color w:val="000080"/>
                <w:sz w:val="20"/>
                <w:szCs w:val="20"/>
              </w:rPr>
              <w:t>Tablo 5.3.2: Prim Üretiminde Bulunan Sigorta Şirketleri ve Direkt Prim Üretimleri</w:t>
            </w:r>
          </w:p>
          <w:p w:rsidR="007909D7" w:rsidRPr="008F1E2C" w:rsidRDefault="007909D7" w:rsidP="003C74A0">
            <w:pPr>
              <w:jc w:val="center"/>
              <w:rPr>
                <w:rFonts w:ascii="AbakuTLSymSans" w:hAnsi="AbakuTLSymSans" w:cs="Arial"/>
                <w:i/>
                <w:color w:val="000080"/>
                <w:sz w:val="20"/>
                <w:szCs w:val="20"/>
                <w:lang w:eastAsia="tr-TR"/>
              </w:rPr>
            </w:pPr>
            <w:r w:rsidRPr="008F1E2C">
              <w:rPr>
                <w:rFonts w:ascii="Century" w:hAnsi="Century"/>
                <w:i/>
                <w:iCs/>
                <w:color w:val="000080"/>
                <w:sz w:val="20"/>
                <w:szCs w:val="20"/>
              </w:rPr>
              <w:t>Premium Generator Members of Green Card System and Direct Premium Production</w:t>
            </w:r>
            <w:r w:rsidRPr="008F1E2C">
              <w:rPr>
                <w:rFonts w:ascii="Century" w:hAnsi="Century" w:cs="Arial"/>
                <w:i/>
                <w:color w:val="000080"/>
                <w:sz w:val="20"/>
                <w:szCs w:val="20"/>
                <w:lang w:eastAsia="tr-TR"/>
              </w:rPr>
              <w:t>(</w:t>
            </w:r>
            <w:r w:rsidRPr="008F1E2C">
              <w:rPr>
                <w:rFonts w:ascii="AbakuTLSymSans" w:hAnsi="AbakuTLSymSans" w:cs="Arial"/>
                <w:i/>
                <w:color w:val="000080"/>
                <w:sz w:val="20"/>
                <w:szCs w:val="20"/>
                <w:lang w:eastAsia="tr-TR"/>
              </w:rPr>
              <w:t>¨)</w:t>
            </w:r>
          </w:p>
          <w:p w:rsidR="007909D7" w:rsidRPr="008F1E2C" w:rsidRDefault="007909D7" w:rsidP="000E5C85">
            <w:pPr>
              <w:jc w:val="center"/>
              <w:rPr>
                <w:rFonts w:ascii="AbakuTLSymSans" w:hAnsi="AbakuTLSymSans" w:cs="Arial"/>
                <w:i/>
                <w:color w:val="000080"/>
                <w:sz w:val="20"/>
                <w:szCs w:val="20"/>
                <w:lang w:eastAsia="tr-TR"/>
              </w:rPr>
            </w:pPr>
            <w:r w:rsidRPr="008F1E2C">
              <w:rPr>
                <w:rFonts w:ascii="AbakuTLSymSans" w:hAnsi="AbakuTLSymSans" w:cs="Arial"/>
                <w:i/>
                <w:noProof/>
                <w:color w:val="000080"/>
                <w:sz w:val="20"/>
                <w:szCs w:val="20"/>
              </w:rPr>
              <w:drawing>
                <wp:inline distT="0" distB="0" distL="0" distR="0" wp14:anchorId="713FB7B0" wp14:editId="3476CF3A">
                  <wp:extent cx="6098540" cy="2949934"/>
                  <wp:effectExtent l="0" t="0" r="0" b="31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8540" cy="2949934"/>
                          </a:xfrm>
                          <a:prstGeom prst="rect">
                            <a:avLst/>
                          </a:prstGeom>
                          <a:noFill/>
                          <a:ln>
                            <a:noFill/>
                          </a:ln>
                        </pic:spPr>
                      </pic:pic>
                    </a:graphicData>
                  </a:graphic>
                </wp:inline>
              </w:drawing>
            </w:r>
          </w:p>
          <w:p w:rsidR="007909D7" w:rsidRPr="008F1E2C"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Default="007909D7" w:rsidP="00912CC1">
            <w:pPr>
              <w:jc w:val="both"/>
              <w:rPr>
                <w:rFonts w:ascii="Century" w:hAnsi="Century"/>
                <w:color w:val="333333"/>
                <w:sz w:val="22"/>
                <w:szCs w:val="22"/>
              </w:rPr>
            </w:pPr>
          </w:p>
          <w:p w:rsidR="007909D7" w:rsidRPr="008F1E2C" w:rsidRDefault="007909D7" w:rsidP="00912CC1">
            <w:pPr>
              <w:jc w:val="both"/>
              <w:rPr>
                <w:rFonts w:ascii="Century" w:hAnsi="Century"/>
                <w:color w:val="333333"/>
                <w:sz w:val="22"/>
                <w:szCs w:val="22"/>
              </w:rPr>
            </w:pPr>
          </w:p>
          <w:p w:rsidR="007909D7" w:rsidRPr="008F1E2C" w:rsidRDefault="007909D7" w:rsidP="00912CC1">
            <w:pPr>
              <w:jc w:val="both"/>
              <w:rPr>
                <w:rFonts w:ascii="Century" w:hAnsi="Century"/>
                <w:color w:val="333333"/>
                <w:sz w:val="22"/>
                <w:szCs w:val="22"/>
              </w:rPr>
            </w:pPr>
          </w:p>
          <w:p w:rsidR="007909D7" w:rsidRPr="008F1E2C" w:rsidRDefault="007909D7" w:rsidP="00912CC1">
            <w:pPr>
              <w:jc w:val="both"/>
              <w:rPr>
                <w:rFonts w:ascii="Century" w:hAnsi="Century"/>
                <w:color w:val="333333"/>
                <w:sz w:val="22"/>
                <w:szCs w:val="22"/>
              </w:rPr>
            </w:pPr>
          </w:p>
          <w:p w:rsidR="007909D7" w:rsidRPr="008F1E2C" w:rsidRDefault="007909D7" w:rsidP="00912CC1">
            <w:pPr>
              <w:jc w:val="both"/>
              <w:rPr>
                <w:rFonts w:ascii="Century" w:hAnsi="Century"/>
                <w:color w:val="333333"/>
                <w:sz w:val="22"/>
                <w:szCs w:val="22"/>
              </w:rPr>
            </w:pPr>
          </w:p>
        </w:tc>
      </w:tr>
      <w:tr w:rsidR="007909D7" w:rsidRPr="00B10D90" w:rsidTr="00441D50">
        <w:trPr>
          <w:gridAfter w:val="3"/>
          <w:wAfter w:w="61" w:type="dxa"/>
          <w:trHeight w:val="181"/>
        </w:trPr>
        <w:tc>
          <w:tcPr>
            <w:tcW w:w="4840" w:type="dxa"/>
            <w:gridSpan w:val="3"/>
          </w:tcPr>
          <w:p w:rsidR="007909D7" w:rsidRPr="008F1E2C" w:rsidRDefault="007909D7" w:rsidP="00C62172">
            <w:pPr>
              <w:pStyle w:val="Heading2"/>
              <w:keepNext w:val="0"/>
              <w:numPr>
                <w:ilvl w:val="1"/>
                <w:numId w:val="1"/>
              </w:numPr>
              <w:tabs>
                <w:tab w:val="num" w:pos="536"/>
              </w:tabs>
              <w:spacing w:before="0" w:after="0"/>
              <w:ind w:left="0"/>
              <w:jc w:val="both"/>
              <w:rPr>
                <w:rFonts w:ascii="Century" w:hAnsi="Century"/>
                <w:i w:val="0"/>
                <w:color w:val="000080"/>
                <w:sz w:val="22"/>
                <w:szCs w:val="22"/>
              </w:rPr>
            </w:pPr>
            <w:bookmarkStart w:id="287" w:name="_Toc327793364"/>
            <w:bookmarkStart w:id="288" w:name="_Toc358380223"/>
            <w:bookmarkStart w:id="289" w:name="_Toc12957695"/>
            <w:r w:rsidRPr="008F1E2C">
              <w:rPr>
                <w:rFonts w:ascii="Century" w:hAnsi="Century"/>
                <w:i w:val="0"/>
                <w:color w:val="000080"/>
                <w:sz w:val="22"/>
                <w:szCs w:val="22"/>
              </w:rPr>
              <w:lastRenderedPageBreak/>
              <w:t>Güvence Hesabı</w:t>
            </w:r>
            <w:bookmarkEnd w:id="287"/>
            <w:bookmarkEnd w:id="288"/>
            <w:bookmarkEnd w:id="289"/>
          </w:p>
          <w:p w:rsidR="007909D7" w:rsidRPr="008F1E2C" w:rsidRDefault="007909D7" w:rsidP="004835DB">
            <w:pPr>
              <w:jc w:val="both"/>
              <w:rPr>
                <w:rFonts w:ascii="Century" w:hAnsi="Century"/>
                <w:sz w:val="22"/>
                <w:szCs w:val="22"/>
              </w:rPr>
            </w:pPr>
          </w:p>
          <w:p w:rsidR="007909D7" w:rsidRPr="008F1E2C" w:rsidRDefault="007909D7" w:rsidP="004835DB">
            <w:pPr>
              <w:jc w:val="both"/>
              <w:rPr>
                <w:rFonts w:ascii="Century" w:hAnsi="Century"/>
                <w:sz w:val="22"/>
                <w:szCs w:val="22"/>
                <w:lang w:eastAsia="tr-TR"/>
              </w:rPr>
            </w:pPr>
            <w:r w:rsidRPr="008F1E2C">
              <w:rPr>
                <w:rFonts w:ascii="Century" w:hAnsi="Century"/>
                <w:sz w:val="22"/>
                <w:szCs w:val="22"/>
                <w:lang w:eastAsia="tr-TR"/>
              </w:rPr>
              <w:t>18 Ekim 1983 tarihli ve 18195 sayılı Resmî Gazete’de yayımlanarak yürürlüğe giren 2918 sayılı Karayolları Trafik Kanunu</w:t>
            </w:r>
            <w:r>
              <w:rPr>
                <w:rFonts w:ascii="Century" w:hAnsi="Century"/>
                <w:sz w:val="22"/>
                <w:szCs w:val="22"/>
                <w:lang w:eastAsia="tr-TR"/>
              </w:rPr>
              <w:t xml:space="preserve"> </w:t>
            </w:r>
            <w:r w:rsidRPr="008F1E2C">
              <w:rPr>
                <w:rFonts w:ascii="Century" w:hAnsi="Century"/>
                <w:sz w:val="22"/>
                <w:szCs w:val="22"/>
                <w:lang w:eastAsia="tr-TR"/>
              </w:rPr>
              <w:t>(KTK)’nun 108’inci maddesine istinaden “Garanti Fonu” ismiyle kurulan Hesap, 5684 sayılı Sigortacılık Kanunu ile kapsamı da genişletilmek suretiyle “Güvence Hesabı” adını almıştır. Hesap kapsamındaki sigortalar şunlardır:</w:t>
            </w:r>
          </w:p>
          <w:p w:rsidR="007909D7" w:rsidRPr="008F1E2C" w:rsidRDefault="007909D7" w:rsidP="004835DB">
            <w:pPr>
              <w:jc w:val="both"/>
              <w:rPr>
                <w:rFonts w:ascii="Century" w:hAnsi="Century"/>
                <w:sz w:val="10"/>
                <w:szCs w:val="10"/>
                <w:lang w:eastAsia="tr-TR"/>
              </w:rPr>
            </w:pP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Karayolları Motorlu Araçlar Zorunlu Mali Sorumluluk Sigortası,</w:t>
            </w: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Karayolu Yolcu Taşımacılığı Zorunlu Koltuk Ferdi Kaza Sigortası,</w:t>
            </w: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Tüpgaz Zorunlu Sorumluluk Sigortası,</w:t>
            </w: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Tehlikeli Maddeler ve Tehlikeli Atık Zorunlu Mali Sorumluluk Sigortası</w:t>
            </w: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Maden Çalışanları Zorunlu Ferdi Kaza Sigostası</w:t>
            </w:r>
          </w:p>
          <w:p w:rsidR="007909D7" w:rsidRPr="008F1E2C"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8F1E2C">
              <w:rPr>
                <w:rFonts w:ascii="Century" w:hAnsi="Century"/>
                <w:sz w:val="22"/>
                <w:szCs w:val="22"/>
                <w:lang w:eastAsia="tr-TR"/>
              </w:rPr>
              <w:t>Yeşil Kart Sigortası.</w:t>
            </w:r>
          </w:p>
          <w:p w:rsidR="007909D7" w:rsidRPr="008F1E2C" w:rsidRDefault="007909D7" w:rsidP="004835DB">
            <w:pPr>
              <w:jc w:val="both"/>
              <w:rPr>
                <w:rFonts w:ascii="Century" w:hAnsi="Century"/>
                <w:sz w:val="10"/>
                <w:szCs w:val="10"/>
                <w:lang w:eastAsia="tr-TR"/>
              </w:rPr>
            </w:pPr>
          </w:p>
          <w:p w:rsidR="007909D7" w:rsidRPr="008F1E2C" w:rsidRDefault="007909D7" w:rsidP="004835DB">
            <w:pPr>
              <w:jc w:val="both"/>
              <w:rPr>
                <w:rFonts w:ascii="Century" w:hAnsi="Century"/>
                <w:sz w:val="22"/>
                <w:szCs w:val="22"/>
                <w:lang w:eastAsia="tr-TR"/>
              </w:rPr>
            </w:pPr>
            <w:r w:rsidRPr="008F1E2C">
              <w:rPr>
                <w:rFonts w:ascii="Century" w:hAnsi="Century"/>
                <w:sz w:val="22"/>
                <w:szCs w:val="22"/>
                <w:lang w:eastAsia="tr-TR"/>
              </w:rPr>
              <w:t>Güvence Hesabı, Yönetim Komitesi tarafından yönetilmektedir. Hesap,</w:t>
            </w:r>
          </w:p>
          <w:p w:rsidR="007909D7" w:rsidRPr="008F1E2C" w:rsidRDefault="007909D7" w:rsidP="004835DB">
            <w:pPr>
              <w:jc w:val="both"/>
              <w:rPr>
                <w:rFonts w:ascii="Century" w:hAnsi="Century"/>
                <w:sz w:val="10"/>
                <w:szCs w:val="10"/>
                <w:lang w:eastAsia="tr-TR"/>
              </w:rPr>
            </w:pPr>
          </w:p>
          <w:p w:rsidR="007909D7" w:rsidRPr="008F1E2C" w:rsidRDefault="007909D7" w:rsidP="004835DB">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Sigortalının tespit edilememesi halinde kişiye gelen bedensel zararları,</w:t>
            </w:r>
          </w:p>
          <w:p w:rsidR="007909D7" w:rsidRPr="008F1E2C" w:rsidRDefault="007909D7" w:rsidP="004835DB">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Rizikonun meydana geldiği tarihte geçerli olan teminat tutarları dâhilinde sigortasını yaptırmamış olanların neden olduğu bedensel zararları,</w:t>
            </w:r>
          </w:p>
          <w:p w:rsidR="007909D7" w:rsidRPr="008F1E2C" w:rsidRDefault="007909D7" w:rsidP="004835DB">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Zorunlu sigorta teminat limitleri ile sigorta poliçesinde belirtilen teminat arasındaki fark kadar ödenecek bedensel tazminat tutarlarını,</w:t>
            </w:r>
          </w:p>
          <w:p w:rsidR="007909D7" w:rsidRPr="008F1E2C" w:rsidRDefault="007909D7" w:rsidP="004835DB">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Sigorta şirketinin malî bünye zaafiyeti nedeniyle sürekli olarak bütün branşlarda ruhsatlarının iptal edilmesi ya da iflası halinde (Güvence Hesabı kapsamında kalan Zorunlu Sigortalar ile sınırlı olarak) ödemekle yükümlü olduğu</w:t>
            </w:r>
            <w:r w:rsidRPr="008F1E2C">
              <w:rPr>
                <w:rFonts w:ascii="Century" w:hAnsi="Century"/>
                <w:sz w:val="22"/>
                <w:szCs w:val="22"/>
              </w:rPr>
              <w:t xml:space="preserve"> </w:t>
            </w:r>
            <w:r w:rsidRPr="008F1E2C">
              <w:rPr>
                <w:rFonts w:ascii="Century" w:hAnsi="Century"/>
                <w:sz w:val="22"/>
                <w:szCs w:val="22"/>
                <w:lang w:eastAsia="tr-TR"/>
              </w:rPr>
              <w:t>maddi ve bedensel zararları,</w:t>
            </w:r>
          </w:p>
          <w:p w:rsidR="007909D7" w:rsidRPr="008F1E2C" w:rsidRDefault="007909D7" w:rsidP="004835DB">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Çalınmış veya gasp edilmiş bir aracın karıştığı kazada, 13.10.1983 tarihli ve 2918 sayılı Karayolları Trafik Kanunu uyarınca işletenin sorumlu tutulmadığı hallerde, kişiye gelen bedensel zararları,</w:t>
            </w:r>
          </w:p>
          <w:p w:rsidR="007909D7" w:rsidRPr="00327B97" w:rsidRDefault="007909D7" w:rsidP="00327B97">
            <w:pPr>
              <w:numPr>
                <w:ilvl w:val="0"/>
                <w:numId w:val="7"/>
              </w:numPr>
              <w:tabs>
                <w:tab w:val="clear" w:pos="720"/>
              </w:tabs>
              <w:ind w:left="252" w:hanging="252"/>
              <w:jc w:val="both"/>
              <w:rPr>
                <w:rFonts w:ascii="Century" w:hAnsi="Century"/>
                <w:sz w:val="22"/>
                <w:szCs w:val="22"/>
                <w:lang w:eastAsia="tr-TR"/>
              </w:rPr>
            </w:pPr>
            <w:r w:rsidRPr="008F1E2C">
              <w:rPr>
                <w:rFonts w:ascii="Century" w:hAnsi="Century"/>
                <w:sz w:val="22"/>
                <w:szCs w:val="22"/>
                <w:lang w:eastAsia="tr-TR"/>
              </w:rPr>
              <w:t>Yeşil Kart Sigortası kapsamında Türkiye sınırları içinde meydana gelen zararlardan dolayı Motorlu Taşıt Bürosu tarafından tekemmül ettirilen hasar dosyalarının tazminat tutarlarını ödemekle yükümlü tutulmuştur.</w:t>
            </w: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Pr="008F1E2C" w:rsidRDefault="007909D7" w:rsidP="004835DB">
            <w:pPr>
              <w:jc w:val="both"/>
              <w:rPr>
                <w:rFonts w:ascii="Century" w:hAnsi="Century"/>
                <w:b/>
                <w:color w:val="003366"/>
                <w:sz w:val="22"/>
                <w:szCs w:val="22"/>
              </w:rPr>
            </w:pPr>
            <w:r w:rsidRPr="008F1E2C">
              <w:rPr>
                <w:rFonts w:ascii="Century" w:hAnsi="Century"/>
                <w:b/>
                <w:color w:val="003366"/>
                <w:sz w:val="22"/>
                <w:szCs w:val="22"/>
              </w:rPr>
              <w:t>5.4. Insurance Guarantee Scheme</w:t>
            </w:r>
          </w:p>
          <w:p w:rsidR="007909D7" w:rsidRPr="008F1E2C" w:rsidRDefault="007909D7" w:rsidP="004835DB">
            <w:pPr>
              <w:rPr>
                <w:rFonts w:ascii="Century" w:hAnsi="Century"/>
                <w:b/>
                <w:color w:val="404040"/>
                <w:sz w:val="22"/>
                <w:szCs w:val="22"/>
              </w:rPr>
            </w:pPr>
          </w:p>
          <w:p w:rsidR="007909D7" w:rsidRPr="008F1E2C" w:rsidRDefault="007909D7" w:rsidP="004835DB">
            <w:pPr>
              <w:jc w:val="both"/>
              <w:rPr>
                <w:rFonts w:ascii="Century" w:hAnsi="Century"/>
                <w:color w:val="333333"/>
                <w:sz w:val="22"/>
                <w:szCs w:val="22"/>
                <w:lang w:eastAsia="tr-TR"/>
              </w:rPr>
            </w:pPr>
            <w:r w:rsidRPr="008F1E2C">
              <w:rPr>
                <w:rFonts w:ascii="Century" w:hAnsi="Century"/>
                <w:color w:val="333333"/>
                <w:sz w:val="22"/>
                <w:szCs w:val="22"/>
              </w:rPr>
              <w:t xml:space="preserve">Insurance Guarantee Scheme was established with the article 108 of Highways Traffic Law numbered 2918 dated October 18, 1983 (Official Gazette No: 18195) as </w:t>
            </w:r>
            <w:r w:rsidRPr="008F1E2C">
              <w:rPr>
                <w:rFonts w:ascii="Century" w:hAnsi="Century"/>
                <w:color w:val="333333"/>
                <w:sz w:val="22"/>
                <w:szCs w:val="22"/>
                <w:lang w:eastAsia="tr-TR"/>
              </w:rPr>
              <w:t xml:space="preserve">“Guarantee Fund”. With the Insurance Law numbered 5684, the scheme was renamed as </w:t>
            </w:r>
            <w:r w:rsidRPr="008F1E2C">
              <w:rPr>
                <w:rFonts w:ascii="Century" w:hAnsi="Century"/>
                <w:color w:val="333333"/>
                <w:sz w:val="22"/>
                <w:szCs w:val="22"/>
              </w:rPr>
              <w:t>Guarantee Scheme</w:t>
            </w:r>
            <w:r w:rsidRPr="008F1E2C">
              <w:rPr>
                <w:rFonts w:ascii="Century" w:hAnsi="Century"/>
                <w:color w:val="333333"/>
                <w:sz w:val="22"/>
                <w:szCs w:val="22"/>
                <w:lang w:eastAsia="tr-TR"/>
              </w:rPr>
              <w:t xml:space="preserve"> and the scope of the scheme was extended including the following compulsory insurance types: </w:t>
            </w:r>
          </w:p>
          <w:p w:rsidR="007909D7" w:rsidRPr="008F1E2C" w:rsidRDefault="007909D7" w:rsidP="004835DB">
            <w:pPr>
              <w:rPr>
                <w:rFonts w:ascii="Century" w:hAnsi="Century"/>
                <w:color w:val="333333"/>
                <w:sz w:val="22"/>
                <w:szCs w:val="22"/>
                <w:lang w:eastAsia="tr-TR"/>
              </w:rPr>
            </w:pPr>
          </w:p>
          <w:p w:rsidR="007909D7" w:rsidRPr="008F1E2C" w:rsidRDefault="006B7CC2" w:rsidP="004835DB">
            <w:pPr>
              <w:numPr>
                <w:ilvl w:val="0"/>
                <w:numId w:val="10"/>
              </w:numPr>
              <w:tabs>
                <w:tab w:val="clear" w:pos="720"/>
                <w:tab w:val="num" w:pos="421"/>
              </w:tabs>
              <w:ind w:hanging="720"/>
              <w:jc w:val="both"/>
              <w:rPr>
                <w:rFonts w:ascii="Century" w:hAnsi="Century"/>
                <w:color w:val="333333"/>
                <w:sz w:val="22"/>
                <w:szCs w:val="22"/>
                <w:lang w:eastAsia="tr-TR"/>
              </w:rPr>
            </w:pPr>
            <w:r w:rsidRPr="008F1E2C">
              <w:rPr>
                <w:rFonts w:ascii="Century" w:hAnsi="Century"/>
                <w:color w:val="333333"/>
                <w:sz w:val="22"/>
                <w:szCs w:val="22"/>
              </w:rPr>
              <w:t>Compulsory</w:t>
            </w:r>
            <w:r w:rsidRPr="008F1E2C">
              <w:rPr>
                <w:rFonts w:ascii="Century" w:hAnsi="Century"/>
                <w:color w:val="333333"/>
                <w:sz w:val="22"/>
                <w:szCs w:val="22"/>
                <w:lang w:eastAsia="tr-TR"/>
              </w:rPr>
              <w:t xml:space="preserve"> </w:t>
            </w:r>
            <w:r w:rsidR="007909D7" w:rsidRPr="008F1E2C">
              <w:rPr>
                <w:rFonts w:ascii="Century" w:hAnsi="Century"/>
                <w:color w:val="333333"/>
                <w:sz w:val="22"/>
                <w:szCs w:val="22"/>
                <w:lang w:eastAsia="tr-TR"/>
              </w:rPr>
              <w:t xml:space="preserve">Motor </w:t>
            </w:r>
            <w:r>
              <w:rPr>
                <w:rFonts w:ascii="Century" w:hAnsi="Century"/>
                <w:color w:val="333333"/>
                <w:sz w:val="22"/>
                <w:szCs w:val="22"/>
                <w:lang w:eastAsia="tr-TR"/>
              </w:rPr>
              <w:t>Liability</w:t>
            </w:r>
            <w:r w:rsidR="007909D7" w:rsidRPr="008F1E2C">
              <w:rPr>
                <w:rFonts w:ascii="Century" w:hAnsi="Century"/>
                <w:color w:val="333333"/>
                <w:sz w:val="22"/>
                <w:szCs w:val="22"/>
                <w:lang w:eastAsia="tr-TR"/>
              </w:rPr>
              <w:t xml:space="preserve"> Insurance,</w:t>
            </w:r>
          </w:p>
          <w:p w:rsidR="007909D7" w:rsidRPr="008F1E2C"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8F1E2C">
              <w:rPr>
                <w:rFonts w:ascii="Century" w:hAnsi="Century"/>
                <w:color w:val="333333"/>
                <w:sz w:val="22"/>
                <w:szCs w:val="22"/>
                <w:lang w:eastAsia="tr-TR"/>
              </w:rPr>
              <w:t>Compulsory Land Transportation Liability,</w:t>
            </w:r>
          </w:p>
          <w:p w:rsidR="007909D7" w:rsidRPr="008F1E2C"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8F1E2C">
              <w:rPr>
                <w:rFonts w:ascii="Century" w:hAnsi="Century"/>
                <w:color w:val="333333"/>
                <w:sz w:val="22"/>
                <w:szCs w:val="22"/>
                <w:lang w:eastAsia="tr-TR"/>
              </w:rPr>
              <w:t>Compulsory Passenger Land Transportation Personal Accident Insurance,</w:t>
            </w:r>
          </w:p>
          <w:p w:rsidR="007909D7" w:rsidRPr="008F1E2C"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8F1E2C">
              <w:rPr>
                <w:rFonts w:ascii="Century" w:hAnsi="Century"/>
                <w:color w:val="333333"/>
                <w:sz w:val="22"/>
                <w:szCs w:val="22"/>
                <w:lang w:eastAsia="tr-TR"/>
              </w:rPr>
              <w:t>Compulsory  TPL Insurance for LPG’s,</w:t>
            </w:r>
          </w:p>
          <w:p w:rsidR="007909D7" w:rsidRPr="008F1E2C"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8F1E2C">
              <w:rPr>
                <w:rFonts w:ascii="Century" w:hAnsi="Century"/>
                <w:color w:val="333333"/>
                <w:sz w:val="22"/>
                <w:szCs w:val="22"/>
                <w:lang w:eastAsia="tr-TR"/>
              </w:rPr>
              <w:t>Green card insurance.</w:t>
            </w:r>
          </w:p>
          <w:p w:rsidR="007909D7" w:rsidRPr="008F1E2C" w:rsidRDefault="007909D7" w:rsidP="004835DB">
            <w:pPr>
              <w:jc w:val="both"/>
              <w:rPr>
                <w:rFonts w:ascii="Century" w:hAnsi="Century"/>
                <w:color w:val="333333"/>
                <w:sz w:val="22"/>
                <w:szCs w:val="22"/>
              </w:rPr>
            </w:pPr>
          </w:p>
          <w:p w:rsidR="007909D7" w:rsidRPr="008F1E2C" w:rsidRDefault="007909D7" w:rsidP="00004C91">
            <w:pPr>
              <w:jc w:val="both"/>
              <w:rPr>
                <w:rFonts w:ascii="Century" w:hAnsi="Century"/>
                <w:color w:val="333333"/>
                <w:sz w:val="22"/>
                <w:szCs w:val="22"/>
              </w:rPr>
            </w:pPr>
            <w:r w:rsidRPr="008F1E2C">
              <w:rPr>
                <w:rFonts w:ascii="Century" w:hAnsi="Century"/>
                <w:color w:val="333333"/>
                <w:sz w:val="22"/>
                <w:szCs w:val="22"/>
              </w:rPr>
              <w:t>Guarantee Scheme</w:t>
            </w:r>
            <w:r w:rsidRPr="008F1E2C">
              <w:rPr>
                <w:rFonts w:ascii="Century" w:hAnsi="Century"/>
                <w:color w:val="333333"/>
                <w:sz w:val="22"/>
                <w:szCs w:val="22"/>
                <w:lang w:eastAsia="tr-TR"/>
              </w:rPr>
              <w:t xml:space="preserve"> is administered by Account Management Committee. </w:t>
            </w:r>
            <w:r w:rsidRPr="008F1E2C">
              <w:rPr>
                <w:rFonts w:ascii="Century" w:hAnsi="Century"/>
                <w:color w:val="333333"/>
                <w:sz w:val="22"/>
                <w:szCs w:val="22"/>
              </w:rPr>
              <w:t>The Account is liable to pay:</w:t>
            </w:r>
          </w:p>
          <w:p w:rsidR="007909D7" w:rsidRPr="008F1E2C" w:rsidRDefault="007909D7" w:rsidP="004835DB">
            <w:pPr>
              <w:rPr>
                <w:rFonts w:ascii="Century" w:hAnsi="Century"/>
                <w:color w:val="333333"/>
                <w:sz w:val="22"/>
                <w:szCs w:val="22"/>
              </w:rPr>
            </w:pP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Bodily injuries in case of the situation that perpetrator of the accident cannot be identified,</w:t>
            </w: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Bodily injuries caused by those who have not insurance coverage,</w:t>
            </w: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Payments for excess of covers in force over covers declared in clauses of policy in the case of bodily injuries,</w:t>
            </w: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Bodily injury and property damage in the case of a policy issued by an insurer which went bankrupt or unauthorised to write new contracts,</w:t>
            </w: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Physical injuries in the case of involvement of a stolen car in the accident or situations in which the operator cannot be hold responsible according to Highways Traffic Law no: 2918 dated October 13, 1983,</w:t>
            </w:r>
          </w:p>
          <w:p w:rsidR="007909D7" w:rsidRPr="008F1E2C"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8F1E2C">
              <w:rPr>
                <w:rFonts w:ascii="Century" w:hAnsi="Century"/>
                <w:color w:val="333333"/>
                <w:sz w:val="22"/>
                <w:szCs w:val="22"/>
                <w:lang w:eastAsia="tr-TR"/>
              </w:rPr>
              <w:t>Claims that stem fom accidents happened within the borders of Turkey within the context of Green Card System.</w:t>
            </w:r>
          </w:p>
          <w:p w:rsidR="007909D7" w:rsidRPr="008F1E2C" w:rsidRDefault="007909D7" w:rsidP="00004C91">
            <w:pPr>
              <w:rPr>
                <w:rFonts w:ascii="Century" w:hAnsi="Century"/>
                <w:sz w:val="22"/>
                <w:szCs w:val="22"/>
              </w:rPr>
            </w:pPr>
          </w:p>
        </w:tc>
      </w:tr>
      <w:tr w:rsidR="007909D7" w:rsidRPr="00B10D90" w:rsidTr="00441D50">
        <w:trPr>
          <w:gridAfter w:val="3"/>
          <w:wAfter w:w="61" w:type="dxa"/>
          <w:trHeight w:val="181"/>
        </w:trPr>
        <w:tc>
          <w:tcPr>
            <w:tcW w:w="4840" w:type="dxa"/>
            <w:gridSpan w:val="3"/>
          </w:tcPr>
          <w:p w:rsidR="007909D7" w:rsidRPr="008F1E2C" w:rsidRDefault="007909D7" w:rsidP="00C62172">
            <w:pPr>
              <w:pStyle w:val="Heading2"/>
              <w:keepNext w:val="0"/>
              <w:numPr>
                <w:ilvl w:val="1"/>
                <w:numId w:val="1"/>
              </w:numPr>
              <w:tabs>
                <w:tab w:val="num" w:pos="536"/>
              </w:tabs>
              <w:spacing w:before="0" w:after="0"/>
              <w:ind w:left="0"/>
              <w:jc w:val="both"/>
              <w:rPr>
                <w:rFonts w:ascii="Century" w:hAnsi="Century"/>
                <w:i w:val="0"/>
                <w:color w:val="000080"/>
                <w:sz w:val="22"/>
                <w:szCs w:val="22"/>
              </w:rPr>
            </w:pPr>
            <w:bookmarkStart w:id="290" w:name="_Toc267481118"/>
            <w:bookmarkStart w:id="291" w:name="_Toc327793365"/>
            <w:bookmarkStart w:id="292" w:name="_Toc358380224"/>
            <w:bookmarkStart w:id="293" w:name="_Toc12957696"/>
            <w:r w:rsidRPr="008F1E2C">
              <w:rPr>
                <w:rFonts w:ascii="Century" w:hAnsi="Century"/>
                <w:i w:val="0"/>
                <w:color w:val="000080"/>
                <w:sz w:val="22"/>
                <w:szCs w:val="22"/>
              </w:rPr>
              <w:lastRenderedPageBreak/>
              <w:t>Sigorta Tahkim Komisyonu</w:t>
            </w:r>
            <w:bookmarkEnd w:id="290"/>
            <w:bookmarkEnd w:id="291"/>
            <w:bookmarkEnd w:id="292"/>
            <w:bookmarkEnd w:id="293"/>
          </w:p>
          <w:p w:rsidR="007909D7" w:rsidRPr="008F1E2C" w:rsidRDefault="007909D7" w:rsidP="00544BF0">
            <w:pPr>
              <w:spacing w:before="100" w:beforeAutospacing="1"/>
              <w:jc w:val="both"/>
              <w:rPr>
                <w:rFonts w:ascii="Century" w:hAnsi="Century" w:cs="Arial"/>
                <w:sz w:val="22"/>
                <w:szCs w:val="22"/>
                <w:lang w:eastAsia="tr-TR"/>
              </w:rPr>
            </w:pPr>
            <w:r w:rsidRPr="008F1E2C">
              <w:rPr>
                <w:rFonts w:ascii="Century" w:hAnsi="Century"/>
                <w:sz w:val="22"/>
                <w:szCs w:val="22"/>
              </w:rPr>
              <w:t>5684 sayılı Sigortacılık Kanunu ve ilgili mevzuat uyarınca; sigorta ettiren veya sigorta sözleşmesinden menfaat sağlayan kişiler ile riski üstlenen taraf arasında sigorta sözleşmesinden doğan uyuşmazlıkların çözümü amacıyla Türkiye Sigorta, Reasürans ve Emeklilik Şirketleri Birliği nezdinde 2009 yılında Sigorta Tahkim Komisyonu oluşturulmuştur. Tahkim sisteminde 31.12.2018 tarihi itibarıyla 45’i itiraz hakemi olmak üzere toplam 220 hakem görev yapmaktadır.</w:t>
            </w:r>
          </w:p>
          <w:p w:rsidR="007909D7" w:rsidRPr="00FC2CA9" w:rsidRDefault="007909D7" w:rsidP="004835DB">
            <w:pPr>
              <w:spacing w:before="100" w:beforeAutospacing="1"/>
              <w:jc w:val="both"/>
              <w:rPr>
                <w:rFonts w:ascii="Century" w:hAnsi="Century" w:cs="Arial"/>
                <w:sz w:val="22"/>
                <w:szCs w:val="22"/>
                <w:lang w:eastAsia="tr-TR"/>
              </w:rPr>
            </w:pPr>
            <w:r w:rsidRPr="00FC2CA9">
              <w:rPr>
                <w:rFonts w:ascii="Century" w:hAnsi="Century" w:cs="Arial"/>
                <w:sz w:val="22"/>
                <w:szCs w:val="22"/>
                <w:lang w:eastAsia="tr-TR"/>
              </w:rPr>
              <w:t xml:space="preserve">Sigorta tahkim sistemine üye olan şirketlerle uyuşmazlığa düşen sigortalılar, ilgili kuruluşun sisteme üye olduğu tarihten sonra gerçekleşen rizikolar için, uyuşmazlığa konu sözleşmede özel bir hüküm olmasa bile tahkim sisteminden faydalanabilmektedir. Halen ülkemizde faaliyette bulunan 60 sigorta ve emeklilik şirketinden 51’i ile Doğal Afet Sigortaları Kurumu, Tarım Sigortaları Havuz İşletmesi ve Güvence Hesabı tahkim sistemine üyedir. </w:t>
            </w:r>
            <w:r w:rsidRPr="00FC2CA9">
              <w:rPr>
                <w:rFonts w:ascii="Century" w:hAnsi="Century"/>
                <w:sz w:val="22"/>
                <w:szCs w:val="22"/>
              </w:rPr>
              <w:t>Sigortacılık Kanunu’nun 30’uncu maddesinde yapılan ve 18.04.2013 tarih ve 28622 sayılı Resmi Gazetede yayımlanan değişiklik ile zorunlu sigortalardan kaynaklanan uyuşmazlıklar için ilgili kuruluş sigorta tahkim sistemine üye olmasa dahi hak sahipleri tahkim usulünden faydalanabilmektedirler.</w:t>
            </w:r>
            <w:r w:rsidRPr="00FC2CA9">
              <w:rPr>
                <w:rFonts w:ascii="Century" w:hAnsi="Century" w:cs="Arial"/>
                <w:sz w:val="22"/>
                <w:szCs w:val="22"/>
                <w:lang w:eastAsia="tr-TR"/>
              </w:rPr>
              <w:t xml:space="preserve"> Tahkim sistemine üye şirketler Raporun Tablolar bölümünde Tablo 63’te belirtilmiştir. </w:t>
            </w:r>
          </w:p>
          <w:p w:rsidR="007909D7" w:rsidRPr="00FC2CA9" w:rsidRDefault="007909D7" w:rsidP="00AD446C">
            <w:pPr>
              <w:spacing w:before="100" w:beforeAutospacing="1"/>
              <w:jc w:val="both"/>
              <w:rPr>
                <w:rFonts w:ascii="Century" w:hAnsi="Century" w:cs="Arial"/>
                <w:sz w:val="22"/>
                <w:szCs w:val="22"/>
                <w:lang w:eastAsia="tr-TR"/>
              </w:rPr>
            </w:pPr>
            <w:r w:rsidRPr="00FC2CA9">
              <w:rPr>
                <w:rFonts w:ascii="Century" w:hAnsi="Century" w:cs="Arial"/>
                <w:sz w:val="22"/>
                <w:szCs w:val="22"/>
                <w:lang w:eastAsia="tr-TR"/>
              </w:rPr>
              <w:t xml:space="preserve">Sigorta Tahkim Komisyonuna yapılan başvurular, sistemin faaliyete başladığı 2009 yılından itibaren sürekli artmış ve 2009 yılı Aralık ayında 137 olan sayı 2018 yılında 106.817’ye ulaşmıştır. </w:t>
            </w:r>
          </w:p>
          <w:p w:rsidR="007909D7" w:rsidRDefault="007909D7" w:rsidP="000B428F">
            <w:pPr>
              <w:spacing w:before="100" w:beforeAutospacing="1"/>
              <w:jc w:val="both"/>
              <w:rPr>
                <w:rFonts w:ascii="Century" w:hAnsi="Century" w:cs="Arial"/>
                <w:sz w:val="22"/>
                <w:szCs w:val="22"/>
                <w:lang w:eastAsia="tr-TR"/>
              </w:rPr>
            </w:pPr>
            <w:r w:rsidRPr="00FC2CA9">
              <w:rPr>
                <w:rFonts w:ascii="Century" w:hAnsi="Century" w:cs="Arial"/>
                <w:sz w:val="22"/>
                <w:szCs w:val="22"/>
                <w:lang w:eastAsia="tr-TR"/>
              </w:rPr>
              <w:t xml:space="preserve">2018 yılında işlem gören başvuruların nedeni ve anlaşmazlıkların sonuçlandırılma yerleri aşağıda gösterilmiştir. </w:t>
            </w:r>
          </w:p>
          <w:p w:rsidR="007909D7" w:rsidRPr="00B10D90" w:rsidRDefault="007909D7" w:rsidP="000B428F">
            <w:pPr>
              <w:spacing w:before="100" w:beforeAutospacing="1"/>
              <w:jc w:val="both"/>
              <w:rPr>
                <w:rFonts w:ascii="Century" w:hAnsi="Century" w:cs="Arial"/>
                <w:sz w:val="22"/>
                <w:szCs w:val="22"/>
                <w:highlight w:val="yellow"/>
                <w:lang w:eastAsia="tr-TR"/>
              </w:rPr>
            </w:pPr>
          </w:p>
          <w:p w:rsidR="007909D7" w:rsidRDefault="007909D7" w:rsidP="000B428F">
            <w:pPr>
              <w:spacing w:before="100" w:beforeAutospacing="1"/>
              <w:jc w:val="both"/>
              <w:rPr>
                <w:rFonts w:ascii="Century" w:hAnsi="Century" w:cs="Arial"/>
                <w:sz w:val="22"/>
                <w:szCs w:val="22"/>
                <w:highlight w:val="yellow"/>
                <w:lang w:eastAsia="tr-TR"/>
              </w:rPr>
            </w:pPr>
          </w:p>
          <w:p w:rsidR="007909D7" w:rsidRPr="00B10D90" w:rsidRDefault="007909D7" w:rsidP="000B428F">
            <w:pPr>
              <w:spacing w:before="100" w:beforeAutospacing="1"/>
              <w:jc w:val="both"/>
              <w:rPr>
                <w:rFonts w:ascii="Century" w:hAnsi="Century" w:cs="Arial"/>
                <w:sz w:val="22"/>
                <w:szCs w:val="22"/>
                <w:highlight w:val="yellow"/>
                <w:lang w:eastAsia="tr-TR"/>
              </w:rPr>
            </w:pP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tcPr>
          <w:p w:rsidR="007909D7" w:rsidRPr="008F1E2C" w:rsidRDefault="007909D7" w:rsidP="004835DB">
            <w:pPr>
              <w:rPr>
                <w:rFonts w:ascii="Century" w:hAnsi="Century"/>
                <w:b/>
                <w:color w:val="003366"/>
                <w:sz w:val="22"/>
                <w:szCs w:val="22"/>
              </w:rPr>
            </w:pPr>
            <w:r w:rsidRPr="008F1E2C">
              <w:rPr>
                <w:rFonts w:ascii="Century" w:hAnsi="Century"/>
                <w:b/>
                <w:color w:val="003366"/>
                <w:sz w:val="22"/>
                <w:szCs w:val="22"/>
              </w:rPr>
              <w:t>5.5. Insurance Arbitration Commission</w:t>
            </w:r>
          </w:p>
          <w:p w:rsidR="007909D7" w:rsidRPr="008F1E2C" w:rsidRDefault="007909D7" w:rsidP="004835DB">
            <w:pPr>
              <w:rPr>
                <w:rFonts w:ascii="Century" w:hAnsi="Century"/>
                <w:color w:val="333333"/>
              </w:rPr>
            </w:pPr>
          </w:p>
          <w:p w:rsidR="007909D7" w:rsidRPr="008F1E2C" w:rsidRDefault="007909D7" w:rsidP="00544BF0">
            <w:pPr>
              <w:jc w:val="both"/>
              <w:rPr>
                <w:rFonts w:ascii="Century" w:hAnsi="Century"/>
                <w:color w:val="333333"/>
                <w:sz w:val="22"/>
                <w:szCs w:val="22"/>
              </w:rPr>
            </w:pPr>
            <w:r w:rsidRPr="008F1E2C">
              <w:rPr>
                <w:rFonts w:ascii="Century" w:hAnsi="Century"/>
                <w:color w:val="333333"/>
                <w:sz w:val="22"/>
                <w:szCs w:val="22"/>
              </w:rPr>
              <w:t>With the Insurance Law numbered 5684, in order to settle the disputes arising between the policy holder or people benefiting from the insurance contract and the party undertaking the risk, an Insurance Arbitration Commission (IAC) has been formed within the Association of Insurance, Reinsurance and Pension Companies. There are 220 arbitrators and 45 of them work as appeal arbitrators in the system as of 12.31.2018.</w:t>
            </w:r>
          </w:p>
          <w:p w:rsidR="007909D7" w:rsidRPr="00B10D90" w:rsidRDefault="007909D7" w:rsidP="004835DB">
            <w:pPr>
              <w:jc w:val="both"/>
              <w:rPr>
                <w:rFonts w:ascii="Century" w:hAnsi="Century"/>
                <w:color w:val="333333"/>
                <w:sz w:val="22"/>
                <w:szCs w:val="22"/>
                <w:highlight w:val="yellow"/>
              </w:rPr>
            </w:pPr>
          </w:p>
          <w:p w:rsidR="007909D7" w:rsidRPr="00FC2CA9" w:rsidRDefault="007909D7" w:rsidP="004835DB">
            <w:pPr>
              <w:jc w:val="both"/>
              <w:rPr>
                <w:rFonts w:ascii="Century" w:hAnsi="Century"/>
                <w:color w:val="333333"/>
                <w:sz w:val="22"/>
                <w:szCs w:val="22"/>
              </w:rPr>
            </w:pPr>
            <w:r w:rsidRPr="00FC2CA9">
              <w:rPr>
                <w:rFonts w:ascii="Century" w:hAnsi="Century"/>
                <w:color w:val="333333"/>
                <w:sz w:val="22"/>
                <w:szCs w:val="22"/>
              </w:rPr>
              <w:t>A person in conflict with any member of IAS for the risks occurred after the date of the insurer’s membership can benefit from the arbitration procedure even if there is no special provision in the relevant contract. As of 2016 year-end, 47 insurance and pension companies operating in Turkey, Turkish Catastrophe Insurance Pool, Agricultural Insurance Pool and Insurance Guarantee Scheme are members of the Insurance Arbitration System. Pursuing the amendment of the article 30 of Insurance Law no. 5684 published on the official journal dated 04.18.2013 with no. 28622; in the case of conflics arising from compulsory insurances, beneficiary can apply to IAS even if the insurer is not a member. The companies which are the member of the Insurance Arbitration System are indicated in the Tables of the Report (Table 63).</w:t>
            </w:r>
          </w:p>
          <w:p w:rsidR="007909D7" w:rsidRPr="00B10D90" w:rsidRDefault="007909D7" w:rsidP="007425C2">
            <w:pPr>
              <w:jc w:val="both"/>
              <w:rPr>
                <w:rFonts w:ascii="Century" w:hAnsi="Century"/>
                <w:color w:val="333333"/>
                <w:sz w:val="22"/>
                <w:szCs w:val="22"/>
                <w:highlight w:val="yellow"/>
              </w:rPr>
            </w:pPr>
          </w:p>
          <w:p w:rsidR="007909D7" w:rsidRPr="00B10D90" w:rsidRDefault="007909D7" w:rsidP="007425C2">
            <w:pPr>
              <w:jc w:val="both"/>
              <w:rPr>
                <w:rFonts w:ascii="Century" w:hAnsi="Century"/>
                <w:color w:val="333333"/>
                <w:sz w:val="22"/>
                <w:szCs w:val="22"/>
                <w:highlight w:val="yellow"/>
              </w:rPr>
            </w:pPr>
            <w:r w:rsidRPr="00FC2CA9">
              <w:rPr>
                <w:rFonts w:ascii="Century" w:hAnsi="Century"/>
                <w:color w:val="333333"/>
                <w:sz w:val="22"/>
                <w:szCs w:val="22"/>
              </w:rPr>
              <w:t xml:space="preserve">The number of application starting from the commencing date of the Insurance Arbitration System has increased constantly. While the number </w:t>
            </w:r>
            <w:r w:rsidRPr="00FC2CA9">
              <w:rPr>
                <w:rFonts w:ascii="Century" w:hAnsi="Century"/>
                <w:color w:val="333333"/>
                <w:sz w:val="22"/>
              </w:rPr>
              <w:t xml:space="preserve">of applications </w:t>
            </w:r>
            <w:r w:rsidRPr="00FC2CA9">
              <w:rPr>
                <w:rFonts w:ascii="Century" w:hAnsi="Century"/>
                <w:color w:val="333333"/>
                <w:sz w:val="22"/>
                <w:szCs w:val="22"/>
              </w:rPr>
              <w:t>was 137</w:t>
            </w:r>
            <w:r w:rsidRPr="00FC2CA9">
              <w:rPr>
                <w:rFonts w:ascii="Century" w:hAnsi="Century"/>
                <w:color w:val="333333"/>
                <w:sz w:val="22"/>
              </w:rPr>
              <w:t xml:space="preserve"> in 2009, </w:t>
            </w:r>
            <w:r w:rsidRPr="00FC2CA9">
              <w:rPr>
                <w:rFonts w:ascii="Century" w:hAnsi="Century"/>
                <w:color w:val="333333"/>
                <w:sz w:val="22"/>
                <w:szCs w:val="22"/>
              </w:rPr>
              <w:t>these figures reached up to 106,817 by the end of</w:t>
            </w:r>
            <w:r w:rsidRPr="00FC2CA9">
              <w:rPr>
                <w:rFonts w:ascii="Century" w:hAnsi="Century"/>
                <w:color w:val="333333"/>
                <w:sz w:val="22"/>
              </w:rPr>
              <w:t xml:space="preserve"> 2018</w:t>
            </w:r>
            <w:r w:rsidRPr="00FC2CA9">
              <w:rPr>
                <w:rFonts w:ascii="Century" w:hAnsi="Century"/>
                <w:color w:val="333333"/>
                <w:sz w:val="22"/>
                <w:szCs w:val="22"/>
              </w:rPr>
              <w:t>.</w:t>
            </w:r>
            <w:r w:rsidRPr="00B10D90">
              <w:rPr>
                <w:rFonts w:ascii="Century" w:hAnsi="Century"/>
                <w:color w:val="333333"/>
                <w:sz w:val="22"/>
                <w:szCs w:val="22"/>
                <w:highlight w:val="yellow"/>
              </w:rPr>
              <w:t xml:space="preserve"> </w:t>
            </w:r>
          </w:p>
          <w:p w:rsidR="007909D7" w:rsidRPr="00B10D90" w:rsidRDefault="007909D7" w:rsidP="007425C2">
            <w:pPr>
              <w:jc w:val="both"/>
              <w:rPr>
                <w:rFonts w:ascii="Century" w:hAnsi="Century"/>
                <w:color w:val="333333"/>
                <w:sz w:val="22"/>
                <w:szCs w:val="22"/>
                <w:highlight w:val="yellow"/>
              </w:rPr>
            </w:pPr>
          </w:p>
          <w:p w:rsidR="007909D7" w:rsidRPr="00FC2CA9" w:rsidRDefault="007909D7" w:rsidP="007425C2">
            <w:pPr>
              <w:jc w:val="both"/>
              <w:rPr>
                <w:rFonts w:ascii="Century" w:hAnsi="Century"/>
                <w:color w:val="333333"/>
                <w:sz w:val="22"/>
                <w:szCs w:val="22"/>
              </w:rPr>
            </w:pPr>
            <w:r w:rsidRPr="00FC2CA9">
              <w:rPr>
                <w:rFonts w:ascii="Century" w:hAnsi="Century"/>
                <w:color w:val="333333"/>
                <w:sz w:val="22"/>
                <w:szCs w:val="22"/>
              </w:rPr>
              <w:t>The following table shows the details regarding the applications.</w:t>
            </w:r>
          </w:p>
          <w:p w:rsidR="007909D7" w:rsidRPr="00B10D90" w:rsidRDefault="007909D7" w:rsidP="007425C2">
            <w:pPr>
              <w:jc w:val="both"/>
              <w:rPr>
                <w:rFonts w:ascii="Century" w:hAnsi="Century"/>
                <w:color w:val="333333"/>
                <w:sz w:val="16"/>
                <w:szCs w:val="16"/>
                <w:highlight w:val="yellow"/>
              </w:rPr>
            </w:pPr>
          </w:p>
        </w:tc>
      </w:tr>
      <w:tr w:rsidR="007909D7" w:rsidRPr="00B10D90" w:rsidTr="00441D50">
        <w:trPr>
          <w:gridAfter w:val="2"/>
          <w:wAfter w:w="38" w:type="dxa"/>
          <w:trHeight w:val="181"/>
        </w:trPr>
        <w:tc>
          <w:tcPr>
            <w:tcW w:w="9820" w:type="dxa"/>
            <w:gridSpan w:val="14"/>
          </w:tcPr>
          <w:p w:rsidR="00327B97" w:rsidRDefault="00327B97" w:rsidP="004835DB">
            <w:pPr>
              <w:jc w:val="center"/>
              <w:rPr>
                <w:rFonts w:ascii="Century" w:hAnsi="Century"/>
                <w:b/>
                <w:color w:val="000080"/>
                <w:sz w:val="20"/>
                <w:szCs w:val="20"/>
              </w:rPr>
            </w:pPr>
          </w:p>
          <w:p w:rsidR="007909D7" w:rsidRPr="00FC2CA9" w:rsidRDefault="007909D7" w:rsidP="004835DB">
            <w:pPr>
              <w:jc w:val="center"/>
              <w:rPr>
                <w:rFonts w:ascii="Century" w:hAnsi="Century"/>
                <w:b/>
                <w:color w:val="000080"/>
                <w:sz w:val="20"/>
                <w:szCs w:val="20"/>
              </w:rPr>
            </w:pPr>
            <w:r w:rsidRPr="00FC2CA9">
              <w:rPr>
                <w:rFonts w:ascii="Century" w:hAnsi="Century"/>
                <w:b/>
                <w:color w:val="000080"/>
                <w:sz w:val="20"/>
                <w:szCs w:val="20"/>
              </w:rPr>
              <w:lastRenderedPageBreak/>
              <w:t>Tablo 5.5.1: 2018 Yılında İşlem Gören Başvuruların Sebebi ve Sonuçlandırılma Yeri</w:t>
            </w:r>
          </w:p>
          <w:p w:rsidR="007909D7" w:rsidRPr="00FC2CA9" w:rsidRDefault="007909D7" w:rsidP="004835DB">
            <w:pPr>
              <w:jc w:val="center"/>
              <w:rPr>
                <w:rFonts w:ascii="Century" w:hAnsi="Century"/>
                <w:i/>
                <w:color w:val="000080"/>
                <w:sz w:val="20"/>
                <w:szCs w:val="20"/>
              </w:rPr>
            </w:pPr>
            <w:r w:rsidRPr="00FC2CA9">
              <w:rPr>
                <w:rFonts w:ascii="Century" w:hAnsi="Century"/>
                <w:i/>
                <w:color w:val="000080"/>
                <w:sz w:val="20"/>
                <w:szCs w:val="20"/>
              </w:rPr>
              <w:t>Disputes and Settlement Stage in 2018</w:t>
            </w:r>
          </w:p>
          <w:p w:rsidR="007909D7" w:rsidRDefault="007909D7" w:rsidP="007F0522">
            <w:pPr>
              <w:jc w:val="center"/>
              <w:rPr>
                <w:rFonts w:ascii="Century" w:hAnsi="Century"/>
                <w:i/>
                <w:color w:val="000080"/>
                <w:sz w:val="20"/>
                <w:szCs w:val="20"/>
              </w:rPr>
            </w:pPr>
            <w:r w:rsidRPr="00FC2CA9">
              <w:rPr>
                <w:rFonts w:ascii="Century" w:hAnsi="Century"/>
                <w:i/>
                <w:noProof/>
                <w:color w:val="000080"/>
                <w:sz w:val="20"/>
                <w:szCs w:val="20"/>
              </w:rPr>
              <w:drawing>
                <wp:inline distT="0" distB="0" distL="0" distR="0" wp14:anchorId="4CF8BA50" wp14:editId="7D106B85">
                  <wp:extent cx="6090699" cy="1590260"/>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0920" cy="1590318"/>
                          </a:xfrm>
                          <a:prstGeom prst="rect">
                            <a:avLst/>
                          </a:prstGeom>
                          <a:noFill/>
                          <a:ln>
                            <a:noFill/>
                          </a:ln>
                        </pic:spPr>
                      </pic:pic>
                    </a:graphicData>
                  </a:graphic>
                </wp:inline>
              </w:drawing>
            </w:r>
          </w:p>
          <w:p w:rsidR="007909D7" w:rsidRPr="005C31E0" w:rsidRDefault="007909D7" w:rsidP="007F0522">
            <w:pPr>
              <w:jc w:val="center"/>
              <w:rPr>
                <w:rFonts w:ascii="Century" w:hAnsi="Century"/>
                <w:i/>
                <w:color w:val="000080"/>
                <w:sz w:val="6"/>
                <w:szCs w:val="6"/>
              </w:rPr>
            </w:pPr>
          </w:p>
        </w:tc>
      </w:tr>
      <w:tr w:rsidR="007909D7" w:rsidRPr="00B10D90" w:rsidTr="00441D50">
        <w:trPr>
          <w:gridAfter w:val="3"/>
          <w:wAfter w:w="61" w:type="dxa"/>
          <w:trHeight w:val="181"/>
        </w:trPr>
        <w:tc>
          <w:tcPr>
            <w:tcW w:w="4840" w:type="dxa"/>
            <w:gridSpan w:val="3"/>
          </w:tcPr>
          <w:p w:rsidR="007909D7" w:rsidRPr="00533108" w:rsidRDefault="007909D7" w:rsidP="004835DB">
            <w:pPr>
              <w:jc w:val="both"/>
              <w:rPr>
                <w:rFonts w:ascii="Century" w:hAnsi="Century"/>
                <w:sz w:val="16"/>
                <w:szCs w:val="16"/>
              </w:rPr>
            </w:pPr>
          </w:p>
          <w:p w:rsidR="007909D7" w:rsidRPr="00B10D90" w:rsidRDefault="007909D7" w:rsidP="004835DB">
            <w:pPr>
              <w:jc w:val="both"/>
              <w:rPr>
                <w:rFonts w:ascii="Century" w:hAnsi="Century"/>
                <w:sz w:val="22"/>
                <w:szCs w:val="22"/>
                <w:highlight w:val="yellow"/>
              </w:rPr>
            </w:pPr>
            <w:r w:rsidRPr="00FC2CA9">
              <w:rPr>
                <w:rFonts w:ascii="Century" w:hAnsi="Century"/>
                <w:sz w:val="22"/>
                <w:szCs w:val="22"/>
              </w:rPr>
              <w:t xml:space="preserve">2018 yılında sigorta hakemleri tarafından sonuçlandırılan başvuru sayısı 86.269’dur. </w:t>
            </w:r>
            <w:r w:rsidRPr="00E76E2A">
              <w:rPr>
                <w:rFonts w:ascii="Century" w:hAnsi="Century"/>
                <w:sz w:val="22"/>
                <w:szCs w:val="22"/>
              </w:rPr>
              <w:t>Bu başvuruların 46.049’unda başvuru sahibinin talebi tam olarak kabul edilmiş, 24.162’sinde kısmen kabul edilmiş, 16.058 adedinde ise red edilmiştir. 2018 yılında hakem aracılığıyla sonuçlandırılan uyuşmazlıklarda ortalama çözüm süresi 77 gün olarak gerçekleşmiştir.</w:t>
            </w:r>
          </w:p>
          <w:p w:rsidR="007909D7" w:rsidRPr="00B10D90" w:rsidRDefault="007909D7" w:rsidP="004835DB">
            <w:pPr>
              <w:jc w:val="both"/>
              <w:rPr>
                <w:rFonts w:ascii="Century" w:hAnsi="Century"/>
                <w:sz w:val="20"/>
                <w:szCs w:val="20"/>
                <w:highlight w:val="yellow"/>
              </w:rPr>
            </w:pPr>
          </w:p>
          <w:p w:rsidR="007909D7" w:rsidRPr="00B10D90" w:rsidRDefault="007909D7" w:rsidP="00421AAA">
            <w:pPr>
              <w:jc w:val="both"/>
              <w:rPr>
                <w:rFonts w:ascii="Century" w:hAnsi="Century"/>
                <w:sz w:val="22"/>
                <w:szCs w:val="22"/>
                <w:highlight w:val="yellow"/>
              </w:rPr>
            </w:pPr>
            <w:r w:rsidRPr="007F0522">
              <w:rPr>
                <w:rFonts w:ascii="Century" w:hAnsi="Century"/>
                <w:sz w:val="22"/>
                <w:szCs w:val="22"/>
              </w:rPr>
              <w:t xml:space="preserve">Sigortacılık Kanunu’nun 30’uncu maddesinde yapılan ve 18.04.2013 tarih ve 28622 sayılı Resmi Gazetede yayımlanan değişiklik ile Kırkbin TL olan hakemlerin verdiği kararlarda kesin olma sınırı Beşbin TL’ye düşürülmüştür. Söz konusu değişiklik ile Beşbin Türk Lirası ve üzerindeki uyuşmazlıklar hakkında verilen hakem kararlarına karşı Komisyona itiraz yolu açılmıştır. İtiraz sonucu verilen kararlar Kırkbin TL’ye kadar kesin olup, bu tutarın </w:t>
            </w:r>
            <w:r w:rsidRPr="005C31E0">
              <w:rPr>
                <w:rFonts w:ascii="Century" w:hAnsi="Century"/>
                <w:sz w:val="22"/>
                <w:szCs w:val="22"/>
              </w:rPr>
              <w:t>üzerindeki kararlar için temyiz yolu açıktır. 2018 yılında 10.838 adet karara itiraz edilmiş, itiraz edilen kararların 3.207 adedi kabul edilmiştir.</w:t>
            </w:r>
          </w:p>
          <w:p w:rsidR="007909D7" w:rsidRPr="00B10D90" w:rsidRDefault="007909D7" w:rsidP="00421AAA">
            <w:pPr>
              <w:jc w:val="both"/>
              <w:rPr>
                <w:rFonts w:ascii="Century" w:hAnsi="Century"/>
                <w:sz w:val="20"/>
                <w:szCs w:val="20"/>
                <w:highlight w:val="yellow"/>
              </w:rPr>
            </w:pPr>
          </w:p>
          <w:p w:rsidR="007909D7" w:rsidRPr="00B10D90" w:rsidRDefault="007909D7" w:rsidP="00421AAA">
            <w:pPr>
              <w:jc w:val="both"/>
              <w:rPr>
                <w:rFonts w:ascii="Century" w:hAnsi="Century"/>
                <w:sz w:val="22"/>
                <w:szCs w:val="22"/>
                <w:highlight w:val="yellow"/>
              </w:rPr>
            </w:pPr>
            <w:r w:rsidRPr="005C31E0">
              <w:rPr>
                <w:rFonts w:ascii="Century" w:hAnsi="Century"/>
                <w:sz w:val="22"/>
                <w:szCs w:val="22"/>
              </w:rPr>
              <w:t xml:space="preserve">Başvuruların poliçe türü bazında ve tutara göre dağılımı aşağıdaki tabloda verilmiştir. </w:t>
            </w:r>
          </w:p>
        </w:tc>
        <w:tc>
          <w:tcPr>
            <w:tcW w:w="295" w:type="dxa"/>
            <w:gridSpan w:val="6"/>
          </w:tcPr>
          <w:p w:rsidR="007909D7" w:rsidRPr="00B10D90" w:rsidRDefault="007909D7" w:rsidP="004835DB">
            <w:pPr>
              <w:rPr>
                <w:rFonts w:ascii="Century" w:hAnsi="Century"/>
                <w:sz w:val="22"/>
                <w:szCs w:val="22"/>
                <w:highlight w:val="yellow"/>
              </w:rPr>
            </w:pPr>
          </w:p>
        </w:tc>
        <w:tc>
          <w:tcPr>
            <w:tcW w:w="4662" w:type="dxa"/>
            <w:gridSpan w:val="4"/>
            <w:vAlign w:val="center"/>
          </w:tcPr>
          <w:p w:rsidR="007909D7" w:rsidRPr="00533108" w:rsidRDefault="007909D7" w:rsidP="00AD17DC">
            <w:pPr>
              <w:jc w:val="both"/>
              <w:rPr>
                <w:rFonts w:ascii="Century" w:hAnsi="Century"/>
                <w:color w:val="333333"/>
                <w:sz w:val="16"/>
                <w:szCs w:val="16"/>
              </w:rPr>
            </w:pPr>
          </w:p>
          <w:p w:rsidR="007909D7" w:rsidRPr="00B10D90" w:rsidRDefault="007909D7" w:rsidP="00AD17DC">
            <w:pPr>
              <w:jc w:val="both"/>
              <w:rPr>
                <w:rFonts w:ascii="Century" w:hAnsi="Century"/>
                <w:color w:val="333333"/>
                <w:sz w:val="22"/>
                <w:szCs w:val="22"/>
                <w:highlight w:val="yellow"/>
              </w:rPr>
            </w:pPr>
            <w:r w:rsidRPr="00FC2CA9">
              <w:rPr>
                <w:rFonts w:ascii="Century" w:hAnsi="Century"/>
                <w:color w:val="333333"/>
                <w:sz w:val="22"/>
                <w:szCs w:val="22"/>
              </w:rPr>
              <w:t xml:space="preserve">The number of applications concluded by </w:t>
            </w:r>
            <w:r w:rsidRPr="00E76E2A">
              <w:rPr>
                <w:rFonts w:ascii="Century" w:hAnsi="Century"/>
                <w:color w:val="333333"/>
                <w:sz w:val="22"/>
                <w:szCs w:val="22"/>
              </w:rPr>
              <w:t xml:space="preserve">the arbitrators is 86,269 in 2018. </w:t>
            </w:r>
            <w:r w:rsidRPr="00E76E2A">
              <w:rPr>
                <w:rFonts w:ascii="Century" w:hAnsi="Century"/>
                <w:sz w:val="22"/>
                <w:szCs w:val="22"/>
              </w:rPr>
              <w:t>46,049</w:t>
            </w:r>
            <w:r w:rsidRPr="00E76E2A">
              <w:rPr>
                <w:rFonts w:ascii="Century" w:hAnsi="Century"/>
                <w:color w:val="333333"/>
                <w:sz w:val="22"/>
                <w:szCs w:val="22"/>
              </w:rPr>
              <w:t xml:space="preserve"> of which, the applicants (insured) were found fully right. The conclusions were partly in favor of the insured in </w:t>
            </w:r>
            <w:r w:rsidRPr="00E76E2A">
              <w:rPr>
                <w:rFonts w:ascii="Century" w:hAnsi="Century"/>
                <w:sz w:val="22"/>
                <w:szCs w:val="22"/>
              </w:rPr>
              <w:t>24,162</w:t>
            </w:r>
            <w:r w:rsidRPr="00E76E2A">
              <w:rPr>
                <w:rFonts w:ascii="Century" w:hAnsi="Century"/>
                <w:color w:val="333333"/>
                <w:sz w:val="22"/>
                <w:szCs w:val="22"/>
              </w:rPr>
              <w:t xml:space="preserve"> applications, and </w:t>
            </w:r>
            <w:r w:rsidRPr="00E76E2A">
              <w:rPr>
                <w:rFonts w:ascii="Century" w:hAnsi="Century"/>
                <w:sz w:val="22"/>
                <w:szCs w:val="22"/>
              </w:rPr>
              <w:t>16,058</w:t>
            </w:r>
            <w:r w:rsidRPr="00E76E2A">
              <w:rPr>
                <w:rFonts w:ascii="Century" w:hAnsi="Century"/>
                <w:color w:val="333333"/>
                <w:sz w:val="22"/>
                <w:szCs w:val="22"/>
              </w:rPr>
              <w:t xml:space="preserve"> applications were rejected by the arbitrators. The disputes are settled by arbitrators in 77 days in average in 2018.  </w:t>
            </w:r>
          </w:p>
          <w:p w:rsidR="007909D7" w:rsidRPr="00B10D90" w:rsidRDefault="007909D7" w:rsidP="00AD17DC">
            <w:pPr>
              <w:jc w:val="both"/>
              <w:rPr>
                <w:rFonts w:ascii="Century" w:hAnsi="Century"/>
                <w:color w:val="333333"/>
                <w:sz w:val="20"/>
                <w:szCs w:val="20"/>
                <w:highlight w:val="yellow"/>
              </w:rPr>
            </w:pPr>
          </w:p>
          <w:p w:rsidR="007909D7" w:rsidRPr="00B10D90" w:rsidRDefault="007909D7" w:rsidP="00421AAA">
            <w:pPr>
              <w:jc w:val="both"/>
              <w:textAlignment w:val="top"/>
              <w:rPr>
                <w:rFonts w:ascii="Century" w:hAnsi="Century"/>
                <w:color w:val="333333"/>
                <w:sz w:val="22"/>
                <w:szCs w:val="22"/>
                <w:highlight w:val="yellow"/>
              </w:rPr>
            </w:pPr>
            <w:r w:rsidRPr="007F0522">
              <w:rPr>
                <w:rFonts w:ascii="Century" w:hAnsi="Century"/>
                <w:color w:val="333333"/>
                <w:sz w:val="22"/>
                <w:szCs w:val="22"/>
              </w:rPr>
              <w:t xml:space="preserve">Pursuing the amendment on the article 30 of Insurance Law no: 5684 published on the official journal dated 04.18.2013 and no: 28622; the precision of the decisions made by the arbitrators up to </w:t>
            </w:r>
            <w:r w:rsidRPr="007F0522">
              <w:rPr>
                <w:rFonts w:ascii="AbakuTLSymSans" w:hAnsi="AbakuTLSymSans" w:cs="Arial"/>
                <w:bCs/>
                <w:color w:val="333333"/>
                <w:sz w:val="20"/>
                <w:szCs w:val="20"/>
              </w:rPr>
              <w:t>¨</w:t>
            </w:r>
            <w:r w:rsidRPr="007F0522">
              <w:rPr>
                <w:rFonts w:ascii="Century" w:hAnsi="Century"/>
                <w:color w:val="333333"/>
                <w:sz w:val="22"/>
                <w:szCs w:val="22"/>
              </w:rPr>
              <w:t xml:space="preserve">40,000 was reduced to </w:t>
            </w:r>
            <w:r w:rsidRPr="007F0522">
              <w:rPr>
                <w:rFonts w:ascii="AbakuTLSymSans" w:hAnsi="AbakuTLSymSans" w:cs="Arial"/>
                <w:bCs/>
                <w:color w:val="333333"/>
                <w:sz w:val="20"/>
                <w:szCs w:val="20"/>
              </w:rPr>
              <w:t>¨</w:t>
            </w:r>
            <w:r w:rsidRPr="007F0522">
              <w:rPr>
                <w:rFonts w:ascii="Century" w:hAnsi="Century"/>
                <w:color w:val="333333"/>
                <w:sz w:val="22"/>
                <w:szCs w:val="22"/>
              </w:rPr>
              <w:t xml:space="preserve">5,000. For the decisions made by the arbitrators above </w:t>
            </w:r>
            <w:r w:rsidRPr="007F0522">
              <w:rPr>
                <w:rFonts w:ascii="AbakuTLSymSans" w:hAnsi="AbakuTLSymSans" w:cs="Arial"/>
                <w:bCs/>
                <w:color w:val="333333"/>
                <w:sz w:val="20"/>
                <w:szCs w:val="20"/>
              </w:rPr>
              <w:t>¨</w:t>
            </w:r>
            <w:r w:rsidRPr="007F0522">
              <w:rPr>
                <w:rFonts w:ascii="Century" w:hAnsi="Century"/>
                <w:color w:val="333333"/>
                <w:sz w:val="22"/>
                <w:szCs w:val="22"/>
              </w:rPr>
              <w:t xml:space="preserve">5,000 there is an appealing right to the commission and the decisions resulting from appealing are precise up to </w:t>
            </w:r>
            <w:r w:rsidRPr="007F0522">
              <w:rPr>
                <w:rFonts w:ascii="AbakuTLSymSans" w:hAnsi="AbakuTLSymSans" w:cs="Arial"/>
                <w:bCs/>
                <w:color w:val="333333"/>
                <w:sz w:val="20"/>
                <w:szCs w:val="20"/>
              </w:rPr>
              <w:t>¨</w:t>
            </w:r>
            <w:r w:rsidRPr="007F0522">
              <w:rPr>
                <w:rFonts w:ascii="Century" w:hAnsi="Century"/>
                <w:color w:val="333333"/>
                <w:sz w:val="22"/>
                <w:szCs w:val="22"/>
              </w:rPr>
              <w:t xml:space="preserve">40,000, and if the amount is above </w:t>
            </w:r>
            <w:r w:rsidRPr="007F0522">
              <w:rPr>
                <w:rFonts w:ascii="AbakuTLSymSans" w:hAnsi="AbakuTLSymSans" w:cs="Arial"/>
                <w:bCs/>
                <w:color w:val="333333"/>
                <w:sz w:val="20"/>
                <w:szCs w:val="20"/>
              </w:rPr>
              <w:t>¨</w:t>
            </w:r>
            <w:r w:rsidRPr="007F0522">
              <w:rPr>
                <w:rFonts w:ascii="Century" w:hAnsi="Century"/>
                <w:color w:val="333333"/>
                <w:sz w:val="22"/>
                <w:szCs w:val="22"/>
              </w:rPr>
              <w:t xml:space="preserve">40,000, there is a second option for appealment. </w:t>
            </w:r>
            <w:r w:rsidRPr="005C31E0">
              <w:rPr>
                <w:rFonts w:ascii="Century" w:hAnsi="Century"/>
                <w:color w:val="333333"/>
                <w:sz w:val="22"/>
                <w:szCs w:val="22"/>
              </w:rPr>
              <w:t>There were 10,838 objections against decisions and 3,207 of them were accepted by the commission.</w:t>
            </w:r>
          </w:p>
          <w:p w:rsidR="007909D7" w:rsidRPr="00B10D90" w:rsidRDefault="007909D7" w:rsidP="004835DB">
            <w:pPr>
              <w:jc w:val="both"/>
              <w:rPr>
                <w:rFonts w:ascii="Century" w:hAnsi="Century"/>
                <w:color w:val="333333"/>
                <w:sz w:val="20"/>
                <w:szCs w:val="20"/>
                <w:highlight w:val="yellow"/>
              </w:rPr>
            </w:pPr>
          </w:p>
          <w:p w:rsidR="007909D7" w:rsidRPr="005C31E0" w:rsidRDefault="007909D7" w:rsidP="004835DB">
            <w:pPr>
              <w:jc w:val="both"/>
              <w:rPr>
                <w:rFonts w:ascii="Century" w:hAnsi="Century" w:cs="Arial"/>
                <w:color w:val="333333"/>
                <w:sz w:val="22"/>
                <w:szCs w:val="22"/>
              </w:rPr>
            </w:pPr>
            <w:r w:rsidRPr="005C31E0">
              <w:rPr>
                <w:rFonts w:ascii="Century" w:hAnsi="Century" w:cs="Arial"/>
                <w:color w:val="333333"/>
                <w:sz w:val="22"/>
                <w:szCs w:val="22"/>
              </w:rPr>
              <w:t>The following table represents the distribution of the applications according to the disputed amount and class of business.</w:t>
            </w:r>
          </w:p>
          <w:p w:rsidR="007909D7" w:rsidRPr="00B10D90" w:rsidRDefault="007909D7" w:rsidP="004835DB">
            <w:pPr>
              <w:jc w:val="both"/>
              <w:rPr>
                <w:rFonts w:ascii="Century" w:hAnsi="Century" w:cs="Arial"/>
                <w:color w:val="333333"/>
                <w:sz w:val="22"/>
                <w:szCs w:val="22"/>
                <w:highlight w:val="yellow"/>
              </w:rPr>
            </w:pPr>
            <w:r w:rsidRPr="00B10D90">
              <w:rPr>
                <w:rFonts w:ascii="Century" w:hAnsi="Century" w:cs="Arial"/>
                <w:color w:val="333333"/>
                <w:sz w:val="22"/>
                <w:szCs w:val="22"/>
                <w:highlight w:val="yellow"/>
              </w:rPr>
              <w:t xml:space="preserve"> </w:t>
            </w:r>
          </w:p>
        </w:tc>
      </w:tr>
      <w:tr w:rsidR="007909D7" w:rsidRPr="00B10D90" w:rsidTr="00441D50">
        <w:trPr>
          <w:gridAfter w:val="2"/>
          <w:wAfter w:w="38" w:type="dxa"/>
          <w:trHeight w:val="181"/>
        </w:trPr>
        <w:tc>
          <w:tcPr>
            <w:tcW w:w="9820" w:type="dxa"/>
            <w:gridSpan w:val="14"/>
          </w:tcPr>
          <w:p w:rsidR="007909D7" w:rsidRPr="005C31E0" w:rsidRDefault="007909D7" w:rsidP="004835DB">
            <w:pPr>
              <w:jc w:val="center"/>
              <w:rPr>
                <w:rFonts w:ascii="Century" w:hAnsi="Century"/>
                <w:b/>
                <w:color w:val="000080"/>
                <w:sz w:val="20"/>
                <w:szCs w:val="20"/>
              </w:rPr>
            </w:pPr>
            <w:r w:rsidRPr="005C31E0">
              <w:rPr>
                <w:rFonts w:ascii="Century" w:hAnsi="Century"/>
                <w:b/>
                <w:color w:val="000080"/>
                <w:sz w:val="20"/>
                <w:szCs w:val="20"/>
              </w:rPr>
              <w:t>Tablo 5.5.2: 2018 Yılında Sonuçlandırılan Başvuruların Dağılımı</w:t>
            </w:r>
          </w:p>
          <w:p w:rsidR="007909D7" w:rsidRPr="005C31E0" w:rsidRDefault="007909D7" w:rsidP="004835DB">
            <w:pPr>
              <w:jc w:val="center"/>
              <w:rPr>
                <w:rFonts w:ascii="Century" w:hAnsi="Century"/>
                <w:i/>
                <w:color w:val="000080"/>
                <w:sz w:val="20"/>
                <w:szCs w:val="20"/>
              </w:rPr>
            </w:pPr>
            <w:r w:rsidRPr="005C31E0">
              <w:rPr>
                <w:rFonts w:ascii="Century" w:hAnsi="Century"/>
                <w:i/>
                <w:color w:val="000080"/>
                <w:sz w:val="20"/>
                <w:szCs w:val="20"/>
              </w:rPr>
              <w:t>Distribution of Concluded Applications in 2018</w:t>
            </w:r>
          </w:p>
          <w:p w:rsidR="007909D7" w:rsidRPr="005C31E0" w:rsidRDefault="00C46BC7" w:rsidP="005C31E0">
            <w:pPr>
              <w:jc w:val="center"/>
              <w:rPr>
                <w:rFonts w:ascii="Century" w:hAnsi="Century"/>
                <w:b/>
                <w:color w:val="000080"/>
                <w:sz w:val="20"/>
                <w:szCs w:val="20"/>
              </w:rPr>
            </w:pPr>
            <w:r>
              <w:rPr>
                <w:rFonts w:ascii="Century" w:hAnsi="Century"/>
                <w:b/>
                <w:noProof/>
                <w:color w:val="000080"/>
                <w:sz w:val="20"/>
                <w:szCs w:val="20"/>
              </w:rPr>
              <w:drawing>
                <wp:inline distT="0" distB="0" distL="0" distR="0">
                  <wp:extent cx="6096000" cy="17049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1704975"/>
                          </a:xfrm>
                          <a:prstGeom prst="rect">
                            <a:avLst/>
                          </a:prstGeom>
                          <a:noFill/>
                          <a:ln>
                            <a:noFill/>
                          </a:ln>
                        </pic:spPr>
                      </pic:pic>
                    </a:graphicData>
                  </a:graphic>
                </wp:inline>
              </w:drawing>
            </w:r>
          </w:p>
        </w:tc>
      </w:tr>
      <w:tr w:rsidR="007909D7" w:rsidRPr="00B10D90" w:rsidTr="00441D50">
        <w:trPr>
          <w:gridAfter w:val="3"/>
          <w:wAfter w:w="61" w:type="dxa"/>
          <w:trHeight w:val="181"/>
        </w:trPr>
        <w:tc>
          <w:tcPr>
            <w:tcW w:w="4840" w:type="dxa"/>
            <w:gridSpan w:val="3"/>
            <w:shd w:val="clear" w:color="auto" w:fill="auto"/>
          </w:tcPr>
          <w:p w:rsidR="007909D7" w:rsidRPr="00ED1541" w:rsidRDefault="007909D7" w:rsidP="00C62172">
            <w:pPr>
              <w:pStyle w:val="Heading2"/>
              <w:keepNext w:val="0"/>
              <w:numPr>
                <w:ilvl w:val="1"/>
                <w:numId w:val="1"/>
              </w:numPr>
              <w:tabs>
                <w:tab w:val="num" w:pos="536"/>
              </w:tabs>
              <w:spacing w:before="0" w:after="0"/>
              <w:ind w:left="0"/>
              <w:jc w:val="both"/>
              <w:rPr>
                <w:rFonts w:ascii="Century" w:hAnsi="Century"/>
                <w:i w:val="0"/>
                <w:color w:val="000080"/>
                <w:sz w:val="22"/>
                <w:szCs w:val="22"/>
              </w:rPr>
            </w:pPr>
            <w:bookmarkStart w:id="294" w:name="_Toc267481119"/>
            <w:bookmarkStart w:id="295" w:name="_Toc327793366"/>
            <w:bookmarkStart w:id="296" w:name="_Toc358380225"/>
            <w:bookmarkStart w:id="297" w:name="_Toc12957697"/>
            <w:r w:rsidRPr="00ED1541">
              <w:rPr>
                <w:rFonts w:ascii="Century" w:hAnsi="Century"/>
                <w:i w:val="0"/>
                <w:color w:val="000080"/>
                <w:sz w:val="22"/>
                <w:szCs w:val="22"/>
              </w:rPr>
              <w:lastRenderedPageBreak/>
              <w:t>Sigorta Bilgi ve Gözetim Merkezi</w:t>
            </w:r>
            <w:bookmarkEnd w:id="294"/>
            <w:bookmarkEnd w:id="295"/>
            <w:bookmarkEnd w:id="296"/>
            <w:bookmarkEnd w:id="297"/>
          </w:p>
          <w:p w:rsidR="007909D7" w:rsidRPr="00ED1541" w:rsidRDefault="007909D7" w:rsidP="004835DB">
            <w:pPr>
              <w:pStyle w:val="NormalWeb"/>
              <w:spacing w:before="0" w:beforeAutospacing="0" w:after="0" w:afterAutospacing="0"/>
              <w:jc w:val="both"/>
              <w:rPr>
                <w:rFonts w:ascii="Century" w:hAnsi="Century"/>
                <w:sz w:val="22"/>
                <w:szCs w:val="22"/>
              </w:rPr>
            </w:pPr>
          </w:p>
          <w:p w:rsidR="007909D7" w:rsidRPr="00ED1541" w:rsidRDefault="007909D7" w:rsidP="004835DB">
            <w:pPr>
              <w:pStyle w:val="NormalWeb"/>
              <w:spacing w:before="0" w:beforeAutospacing="0" w:after="0" w:afterAutospacing="0"/>
              <w:jc w:val="both"/>
              <w:rPr>
                <w:rFonts w:ascii="Century" w:hAnsi="Century"/>
                <w:sz w:val="22"/>
                <w:szCs w:val="22"/>
              </w:rPr>
            </w:pPr>
            <w:r w:rsidRPr="00ED1541">
              <w:rPr>
                <w:rFonts w:ascii="Century" w:hAnsi="Century"/>
                <w:sz w:val="22"/>
                <w:szCs w:val="22"/>
              </w:rPr>
              <w:t>5684 sayılı Sigortacılık Kanunu ve ilgili mevzuat uyarınca, Türkiye Sigorta, Reasürans ve Emeklilik Şirketleri Birliği bünyesinde tüzel kişiliği haiz olarak Sigorta Bilgi Merkezi kurulmuştur. 3 Aralık 2011 tarihinde yapılan Yönetmelik değişikliği ile Sigorta Bilgi Merkezi’nin ismi Sigorta Bilgi ve Gözetim Merkezi olarak değiştirilmiştir. Sigorta Bilgi ve Gözetim Merkezi’nin merkezi İstanbul'dadır. Hayat, hastalık / sağlık, trafik ve zorunlu sigortalar branşlarında ruhsat sahibi olan sigorta şirketleri Merkezin doğal üyesi kabul edilmiştir.</w:t>
            </w:r>
          </w:p>
          <w:p w:rsidR="007909D7" w:rsidRPr="00ED1541" w:rsidRDefault="007909D7" w:rsidP="004835DB">
            <w:pPr>
              <w:pStyle w:val="NormalWeb"/>
              <w:spacing w:before="0" w:beforeAutospacing="0" w:after="0" w:afterAutospacing="0"/>
              <w:jc w:val="both"/>
              <w:rPr>
                <w:rFonts w:ascii="Century" w:hAnsi="Century"/>
                <w:sz w:val="22"/>
                <w:szCs w:val="22"/>
              </w:rPr>
            </w:pPr>
          </w:p>
          <w:p w:rsidR="007909D7" w:rsidRPr="00ED1541" w:rsidRDefault="007909D7" w:rsidP="004835DB">
            <w:pPr>
              <w:pStyle w:val="NormalWeb"/>
              <w:spacing w:before="0" w:beforeAutospacing="0" w:after="0" w:afterAutospacing="0"/>
              <w:jc w:val="both"/>
              <w:rPr>
                <w:rFonts w:ascii="Century" w:hAnsi="Century"/>
                <w:sz w:val="22"/>
                <w:szCs w:val="22"/>
              </w:rPr>
            </w:pPr>
            <w:r w:rsidRPr="00ED1541">
              <w:rPr>
                <w:rFonts w:ascii="Century" w:hAnsi="Century"/>
                <w:sz w:val="22"/>
                <w:szCs w:val="22"/>
              </w:rPr>
              <w:t xml:space="preserve">Trafik Sigortaları Bilgi ve Gözetim Merkezi (TRAMER) ile birlikte Sağlık Sigortaları Bilgi ve Gözetim Merkezi (SAGMER), Hayat Sigortaları Bilgi ve Gözetim Merkezi (HAYMER) ve Hasar Takip Merkezi (HATMER) Sigorta Bilgi ve Gözetim Merkezi’nin alt bilgi merkezleri olarak faaliyet göstermeye devam etmektedirler. </w:t>
            </w:r>
          </w:p>
          <w:p w:rsidR="007909D7" w:rsidRPr="00ED1541" w:rsidRDefault="007909D7" w:rsidP="004835DB">
            <w:pPr>
              <w:pStyle w:val="NormalWeb"/>
              <w:spacing w:before="0" w:beforeAutospacing="0" w:after="0" w:afterAutospacing="0"/>
              <w:jc w:val="both"/>
              <w:rPr>
                <w:rFonts w:ascii="Century" w:hAnsi="Century"/>
                <w:sz w:val="22"/>
                <w:szCs w:val="22"/>
              </w:rPr>
            </w:pPr>
          </w:p>
          <w:p w:rsidR="007909D7" w:rsidRPr="00ED1541" w:rsidRDefault="007909D7" w:rsidP="004E0149">
            <w:pPr>
              <w:pStyle w:val="NormalWeb"/>
              <w:spacing w:before="0" w:beforeAutospacing="0" w:after="0" w:afterAutospacing="0"/>
              <w:jc w:val="both"/>
              <w:rPr>
                <w:rFonts w:ascii="Century" w:hAnsi="Century"/>
                <w:sz w:val="22"/>
                <w:szCs w:val="22"/>
              </w:rPr>
            </w:pPr>
            <w:r w:rsidRPr="00ED1541">
              <w:rPr>
                <w:rFonts w:ascii="Century" w:hAnsi="Century"/>
                <w:sz w:val="22"/>
                <w:szCs w:val="22"/>
              </w:rPr>
              <w:t xml:space="preserve">Sigorta şirketleri tarafından Sigorta Bilgi ve Gözetim Merkezi’ne gönderilen verilere ilişkin istatistiki bilgilere </w:t>
            </w:r>
            <w:hyperlink r:id="rId141" w:history="1">
              <w:r w:rsidRPr="00ED1541">
                <w:t>www.sbm.org.tr</w:t>
              </w:r>
            </w:hyperlink>
            <w:r w:rsidRPr="00ED1541">
              <w:rPr>
                <w:rFonts w:ascii="Century" w:hAnsi="Century"/>
                <w:sz w:val="22"/>
                <w:szCs w:val="22"/>
              </w:rPr>
              <w:t xml:space="preserve"> adresinden ulaşılabilir. </w:t>
            </w:r>
          </w:p>
          <w:p w:rsidR="007909D7" w:rsidRPr="00B10D90" w:rsidRDefault="007909D7" w:rsidP="004E0149">
            <w:pPr>
              <w:pStyle w:val="NormalWeb"/>
              <w:spacing w:before="0" w:beforeAutospacing="0" w:after="0" w:afterAutospacing="0"/>
              <w:jc w:val="both"/>
              <w:rPr>
                <w:rFonts w:ascii="Century" w:hAnsi="Century"/>
                <w:sz w:val="22"/>
                <w:szCs w:val="22"/>
                <w:highlight w:val="yellow"/>
              </w:rPr>
            </w:pPr>
          </w:p>
          <w:p w:rsidR="007909D7" w:rsidRPr="00B10D90" w:rsidRDefault="007909D7" w:rsidP="004E0149">
            <w:pPr>
              <w:pStyle w:val="NormalWeb"/>
              <w:spacing w:before="0" w:beforeAutospacing="0" w:after="0" w:afterAutospacing="0"/>
              <w:jc w:val="both"/>
              <w:rPr>
                <w:rFonts w:ascii="Century" w:hAnsi="Century"/>
                <w:sz w:val="22"/>
                <w:szCs w:val="22"/>
                <w:highlight w:val="yellow"/>
              </w:rPr>
            </w:pPr>
          </w:p>
          <w:p w:rsidR="007909D7" w:rsidRPr="00B10D90" w:rsidRDefault="007909D7" w:rsidP="004E0149">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p w:rsidR="007909D7" w:rsidRPr="00B10D90" w:rsidRDefault="007909D7" w:rsidP="00163C9F">
            <w:pPr>
              <w:pStyle w:val="NormalWeb"/>
              <w:spacing w:before="0" w:beforeAutospacing="0" w:after="0" w:afterAutospacing="0"/>
              <w:jc w:val="both"/>
              <w:rPr>
                <w:rFonts w:ascii="Century" w:hAnsi="Century"/>
                <w:sz w:val="22"/>
                <w:szCs w:val="22"/>
                <w:highlight w:val="yellow"/>
              </w:rPr>
            </w:pPr>
          </w:p>
        </w:tc>
        <w:tc>
          <w:tcPr>
            <w:tcW w:w="295" w:type="dxa"/>
            <w:gridSpan w:val="6"/>
            <w:shd w:val="clear" w:color="auto" w:fill="auto"/>
          </w:tcPr>
          <w:p w:rsidR="007909D7" w:rsidRPr="00B10D90" w:rsidRDefault="007909D7" w:rsidP="004835DB">
            <w:pPr>
              <w:rPr>
                <w:rFonts w:ascii="Century" w:hAnsi="Century"/>
                <w:sz w:val="22"/>
                <w:szCs w:val="22"/>
                <w:highlight w:val="yellow"/>
              </w:rPr>
            </w:pPr>
          </w:p>
        </w:tc>
        <w:tc>
          <w:tcPr>
            <w:tcW w:w="4662" w:type="dxa"/>
            <w:gridSpan w:val="4"/>
            <w:shd w:val="clear" w:color="auto" w:fill="auto"/>
          </w:tcPr>
          <w:p w:rsidR="007909D7" w:rsidRPr="00ED1541" w:rsidRDefault="007909D7" w:rsidP="00966B0D">
            <w:pPr>
              <w:tabs>
                <w:tab w:val="left" w:pos="494"/>
              </w:tabs>
              <w:jc w:val="both"/>
              <w:rPr>
                <w:rFonts w:ascii="Century" w:hAnsi="Century"/>
                <w:color w:val="333333"/>
                <w:sz w:val="22"/>
                <w:szCs w:val="22"/>
              </w:rPr>
            </w:pPr>
            <w:r w:rsidRPr="00ED1541">
              <w:rPr>
                <w:rFonts w:ascii="Century" w:hAnsi="Century"/>
                <w:b/>
                <w:color w:val="003366"/>
                <w:sz w:val="22"/>
                <w:szCs w:val="22"/>
              </w:rPr>
              <w:t>5.6. Insurance Information and Monitoring Center</w:t>
            </w:r>
          </w:p>
          <w:p w:rsidR="007909D7" w:rsidRPr="00ED1541" w:rsidRDefault="007909D7" w:rsidP="004835DB">
            <w:pPr>
              <w:jc w:val="both"/>
              <w:rPr>
                <w:rFonts w:ascii="Century" w:hAnsi="Century"/>
                <w:color w:val="333333"/>
                <w:sz w:val="22"/>
                <w:szCs w:val="22"/>
              </w:rPr>
            </w:pPr>
            <w:r w:rsidRPr="00ED1541">
              <w:rPr>
                <w:rFonts w:ascii="Century" w:hAnsi="Century"/>
                <w:color w:val="333333"/>
                <w:sz w:val="22"/>
                <w:szCs w:val="22"/>
              </w:rPr>
              <w:t xml:space="preserve">With Insurance Law numbered 5684, Insurance Information Center has been established as a legal entity within the Association of Turkish Insurance, Reinsurance and Pension </w:t>
            </w:r>
            <w:r w:rsidRPr="00ED1541">
              <w:rPr>
                <w:rFonts w:ascii="Century" w:hAnsi="Century"/>
                <w:color w:val="333333"/>
                <w:sz w:val="22"/>
              </w:rPr>
              <w:t xml:space="preserve">Companies. </w:t>
            </w:r>
            <w:r w:rsidRPr="00ED1541">
              <w:rPr>
                <w:rFonts w:ascii="Century" w:hAnsi="Century"/>
                <w:color w:val="333333"/>
                <w:sz w:val="22"/>
                <w:szCs w:val="22"/>
              </w:rPr>
              <w:t xml:space="preserve">Its title has been changed as “Insurance Information and Monitoring Center” with the amendment of regulation dated December 3, 2011. </w:t>
            </w:r>
            <w:r w:rsidRPr="00ED1541">
              <w:rPr>
                <w:rFonts w:ascii="Century" w:hAnsi="Century"/>
                <w:color w:val="333333"/>
                <w:sz w:val="22"/>
              </w:rPr>
              <w:t>The</w:t>
            </w:r>
            <w:r w:rsidRPr="00ED1541">
              <w:rPr>
                <w:rFonts w:ascii="Century" w:hAnsi="Century"/>
                <w:color w:val="333333"/>
                <w:sz w:val="22"/>
                <w:szCs w:val="22"/>
              </w:rPr>
              <w:t xml:space="preserve"> Headquarter of the Center is in Istanbul. Insurance companies holding license in life, health / sickness, compulsory third party liability insurance and compulsory insurance business are natural members of the Center.</w:t>
            </w:r>
          </w:p>
          <w:p w:rsidR="007909D7" w:rsidRPr="00ED1541" w:rsidRDefault="007909D7" w:rsidP="004835DB">
            <w:pPr>
              <w:jc w:val="both"/>
              <w:rPr>
                <w:rFonts w:ascii="Century" w:hAnsi="Century"/>
                <w:color w:val="333333"/>
                <w:sz w:val="22"/>
                <w:szCs w:val="22"/>
              </w:rPr>
            </w:pPr>
          </w:p>
          <w:p w:rsidR="007909D7" w:rsidRPr="00ED1541" w:rsidRDefault="007909D7" w:rsidP="004835DB">
            <w:pPr>
              <w:jc w:val="both"/>
              <w:rPr>
                <w:rFonts w:ascii="Century" w:hAnsi="Century"/>
                <w:color w:val="333333"/>
                <w:sz w:val="22"/>
              </w:rPr>
            </w:pPr>
            <w:r w:rsidRPr="00ED1541">
              <w:rPr>
                <w:rFonts w:ascii="Century" w:hAnsi="Century"/>
                <w:color w:val="333333"/>
                <w:sz w:val="22"/>
              </w:rPr>
              <w:t>Together with TRAMER</w:t>
            </w:r>
            <w:r w:rsidRPr="00ED1541">
              <w:rPr>
                <w:rFonts w:ascii="Century" w:hAnsi="Century"/>
                <w:color w:val="333333"/>
                <w:sz w:val="22"/>
                <w:szCs w:val="22"/>
              </w:rPr>
              <w:t xml:space="preserve"> (Third Party Compulsory Liability Insurance for Land Vehicles),</w:t>
            </w:r>
            <w:r w:rsidRPr="00ED1541">
              <w:rPr>
                <w:rFonts w:ascii="Century" w:hAnsi="Century"/>
                <w:color w:val="333333"/>
                <w:sz w:val="22"/>
              </w:rPr>
              <w:t xml:space="preserve"> three sub information centers, Health Insurance Information </w:t>
            </w:r>
            <w:r w:rsidRPr="00ED1541">
              <w:rPr>
                <w:rFonts w:ascii="Century" w:hAnsi="Century"/>
                <w:color w:val="333333"/>
                <w:sz w:val="22"/>
                <w:szCs w:val="22"/>
              </w:rPr>
              <w:t xml:space="preserve">and Surveillance </w:t>
            </w:r>
            <w:r w:rsidRPr="00ED1541">
              <w:rPr>
                <w:rFonts w:ascii="Century" w:hAnsi="Century"/>
                <w:color w:val="333333"/>
                <w:sz w:val="22"/>
              </w:rPr>
              <w:t xml:space="preserve">Center (SAGMER), Life Insurance Information </w:t>
            </w:r>
            <w:r w:rsidRPr="00ED1541">
              <w:rPr>
                <w:rFonts w:ascii="Century" w:hAnsi="Century"/>
                <w:color w:val="333333"/>
                <w:sz w:val="22"/>
                <w:szCs w:val="22"/>
              </w:rPr>
              <w:t xml:space="preserve">and Surveillance </w:t>
            </w:r>
            <w:r w:rsidRPr="00ED1541">
              <w:rPr>
                <w:rFonts w:ascii="Century" w:hAnsi="Century"/>
                <w:color w:val="333333"/>
                <w:sz w:val="22"/>
              </w:rPr>
              <w:t>Center (HAYMER) and Insurance Claim Monitoring</w:t>
            </w:r>
            <w:r w:rsidRPr="00ED1541">
              <w:rPr>
                <w:rFonts w:ascii="Century" w:hAnsi="Century"/>
                <w:color w:val="333333"/>
                <w:sz w:val="22"/>
                <w:szCs w:val="22"/>
              </w:rPr>
              <w:t xml:space="preserve"> and Surveillance</w:t>
            </w:r>
            <w:r w:rsidRPr="00ED1541">
              <w:rPr>
                <w:rFonts w:ascii="Century" w:hAnsi="Century"/>
                <w:color w:val="333333"/>
                <w:sz w:val="22"/>
              </w:rPr>
              <w:t xml:space="preserve"> Center (HATMER) have been established within the Center to collect all relevant data and monitor insurance claims.</w:t>
            </w:r>
          </w:p>
          <w:p w:rsidR="007909D7" w:rsidRPr="00ED1541" w:rsidRDefault="007909D7" w:rsidP="004835DB">
            <w:pPr>
              <w:jc w:val="both"/>
              <w:rPr>
                <w:rFonts w:ascii="Century" w:hAnsi="Century"/>
                <w:color w:val="333333"/>
                <w:sz w:val="22"/>
              </w:rPr>
            </w:pPr>
          </w:p>
          <w:p w:rsidR="007909D7" w:rsidRPr="00ED1541" w:rsidRDefault="007909D7" w:rsidP="0081116F">
            <w:pPr>
              <w:jc w:val="both"/>
              <w:rPr>
                <w:rFonts w:ascii="Century" w:hAnsi="Century"/>
                <w:color w:val="333333"/>
                <w:sz w:val="22"/>
                <w:szCs w:val="22"/>
              </w:rPr>
            </w:pPr>
            <w:r w:rsidRPr="00ED1541">
              <w:rPr>
                <w:rFonts w:ascii="Century" w:hAnsi="Century"/>
                <w:color w:val="333333"/>
                <w:sz w:val="22"/>
                <w:szCs w:val="22"/>
              </w:rPr>
              <w:t xml:space="preserve">The statistical figures sent by the companies to Insurance Information and Monitoring Center are accessible through its website </w:t>
            </w:r>
            <w:hyperlink r:id="rId142" w:history="1">
              <w:r w:rsidRPr="00ED1541">
                <w:rPr>
                  <w:rStyle w:val="Hyperlink"/>
                  <w:rFonts w:ascii="Century" w:hAnsi="Century"/>
                  <w:color w:val="333333"/>
                  <w:sz w:val="22"/>
                  <w:szCs w:val="22"/>
                </w:rPr>
                <w:t>www.sbm.org.tr</w:t>
              </w:r>
            </w:hyperlink>
            <w:r w:rsidRPr="00ED1541">
              <w:rPr>
                <w:rFonts w:ascii="Century" w:hAnsi="Century"/>
                <w:color w:val="333333"/>
                <w:sz w:val="22"/>
                <w:szCs w:val="22"/>
              </w:rPr>
              <w:t>.</w:t>
            </w:r>
          </w:p>
          <w:p w:rsidR="007909D7" w:rsidRPr="00B10D90" w:rsidRDefault="007909D7" w:rsidP="008F7538">
            <w:pPr>
              <w:autoSpaceDE w:val="0"/>
              <w:autoSpaceDN w:val="0"/>
              <w:adjustRightInd w:val="0"/>
              <w:jc w:val="both"/>
              <w:rPr>
                <w:rFonts w:ascii="Century" w:hAnsi="Century"/>
                <w:color w:val="333333"/>
                <w:sz w:val="22"/>
                <w:highlight w:val="yellow"/>
              </w:rPr>
            </w:pPr>
          </w:p>
        </w:tc>
      </w:tr>
      <w:tr w:rsidR="007909D7" w:rsidRPr="00B25CDA" w:rsidTr="00441D50">
        <w:trPr>
          <w:gridAfter w:val="3"/>
          <w:wAfter w:w="61" w:type="dxa"/>
          <w:trHeight w:val="181"/>
        </w:trPr>
        <w:tc>
          <w:tcPr>
            <w:tcW w:w="4840" w:type="dxa"/>
            <w:gridSpan w:val="3"/>
          </w:tcPr>
          <w:p w:rsidR="007909D7" w:rsidRPr="00852C94" w:rsidRDefault="007909D7" w:rsidP="00C62172">
            <w:pPr>
              <w:pStyle w:val="Heading2"/>
              <w:keepNext w:val="0"/>
              <w:numPr>
                <w:ilvl w:val="1"/>
                <w:numId w:val="1"/>
              </w:numPr>
              <w:tabs>
                <w:tab w:val="num" w:pos="536"/>
              </w:tabs>
              <w:spacing w:before="0" w:after="0"/>
              <w:ind w:left="0"/>
              <w:jc w:val="both"/>
              <w:rPr>
                <w:rFonts w:ascii="Century" w:hAnsi="Century"/>
                <w:i w:val="0"/>
                <w:color w:val="000080"/>
                <w:sz w:val="22"/>
                <w:szCs w:val="22"/>
              </w:rPr>
            </w:pPr>
            <w:bookmarkStart w:id="298" w:name="_Toc198287713"/>
            <w:bookmarkStart w:id="299" w:name="_Toc267481120"/>
            <w:bookmarkStart w:id="300" w:name="_Toc327793367"/>
            <w:bookmarkStart w:id="301" w:name="_Toc358380226"/>
            <w:bookmarkStart w:id="302" w:name="_Toc12957698"/>
            <w:r w:rsidRPr="00852C94">
              <w:rPr>
                <w:rFonts w:ascii="Century" w:hAnsi="Century"/>
                <w:i w:val="0"/>
                <w:color w:val="000080"/>
                <w:sz w:val="22"/>
                <w:szCs w:val="22"/>
              </w:rPr>
              <w:lastRenderedPageBreak/>
              <w:t>Emeklilik Gözetim Merkezi</w:t>
            </w:r>
            <w:bookmarkEnd w:id="298"/>
            <w:bookmarkEnd w:id="299"/>
            <w:bookmarkEnd w:id="300"/>
            <w:bookmarkEnd w:id="301"/>
            <w:bookmarkEnd w:id="302"/>
          </w:p>
          <w:p w:rsidR="007909D7" w:rsidRPr="00852C94" w:rsidRDefault="007909D7" w:rsidP="00687E46">
            <w:pPr>
              <w:pStyle w:val="NormalWeb"/>
              <w:spacing w:before="0" w:beforeAutospacing="0" w:after="0" w:afterAutospacing="0"/>
              <w:jc w:val="both"/>
              <w:rPr>
                <w:rFonts w:ascii="Century" w:hAnsi="Century"/>
                <w:sz w:val="22"/>
                <w:szCs w:val="22"/>
              </w:rPr>
            </w:pPr>
          </w:p>
          <w:p w:rsidR="007909D7" w:rsidRPr="00852C94" w:rsidRDefault="007909D7" w:rsidP="00687E46">
            <w:pPr>
              <w:pStyle w:val="NormalWeb"/>
              <w:spacing w:before="0" w:beforeAutospacing="0" w:after="0" w:afterAutospacing="0"/>
              <w:jc w:val="both"/>
              <w:rPr>
                <w:rFonts w:ascii="Century" w:hAnsi="Century"/>
                <w:sz w:val="22"/>
                <w:szCs w:val="22"/>
              </w:rPr>
            </w:pPr>
            <w:r w:rsidRPr="00852C94">
              <w:rPr>
                <w:rFonts w:ascii="Century" w:hAnsi="Century"/>
                <w:sz w:val="22"/>
                <w:szCs w:val="22"/>
              </w:rPr>
              <w:t xml:space="preserve">4632 sayılı Bireysel Emeklilik Tasarruf ve Yatırım Sistemi Kanunu gereği, bireysel emeklilik sisteminin elektronik ortamda günlük gözetim ve denetime esas bilgilerin oluşturulması ve bireysel emeklilik aracıları sınavı gibi konularda görev yapmak üzere, bireysel emeklilik alanında faaliyet gösterme izni alan ilk 11 şirket ortaklığında </w:t>
            </w:r>
            <w:r>
              <w:rPr>
                <w:rFonts w:ascii="Century" w:hAnsi="Century"/>
                <w:sz w:val="22"/>
                <w:szCs w:val="22"/>
              </w:rPr>
              <w:t xml:space="preserve">  </w:t>
            </w:r>
            <w:r w:rsidRPr="00852C94">
              <w:rPr>
                <w:rFonts w:ascii="Century" w:hAnsi="Century"/>
                <w:sz w:val="22"/>
                <w:szCs w:val="22"/>
              </w:rPr>
              <w:t xml:space="preserve">2.475.225 TL sermaye ile 10 Temmuz 2003 tarihinde merkezi İstanbul'da olan Emeklilik Gözetim Merkezi AŞ kurulmuştur. </w:t>
            </w:r>
          </w:p>
          <w:p w:rsidR="007909D7" w:rsidRPr="00852C94" w:rsidRDefault="007909D7" w:rsidP="00687E46">
            <w:pPr>
              <w:pStyle w:val="NormalWeb"/>
              <w:spacing w:before="0" w:beforeAutospacing="0" w:after="0" w:afterAutospacing="0"/>
              <w:jc w:val="both"/>
              <w:rPr>
                <w:rFonts w:ascii="Century" w:hAnsi="Century"/>
                <w:sz w:val="22"/>
                <w:szCs w:val="22"/>
              </w:rPr>
            </w:pPr>
          </w:p>
          <w:p w:rsidR="007909D7" w:rsidRPr="00852C94" w:rsidRDefault="007909D7" w:rsidP="00687E46">
            <w:pPr>
              <w:pStyle w:val="NormalWeb"/>
              <w:spacing w:before="0" w:beforeAutospacing="0" w:after="0" w:afterAutospacing="0"/>
              <w:jc w:val="both"/>
              <w:rPr>
                <w:rFonts w:ascii="Century" w:hAnsi="Century"/>
                <w:sz w:val="22"/>
                <w:szCs w:val="22"/>
              </w:rPr>
            </w:pPr>
            <w:r w:rsidRPr="00852C94">
              <w:rPr>
                <w:rFonts w:ascii="Century" w:hAnsi="Century"/>
                <w:sz w:val="22"/>
                <w:szCs w:val="22"/>
              </w:rPr>
              <w:t>Emeklilik Gözetim Merkezi (EGM);</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Emeklilik şirketlerinin faaliyetlerinin günlük olarak elektronik ortamda gözetimi ve kamu otoritelerine raporlanması,</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Emeklilik şirketlerinin işlemleri sonu-cunda oluşan bilgilerin konsolidasyonu,</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Katılımcılara ait bilgilerin gizliliğinin korunarak saklanması,</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Kamuoyunun ve katılımcıların bilgilendirilmesi,</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Bireysel emeklilik aracıları sınavının yapılması ve bireysel emeklilik aracıları sicilinin takibi,</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Emeklilik şirketlerinin ortak tanıtım, eğitim programları, yazılım ve benzeri konulardaki taleplerinin karşılanması,</w:t>
            </w:r>
          </w:p>
          <w:p w:rsidR="007909D7" w:rsidRPr="00852C94" w:rsidRDefault="007909D7"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852C94">
              <w:rPr>
                <w:rFonts w:ascii="Century" w:hAnsi="Century"/>
                <w:sz w:val="22"/>
                <w:szCs w:val="22"/>
              </w:rPr>
              <w:t>Sistemin güven içinde işleyişi ile olası sorunlara zamanında gerekli müdahalelerde bulunulmasına olanak sağlayacak veri oluşturulması,</w:t>
            </w:r>
          </w:p>
          <w:p w:rsidR="007909D7" w:rsidRPr="00852C94" w:rsidRDefault="007909D7" w:rsidP="003B082E">
            <w:pPr>
              <w:pStyle w:val="NormalWeb"/>
              <w:spacing w:before="0" w:beforeAutospacing="0" w:after="0" w:afterAutospacing="0"/>
              <w:ind w:left="372"/>
              <w:jc w:val="both"/>
              <w:rPr>
                <w:rFonts w:ascii="Century" w:hAnsi="Century"/>
                <w:sz w:val="22"/>
                <w:szCs w:val="22"/>
              </w:rPr>
            </w:pPr>
          </w:p>
          <w:p w:rsidR="007909D7" w:rsidRPr="00852C94" w:rsidRDefault="007909D7" w:rsidP="00687E46">
            <w:pPr>
              <w:pStyle w:val="NormalWeb"/>
              <w:spacing w:before="0" w:beforeAutospacing="0" w:after="0" w:afterAutospacing="0"/>
              <w:jc w:val="both"/>
              <w:rPr>
                <w:rFonts w:ascii="Century" w:hAnsi="Century"/>
                <w:sz w:val="22"/>
                <w:szCs w:val="22"/>
              </w:rPr>
            </w:pPr>
            <w:proofErr w:type="gramStart"/>
            <w:r w:rsidRPr="00852C94">
              <w:rPr>
                <w:rFonts w:ascii="Century" w:hAnsi="Century"/>
                <w:sz w:val="22"/>
                <w:szCs w:val="22"/>
              </w:rPr>
              <w:t>ile</w:t>
            </w:r>
            <w:proofErr w:type="gramEnd"/>
            <w:r w:rsidRPr="00852C94">
              <w:rPr>
                <w:rFonts w:ascii="Century" w:hAnsi="Century"/>
                <w:sz w:val="22"/>
                <w:szCs w:val="22"/>
              </w:rPr>
              <w:t xml:space="preserve"> görevlendirilmiştir.</w:t>
            </w:r>
          </w:p>
          <w:p w:rsidR="007909D7" w:rsidRPr="00852C94" w:rsidRDefault="007909D7" w:rsidP="00687E46">
            <w:pPr>
              <w:jc w:val="both"/>
              <w:rPr>
                <w:rFonts w:ascii="Century" w:hAnsi="Century"/>
                <w:sz w:val="22"/>
                <w:szCs w:val="22"/>
              </w:rPr>
            </w:pPr>
          </w:p>
          <w:p w:rsidR="007909D7" w:rsidRPr="00852C94" w:rsidRDefault="007909D7" w:rsidP="005A22E4">
            <w:pPr>
              <w:pStyle w:val="Default"/>
              <w:jc w:val="both"/>
              <w:rPr>
                <w:rFonts w:ascii="Century" w:hAnsi="Century"/>
                <w:sz w:val="22"/>
                <w:szCs w:val="22"/>
              </w:rPr>
            </w:pPr>
            <w:r w:rsidRPr="00852C94">
              <w:rPr>
                <w:rFonts w:ascii="Century" w:hAnsi="Century"/>
                <w:sz w:val="22"/>
                <w:szCs w:val="22"/>
              </w:rPr>
              <w:t xml:space="preserve">2012 yılında, 01.01.2013 tarihinden sonra uygulanmak üzere, 4632 sayılı Bireysel Emeklilik Tasarruf ve Yatırım Sistemi Kanununda yapılan değişiklik ile bireysel emeklilik sisteminde katılımcı tarafından ödenen katkı paylarının vergi matrahından indirilmesi uygulaması sonlandırılarak bunun yerine devlet katkısı uygulaması getirilmiştir. Buna göre işveren tarafından ödenenler hariç olmak üzere katılımcı adına bir yıl içerisinde ödenen katkı payları toplamının yıllık brüt asgari ücret tutarına kadar olan kısmı için, ödenen katkı payının %25’i oranında devlet katkısı, Hazine </w:t>
            </w:r>
            <w:r w:rsidRPr="00852C94">
              <w:rPr>
                <w:rFonts w:ascii="Century" w:hAnsi="Century"/>
                <w:sz w:val="22"/>
                <w:szCs w:val="22"/>
              </w:rPr>
              <w:lastRenderedPageBreak/>
              <w:t>Müsteşarlığı tarafından Emeklilik Gözetim Merkezi aracılığıyla katılımcıların hesaplarına aktarılmaktadır. Katkı payı ödemelerinden ayrı olarak takip edilecek devlet katkıları, Müsteşarlıkça belirlenen yatırım araçlarından oluşan fonlarda değerlendirilmektedir.</w:t>
            </w:r>
          </w:p>
          <w:p w:rsidR="007909D7" w:rsidRPr="00852C94" w:rsidRDefault="007909D7" w:rsidP="005A22E4">
            <w:pPr>
              <w:pStyle w:val="Default"/>
              <w:jc w:val="both"/>
              <w:rPr>
                <w:rFonts w:ascii="Century" w:hAnsi="Century"/>
                <w:sz w:val="22"/>
                <w:szCs w:val="22"/>
              </w:rPr>
            </w:pPr>
          </w:p>
          <w:p w:rsidR="007909D7" w:rsidRPr="00852C94" w:rsidRDefault="007909D7" w:rsidP="005A22E4">
            <w:pPr>
              <w:pStyle w:val="Default"/>
              <w:jc w:val="both"/>
              <w:rPr>
                <w:rFonts w:ascii="Century" w:hAnsi="Century"/>
                <w:sz w:val="22"/>
                <w:szCs w:val="22"/>
              </w:rPr>
            </w:pPr>
            <w:r w:rsidRPr="00852C94">
              <w:rPr>
                <w:rFonts w:ascii="Century" w:hAnsi="Century"/>
                <w:sz w:val="22"/>
                <w:szCs w:val="22"/>
              </w:rPr>
              <w:t xml:space="preserve">Katılımcı 3 yıllık süre dolmadan önce sistemden ayrılırsa devlet katkısından hiç yararlanamamaktadır. Buna karşılık 3 ila 6 yıl arasında katkı payı ödedikten sonra ayrılırsa %15, 6 ila 10 yıl arasında katkı payı ödedikten sonra ayrılırsa %35 ve en az 10 yıl katkı payı ödedikten sonra ayrılırsa %60 oranında devlet katkısına hak kazanmaktadır. Buna karşılık, katılımcı emeklilik hakkını kazandıktan sonra ya da ölüm veya daimi sakatlık nedeniyle sistemden ayrılırsa devlet katkısının tamamına hak kazanmaktadır. </w:t>
            </w:r>
          </w:p>
          <w:p w:rsidR="007909D7" w:rsidRPr="00852C94" w:rsidRDefault="007909D7" w:rsidP="005A22E4">
            <w:pPr>
              <w:pStyle w:val="Default"/>
              <w:jc w:val="both"/>
              <w:rPr>
                <w:rFonts w:ascii="Century" w:hAnsi="Century"/>
                <w:sz w:val="22"/>
                <w:szCs w:val="22"/>
              </w:rPr>
            </w:pPr>
          </w:p>
          <w:p w:rsidR="007909D7" w:rsidRPr="00B10D90" w:rsidRDefault="007909D7" w:rsidP="00733FDF">
            <w:pPr>
              <w:jc w:val="both"/>
              <w:rPr>
                <w:rFonts w:ascii="Century" w:hAnsi="Century"/>
                <w:sz w:val="22"/>
                <w:szCs w:val="22"/>
                <w:highlight w:val="yellow"/>
              </w:rPr>
            </w:pPr>
            <w:r w:rsidRPr="00852C94">
              <w:rPr>
                <w:rFonts w:ascii="Century" w:hAnsi="Century"/>
                <w:sz w:val="22"/>
                <w:szCs w:val="22"/>
              </w:rPr>
              <w:t xml:space="preserve">Emeklilik şirketleri tarafından Emeklilik Gözetim Merkezi’ne gönderilen verilere ilişkin istatistiki bilgilere </w:t>
            </w:r>
            <w:hyperlink r:id="rId143" w:history="1">
              <w:r w:rsidRPr="00852C94">
                <w:t>www.egm.org.tr</w:t>
              </w:r>
            </w:hyperlink>
            <w:r w:rsidRPr="00852C94">
              <w:rPr>
                <w:rFonts w:ascii="Century" w:hAnsi="Century"/>
                <w:sz w:val="22"/>
                <w:szCs w:val="22"/>
              </w:rPr>
              <w:t xml:space="preserve"> adresinden ulaşılabilir. </w:t>
            </w:r>
          </w:p>
        </w:tc>
        <w:tc>
          <w:tcPr>
            <w:tcW w:w="295" w:type="dxa"/>
            <w:gridSpan w:val="6"/>
          </w:tcPr>
          <w:p w:rsidR="007909D7" w:rsidRPr="00B10D90" w:rsidRDefault="007909D7" w:rsidP="00687E46">
            <w:pPr>
              <w:rPr>
                <w:rFonts w:ascii="Century" w:hAnsi="Century"/>
                <w:sz w:val="22"/>
                <w:szCs w:val="22"/>
                <w:highlight w:val="yellow"/>
              </w:rPr>
            </w:pPr>
          </w:p>
        </w:tc>
        <w:tc>
          <w:tcPr>
            <w:tcW w:w="4662" w:type="dxa"/>
            <w:gridSpan w:val="4"/>
          </w:tcPr>
          <w:p w:rsidR="007909D7" w:rsidRPr="00852C94" w:rsidRDefault="007909D7" w:rsidP="00852C94">
            <w:pPr>
              <w:tabs>
                <w:tab w:val="left" w:pos="494"/>
              </w:tabs>
              <w:jc w:val="both"/>
              <w:rPr>
                <w:rFonts w:ascii="Century" w:hAnsi="Century"/>
                <w:b/>
                <w:color w:val="003366"/>
                <w:sz w:val="22"/>
                <w:szCs w:val="22"/>
              </w:rPr>
            </w:pPr>
            <w:bookmarkStart w:id="303" w:name="_Toc170253098"/>
            <w:bookmarkStart w:id="304" w:name="_Toc170569807"/>
            <w:r w:rsidRPr="00852C94">
              <w:rPr>
                <w:rFonts w:ascii="Century" w:hAnsi="Century"/>
                <w:b/>
                <w:color w:val="003366"/>
                <w:sz w:val="22"/>
                <w:szCs w:val="22"/>
              </w:rPr>
              <w:t xml:space="preserve">5.7. Pension Monitoring Center </w:t>
            </w:r>
            <w:bookmarkEnd w:id="303"/>
            <w:bookmarkEnd w:id="304"/>
          </w:p>
          <w:p w:rsidR="007909D7" w:rsidRPr="00852C94" w:rsidRDefault="007909D7" w:rsidP="00687E46">
            <w:pPr>
              <w:rPr>
                <w:rFonts w:ascii="Century" w:hAnsi="Century"/>
                <w:color w:val="333333"/>
                <w:sz w:val="22"/>
                <w:szCs w:val="22"/>
              </w:rPr>
            </w:pPr>
          </w:p>
          <w:p w:rsidR="007909D7" w:rsidRPr="00852C94" w:rsidRDefault="007909D7" w:rsidP="0078315B">
            <w:pPr>
              <w:pStyle w:val="NormalWeb"/>
              <w:spacing w:before="0" w:beforeAutospacing="0" w:after="0" w:afterAutospacing="0"/>
              <w:jc w:val="both"/>
              <w:rPr>
                <w:rFonts w:ascii="Century" w:hAnsi="Century"/>
                <w:color w:val="333333"/>
                <w:sz w:val="22"/>
                <w:szCs w:val="22"/>
                <w:lang w:eastAsia="en-US"/>
              </w:rPr>
            </w:pPr>
            <w:r w:rsidRPr="00852C94">
              <w:rPr>
                <w:rFonts w:ascii="Century" w:hAnsi="Century"/>
                <w:color w:val="333333"/>
                <w:sz w:val="22"/>
                <w:szCs w:val="22"/>
                <w:lang w:eastAsia="en-US"/>
              </w:rPr>
              <w:t>According to Individual Pension Savings and Investment Law no: 4632 and related legislations, especially to store and analyzing data for daily electronic monitoring of companies operating private pension system and to implement licensing exams of private pension agents, Pension Monitoring Center was established on July 10, 2003 with the partnerships of 11 companies which were allowed to operate in private pension system then. The Center’s amount of capital is ¨2,475,225 as of 2015 and its center is in Istanbul.</w:t>
            </w:r>
          </w:p>
          <w:p w:rsidR="007909D7" w:rsidRPr="00852C94" w:rsidRDefault="007909D7" w:rsidP="0078315B">
            <w:pPr>
              <w:pStyle w:val="NormalWeb"/>
              <w:spacing w:before="0" w:beforeAutospacing="0" w:after="0" w:afterAutospacing="0"/>
              <w:jc w:val="both"/>
              <w:rPr>
                <w:rFonts w:ascii="Century" w:hAnsi="Century"/>
                <w:color w:val="333333"/>
                <w:sz w:val="22"/>
                <w:szCs w:val="22"/>
                <w:lang w:eastAsia="en-US"/>
              </w:rPr>
            </w:pPr>
          </w:p>
          <w:p w:rsidR="007909D7" w:rsidRPr="00852C94" w:rsidRDefault="007909D7" w:rsidP="0078315B">
            <w:pPr>
              <w:pStyle w:val="NormalWeb"/>
              <w:spacing w:before="0" w:beforeAutospacing="0" w:after="0" w:afterAutospacing="0"/>
              <w:jc w:val="both"/>
              <w:rPr>
                <w:rFonts w:ascii="Century" w:hAnsi="Century"/>
                <w:color w:val="333333"/>
                <w:sz w:val="22"/>
                <w:szCs w:val="22"/>
                <w:lang w:eastAsia="en-US"/>
              </w:rPr>
            </w:pPr>
            <w:r w:rsidRPr="00852C94">
              <w:rPr>
                <w:rFonts w:ascii="Century" w:hAnsi="Century"/>
                <w:color w:val="333333"/>
                <w:sz w:val="22"/>
                <w:szCs w:val="22"/>
                <w:lang w:eastAsia="en-US"/>
              </w:rPr>
              <w:t>Pension Monitoring Center (EGM) performs the following tasks;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Daily electronic monitoring &amp; surveillance of pension company’s activities and reporting to the authorities,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Consolidation of data, based on the daily transactions of the pensions companies,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Storing standardized data for all individual accounts,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Providing information to public and participants,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Implementing the exam of intermediaries and keeping track of the electronic registries,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Meeting the demand for common presentations, training activities, software and allied subjects,</w:t>
            </w:r>
          </w:p>
          <w:p w:rsidR="007909D7" w:rsidRPr="00852C94" w:rsidRDefault="007909D7"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lang w:eastAsia="en-US"/>
              </w:rPr>
            </w:pPr>
            <w:r w:rsidRPr="00852C94">
              <w:rPr>
                <w:rFonts w:ascii="Century" w:hAnsi="Century"/>
                <w:color w:val="333333"/>
                <w:sz w:val="22"/>
                <w:szCs w:val="22"/>
                <w:lang w:eastAsia="en-US"/>
              </w:rPr>
              <w:t>Organizing data for on time intervention to possible problems.</w:t>
            </w:r>
          </w:p>
          <w:p w:rsidR="007909D7" w:rsidRPr="00852C94" w:rsidRDefault="007909D7" w:rsidP="000C1AB3">
            <w:pPr>
              <w:jc w:val="both"/>
              <w:rPr>
                <w:rFonts w:ascii="Century" w:hAnsi="Century"/>
                <w:color w:val="333333"/>
                <w:sz w:val="22"/>
                <w:szCs w:val="22"/>
              </w:rPr>
            </w:pPr>
          </w:p>
          <w:p w:rsidR="007909D7" w:rsidRPr="00852C94" w:rsidRDefault="007909D7" w:rsidP="00A3391E">
            <w:pPr>
              <w:pStyle w:val="NormalWeb"/>
              <w:spacing w:before="0" w:beforeAutospacing="0" w:after="0" w:afterAutospacing="0"/>
              <w:jc w:val="both"/>
              <w:rPr>
                <w:rFonts w:ascii="Century" w:hAnsi="Century"/>
                <w:color w:val="333333"/>
                <w:sz w:val="22"/>
                <w:szCs w:val="22"/>
                <w:lang w:eastAsia="en-US"/>
              </w:rPr>
            </w:pPr>
            <w:r w:rsidRPr="00852C94">
              <w:rPr>
                <w:rFonts w:ascii="Century" w:hAnsi="Century"/>
                <w:color w:val="333333"/>
                <w:sz w:val="22"/>
                <w:szCs w:val="22"/>
                <w:lang w:eastAsia="en-US"/>
              </w:rPr>
              <w:t xml:space="preserve">In 2012, the Law no: 4632 was amended and has taken effect after the date of 01.01.2013. The system based on the contributions paid by the participant could be deducted from the taxable income amount base has been annuled and instead, government funding (state contribution) system has been approved. According to the state contribution system, except for those paid by the employer, the government would make contribution as 25% of the amount paid by the participants until total gross minimum wage in a year basis. If the contribution paid by </w:t>
            </w:r>
            <w:r w:rsidRPr="00852C94">
              <w:rPr>
                <w:rFonts w:ascii="Century" w:hAnsi="Century"/>
                <w:color w:val="333333"/>
                <w:sz w:val="22"/>
                <w:szCs w:val="22"/>
                <w:lang w:eastAsia="en-US"/>
              </w:rPr>
              <w:lastRenderedPageBreak/>
              <w:t xml:space="preserve">participant exceeds the limit, the government would not make contribution for the exceeding part. The state contribution is transferred by the Treasury to the participants' accounts through the Pension Monitoring Center. State contribution payments is to be accounted and followed separately from the participant own funds. </w:t>
            </w:r>
          </w:p>
          <w:p w:rsidR="007909D7" w:rsidRPr="00852C94" w:rsidRDefault="007909D7" w:rsidP="00A3391E">
            <w:pPr>
              <w:pStyle w:val="NormalWeb"/>
              <w:spacing w:before="0" w:beforeAutospacing="0" w:after="0" w:afterAutospacing="0"/>
              <w:jc w:val="both"/>
              <w:rPr>
                <w:rFonts w:ascii="Century" w:hAnsi="Century"/>
                <w:color w:val="333333"/>
                <w:sz w:val="22"/>
                <w:szCs w:val="22"/>
                <w:lang w:eastAsia="en-US"/>
              </w:rPr>
            </w:pPr>
          </w:p>
          <w:p w:rsidR="007909D7" w:rsidRPr="00852C94" w:rsidRDefault="007909D7" w:rsidP="00A3391E">
            <w:pPr>
              <w:pStyle w:val="NormalWeb"/>
              <w:spacing w:before="0" w:beforeAutospacing="0" w:after="0" w:afterAutospacing="0"/>
              <w:jc w:val="both"/>
              <w:rPr>
                <w:rFonts w:ascii="Century" w:hAnsi="Century"/>
                <w:color w:val="333333"/>
                <w:sz w:val="22"/>
                <w:szCs w:val="22"/>
                <w:lang w:eastAsia="en-US"/>
              </w:rPr>
            </w:pPr>
            <w:r w:rsidRPr="00852C94">
              <w:rPr>
                <w:rFonts w:ascii="Century" w:hAnsi="Century"/>
                <w:color w:val="333333"/>
                <w:sz w:val="22"/>
                <w:szCs w:val="22"/>
                <w:lang w:eastAsia="en-US"/>
              </w:rPr>
              <w:t xml:space="preserve">The new system would encourage participants to stay longer in the system. If the participant leaves the system before 3 years, no state contribution would be gained. If the participant contributes between 3 and 6 years, 6 and 10 years and at least 10 years, he could gain 15%, 35% and 60% of state contribution, respectively. On the other hand, if the participants gain the right for retirement or leave because of permanent disability or death, all of the state contribution would be paid to the participant or beneficiaries. </w:t>
            </w:r>
          </w:p>
          <w:p w:rsidR="007909D7" w:rsidRPr="00852C94" w:rsidRDefault="007909D7" w:rsidP="00372EB0">
            <w:pPr>
              <w:jc w:val="both"/>
              <w:rPr>
                <w:rFonts w:ascii="Century" w:hAnsi="Century"/>
                <w:color w:val="333333"/>
                <w:sz w:val="22"/>
                <w:szCs w:val="22"/>
              </w:rPr>
            </w:pPr>
          </w:p>
          <w:p w:rsidR="007909D7" w:rsidRPr="00852C94" w:rsidRDefault="007909D7" w:rsidP="00055C4F">
            <w:pPr>
              <w:jc w:val="both"/>
              <w:rPr>
                <w:rFonts w:ascii="Century" w:hAnsi="Century"/>
                <w:color w:val="333333"/>
                <w:sz w:val="22"/>
                <w:szCs w:val="22"/>
              </w:rPr>
            </w:pPr>
            <w:r w:rsidRPr="00852C94">
              <w:rPr>
                <w:rFonts w:ascii="Century" w:hAnsi="Century"/>
                <w:color w:val="333333"/>
                <w:sz w:val="22"/>
                <w:szCs w:val="22"/>
              </w:rPr>
              <w:t xml:space="preserve">The statistical figures sent by the companies to Pension Monitoring Center are accessible through its website </w:t>
            </w:r>
            <w:hyperlink r:id="rId144" w:history="1">
              <w:r w:rsidRPr="00852C94">
                <w:rPr>
                  <w:rFonts w:ascii="Century" w:hAnsi="Century"/>
                  <w:color w:val="333333"/>
                  <w:sz w:val="22"/>
                  <w:szCs w:val="22"/>
                </w:rPr>
                <w:t>www.egm.org.tr</w:t>
              </w:r>
            </w:hyperlink>
            <w:r w:rsidRPr="00852C94">
              <w:rPr>
                <w:rFonts w:ascii="Century" w:hAnsi="Century"/>
                <w:color w:val="333333"/>
                <w:sz w:val="22"/>
                <w:szCs w:val="22"/>
              </w:rPr>
              <w:t>.</w:t>
            </w:r>
          </w:p>
        </w:tc>
      </w:tr>
    </w:tbl>
    <w:p w:rsidR="00D77A9E" w:rsidRPr="00B25CDA" w:rsidRDefault="00D77A9E" w:rsidP="00794426">
      <w:pPr>
        <w:rPr>
          <w:rFonts w:ascii="Century" w:hAnsi="Century"/>
        </w:rPr>
      </w:pPr>
    </w:p>
    <w:sectPr w:rsidR="00D77A9E" w:rsidRPr="00B25CDA" w:rsidSect="00C175CF">
      <w:footerReference w:type="default" r:id="rId145"/>
      <w:footerReference w:type="first" r:id="rId146"/>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85E" w:rsidRDefault="00C5685E" w:rsidP="004D36CF">
      <w:r>
        <w:separator/>
      </w:r>
    </w:p>
  </w:endnote>
  <w:endnote w:type="continuationSeparator" w:id="0">
    <w:p w:rsidR="00C5685E" w:rsidRDefault="00C5685E" w:rsidP="004D36CF">
      <w:r>
        <w:continuationSeparator/>
      </w:r>
    </w:p>
  </w:endnote>
  <w:endnote w:type="continuationNotice" w:id="1">
    <w:p w:rsidR="00C5685E" w:rsidRDefault="00C56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swiss"/>
    <w:notTrueType/>
    <w:pitch w:val="default"/>
    <w:sig w:usb0="00000007" w:usb1="00000000" w:usb2="00000000" w:usb3="00000000" w:csb0="00000011" w:csb1="00000000"/>
  </w:font>
  <w:font w:name="AbakuTLSymSans">
    <w:altName w:val="Cambria Math"/>
    <w:panose1 w:val="02000503000000000000"/>
    <w:charset w:val="00"/>
    <w:family w:val="auto"/>
    <w:pitch w:val="variable"/>
    <w:sig w:usb0="8000006F" w:usb1="00000100" w:usb2="00000000" w:usb3="00000000" w:csb0="00000013" w:csb1="00000000"/>
  </w:font>
  <w:font w:name="Arial TUR">
    <w:panose1 w:val="020B0604020202020204"/>
    <w:charset w:val="A2"/>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NewsGothicTTRURegular">
    <w:panose1 w:val="00000000000000000000"/>
    <w:charset w:val="A2"/>
    <w:family w:val="auto"/>
    <w:notTrueType/>
    <w:pitch w:val="default"/>
    <w:sig w:usb0="00000005" w:usb1="00000000" w:usb2="00000000" w:usb3="00000000" w:csb0="0000001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014" w:rsidRDefault="00874014" w:rsidP="00C116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4014" w:rsidRDefault="00874014" w:rsidP="00AB75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014" w:rsidRPr="008F69FB" w:rsidRDefault="00874014" w:rsidP="001E6F4C">
    <w:pPr>
      <w:pStyle w:val="Footer"/>
      <w:framePr w:w="646" w:wrap="around" w:vAnchor="text" w:hAnchor="page" w:x="5686" w:y="53"/>
      <w:jc w:val="center"/>
      <w:rPr>
        <w:rStyle w:val="PageNumber"/>
      </w:rPr>
    </w:pP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874014" w:rsidRPr="005D408F">
      <w:tc>
        <w:tcPr>
          <w:tcW w:w="4536" w:type="dxa"/>
        </w:tcPr>
        <w:p w:rsidR="00874014" w:rsidRPr="00C13CB9" w:rsidRDefault="00874014" w:rsidP="00AB757E">
          <w:pPr>
            <w:pStyle w:val="Footer"/>
            <w:ind w:right="360"/>
            <w:rPr>
              <w:rFonts w:ascii="Century" w:hAnsi="Century"/>
              <w:b/>
              <w:color w:val="002060"/>
              <w:sz w:val="20"/>
              <w:szCs w:val="20"/>
            </w:rPr>
          </w:pPr>
        </w:p>
      </w:tc>
      <w:tc>
        <w:tcPr>
          <w:tcW w:w="900" w:type="dxa"/>
          <w:vAlign w:val="center"/>
        </w:tcPr>
        <w:p w:rsidR="00874014" w:rsidRPr="00C13CB9" w:rsidRDefault="00874014" w:rsidP="00AB757E">
          <w:pPr>
            <w:pStyle w:val="Footer"/>
            <w:jc w:val="center"/>
            <w:rPr>
              <w:rFonts w:ascii="Century" w:hAnsi="Century"/>
              <w:b/>
              <w:i/>
              <w:color w:val="002060"/>
              <w:sz w:val="20"/>
              <w:szCs w:val="20"/>
            </w:rPr>
          </w:pPr>
        </w:p>
      </w:tc>
      <w:tc>
        <w:tcPr>
          <w:tcW w:w="4416" w:type="dxa"/>
        </w:tcPr>
        <w:p w:rsidR="00874014" w:rsidRPr="00C13CB9" w:rsidRDefault="00874014" w:rsidP="00B10D90">
          <w:pPr>
            <w:pStyle w:val="Footer"/>
            <w:jc w:val="right"/>
            <w:rPr>
              <w:rFonts w:ascii="Century" w:hAnsi="Century"/>
              <w:b/>
              <w:i/>
              <w:color w:val="002060"/>
              <w:sz w:val="20"/>
              <w:szCs w:val="20"/>
            </w:rPr>
          </w:pPr>
          <w:r w:rsidRPr="00C13CB9">
            <w:rPr>
              <w:rFonts w:ascii="Century" w:hAnsi="Century"/>
              <w:b/>
              <w:i/>
              <w:color w:val="002060"/>
              <w:sz w:val="20"/>
              <w:szCs w:val="20"/>
            </w:rPr>
            <w:t>Insurance&amp;Pension Annual Report-201</w:t>
          </w:r>
          <w:r>
            <w:rPr>
              <w:rFonts w:ascii="Century" w:hAnsi="Century"/>
              <w:b/>
              <w:i/>
              <w:color w:val="002060"/>
              <w:sz w:val="20"/>
              <w:szCs w:val="20"/>
            </w:rPr>
            <w:t>8</w:t>
          </w:r>
        </w:p>
      </w:tc>
    </w:tr>
  </w:tbl>
  <w:p w:rsidR="00874014" w:rsidRDefault="008740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014" w:rsidRPr="00A240CA" w:rsidRDefault="00874014" w:rsidP="003374E3">
    <w:pPr>
      <w:pStyle w:val="Header"/>
      <w:framePr w:w="9361" w:h="886" w:hRule="exact" w:wrap="auto" w:vAnchor="page" w:hAnchor="page" w:x="1261" w:y="15661"/>
    </w:pPr>
    <w:r>
      <w:tab/>
    </w:r>
    <w:r w:rsidRPr="00A240CA">
      <w:tab/>
      <w:t xml:space="preserve"> </w:t>
    </w:r>
  </w:p>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874014" w:rsidRPr="00735589">
      <w:tc>
        <w:tcPr>
          <w:tcW w:w="4356" w:type="dxa"/>
        </w:tcPr>
        <w:p w:rsidR="00874014" w:rsidRPr="00C13CB9" w:rsidRDefault="00874014" w:rsidP="007A59D4">
          <w:pPr>
            <w:pStyle w:val="Footer"/>
            <w:rPr>
              <w:rFonts w:ascii="Century" w:hAnsi="Century"/>
              <w:b/>
              <w:i/>
              <w:color w:val="002060"/>
              <w:sz w:val="20"/>
              <w:szCs w:val="20"/>
            </w:rPr>
          </w:pPr>
        </w:p>
      </w:tc>
      <w:tc>
        <w:tcPr>
          <w:tcW w:w="900" w:type="dxa"/>
          <w:vAlign w:val="center"/>
        </w:tcPr>
        <w:p w:rsidR="00874014" w:rsidRPr="00C13CB9" w:rsidRDefault="00874014" w:rsidP="00AB757E">
          <w:pPr>
            <w:pStyle w:val="Footer"/>
            <w:jc w:val="center"/>
            <w:rPr>
              <w:rFonts w:ascii="Century" w:hAnsi="Century"/>
              <w:b/>
              <w:i/>
              <w:color w:val="002060"/>
              <w:sz w:val="20"/>
              <w:szCs w:val="20"/>
            </w:rPr>
          </w:pPr>
        </w:p>
      </w:tc>
      <w:tc>
        <w:tcPr>
          <w:tcW w:w="4608" w:type="dxa"/>
        </w:tcPr>
        <w:p w:rsidR="00874014" w:rsidRPr="00C13CB9" w:rsidRDefault="00874014" w:rsidP="00B10D90">
          <w:pPr>
            <w:pStyle w:val="Footer"/>
            <w:jc w:val="right"/>
            <w:rPr>
              <w:rFonts w:ascii="Century" w:hAnsi="Century"/>
              <w:b/>
              <w:i/>
              <w:color w:val="002060"/>
              <w:sz w:val="20"/>
              <w:szCs w:val="20"/>
            </w:rPr>
          </w:pPr>
          <w:r w:rsidRPr="00C13CB9">
            <w:rPr>
              <w:rFonts w:ascii="Century" w:hAnsi="Century"/>
              <w:b/>
              <w:i/>
              <w:color w:val="002060"/>
              <w:sz w:val="20"/>
              <w:szCs w:val="20"/>
            </w:rPr>
            <w:t>Insurance&amp;Pension Annual Report-201</w:t>
          </w:r>
          <w:r>
            <w:rPr>
              <w:rFonts w:ascii="Century" w:hAnsi="Century"/>
              <w:b/>
              <w:i/>
              <w:color w:val="002060"/>
              <w:sz w:val="20"/>
              <w:szCs w:val="20"/>
            </w:rPr>
            <w:t>8</w:t>
          </w:r>
        </w:p>
      </w:tc>
    </w:tr>
  </w:tbl>
  <w:p w:rsidR="00874014" w:rsidRDefault="008740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014" w:rsidRPr="008B5FB4" w:rsidRDefault="00874014" w:rsidP="001E6F4C">
    <w:pPr>
      <w:pStyle w:val="Footer"/>
      <w:framePr w:w="646" w:wrap="around" w:vAnchor="text" w:hAnchor="page" w:x="5686" w:y="53"/>
      <w:jc w:val="center"/>
      <w:rPr>
        <w:rStyle w:val="PageNumber"/>
        <w:rFonts w:ascii="Century" w:hAnsi="Century"/>
        <w:color w:val="002060"/>
        <w:sz w:val="20"/>
        <w:szCs w:val="20"/>
      </w:rPr>
    </w:pPr>
    <w:r w:rsidRPr="008B5FB4">
      <w:rPr>
        <w:rStyle w:val="PageNumber"/>
        <w:rFonts w:ascii="Century" w:hAnsi="Century"/>
        <w:color w:val="002060"/>
        <w:sz w:val="20"/>
        <w:szCs w:val="20"/>
      </w:rPr>
      <w:fldChar w:fldCharType="begin"/>
    </w:r>
    <w:r w:rsidRPr="008B5FB4">
      <w:rPr>
        <w:rStyle w:val="PageNumber"/>
        <w:rFonts w:ascii="Century" w:hAnsi="Century"/>
        <w:color w:val="002060"/>
        <w:sz w:val="20"/>
        <w:szCs w:val="20"/>
      </w:rPr>
      <w:instrText xml:space="preserve"> PAGE   \* MERGEFORMAT </w:instrText>
    </w:r>
    <w:r w:rsidRPr="008B5FB4">
      <w:rPr>
        <w:rStyle w:val="PageNumber"/>
        <w:rFonts w:ascii="Century" w:hAnsi="Century"/>
        <w:color w:val="002060"/>
        <w:sz w:val="20"/>
        <w:szCs w:val="20"/>
      </w:rPr>
      <w:fldChar w:fldCharType="separate"/>
    </w:r>
    <w:r w:rsidR="00F57699">
      <w:rPr>
        <w:rStyle w:val="PageNumber"/>
        <w:rFonts w:ascii="Century" w:hAnsi="Century"/>
        <w:noProof/>
        <w:color w:val="002060"/>
        <w:sz w:val="20"/>
        <w:szCs w:val="20"/>
      </w:rPr>
      <w:t>81</w:t>
    </w:r>
    <w:r w:rsidRPr="008B5FB4">
      <w:rPr>
        <w:rStyle w:val="PageNumber"/>
        <w:rFonts w:ascii="Century" w:hAnsi="Century"/>
        <w:color w:val="002060"/>
        <w:sz w:val="20"/>
        <w:szCs w:val="20"/>
      </w:rPr>
      <w:fldChar w:fldCharType="end"/>
    </w: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874014" w:rsidRPr="008137D1">
      <w:tc>
        <w:tcPr>
          <w:tcW w:w="4536" w:type="dxa"/>
        </w:tcPr>
        <w:p w:rsidR="00874014" w:rsidRPr="00106B2E" w:rsidRDefault="00874014" w:rsidP="00AB757E">
          <w:pPr>
            <w:pStyle w:val="Footer"/>
            <w:ind w:right="360"/>
            <w:rPr>
              <w:rFonts w:ascii="Century" w:hAnsi="Century"/>
              <w:color w:val="002060"/>
              <w:sz w:val="16"/>
              <w:szCs w:val="16"/>
            </w:rPr>
          </w:pPr>
        </w:p>
      </w:tc>
      <w:tc>
        <w:tcPr>
          <w:tcW w:w="900" w:type="dxa"/>
          <w:vAlign w:val="center"/>
        </w:tcPr>
        <w:p w:rsidR="00874014" w:rsidRPr="008137D1" w:rsidRDefault="00874014" w:rsidP="00AB757E">
          <w:pPr>
            <w:pStyle w:val="Footer"/>
            <w:jc w:val="center"/>
            <w:rPr>
              <w:rFonts w:ascii="Century" w:hAnsi="Century"/>
              <w:b/>
              <w:i/>
              <w:color w:val="002060"/>
              <w:sz w:val="20"/>
              <w:szCs w:val="20"/>
            </w:rPr>
          </w:pPr>
        </w:p>
      </w:tc>
      <w:tc>
        <w:tcPr>
          <w:tcW w:w="4416" w:type="dxa"/>
        </w:tcPr>
        <w:p w:rsidR="00874014" w:rsidRPr="008137D1" w:rsidRDefault="00874014" w:rsidP="003626B2">
          <w:pPr>
            <w:pStyle w:val="Footer"/>
            <w:jc w:val="right"/>
            <w:rPr>
              <w:rFonts w:ascii="Century" w:hAnsi="Century"/>
              <w:b/>
              <w:i/>
              <w:color w:val="002060"/>
              <w:sz w:val="20"/>
              <w:szCs w:val="20"/>
            </w:rPr>
          </w:pPr>
          <w:r w:rsidRPr="008137D1">
            <w:rPr>
              <w:rFonts w:ascii="Century" w:hAnsi="Century"/>
              <w:b/>
              <w:i/>
              <w:color w:val="002060"/>
              <w:sz w:val="20"/>
              <w:szCs w:val="20"/>
            </w:rPr>
            <w:t>Insurance</w:t>
          </w:r>
          <w:r>
            <w:rPr>
              <w:rFonts w:ascii="Century" w:hAnsi="Century"/>
              <w:b/>
              <w:i/>
              <w:color w:val="002060"/>
              <w:sz w:val="20"/>
              <w:szCs w:val="20"/>
            </w:rPr>
            <w:t xml:space="preserve"> </w:t>
          </w:r>
          <w:r w:rsidRPr="008137D1">
            <w:rPr>
              <w:rFonts w:ascii="Century" w:hAnsi="Century"/>
              <w:b/>
              <w:i/>
              <w:color w:val="002060"/>
              <w:sz w:val="20"/>
              <w:szCs w:val="20"/>
            </w:rPr>
            <w:t>&amp;</w:t>
          </w:r>
          <w:r>
            <w:rPr>
              <w:rFonts w:ascii="Century" w:hAnsi="Century"/>
              <w:b/>
              <w:i/>
              <w:color w:val="002060"/>
              <w:sz w:val="20"/>
              <w:szCs w:val="20"/>
            </w:rPr>
            <w:t xml:space="preserve"> </w:t>
          </w:r>
          <w:r w:rsidRPr="008137D1">
            <w:rPr>
              <w:rFonts w:ascii="Century" w:hAnsi="Century"/>
              <w:b/>
              <w:i/>
              <w:color w:val="002060"/>
              <w:sz w:val="20"/>
              <w:szCs w:val="20"/>
            </w:rPr>
            <w:t>Pension Annual Report</w:t>
          </w:r>
          <w:r>
            <w:rPr>
              <w:rFonts w:ascii="Century" w:hAnsi="Century"/>
              <w:b/>
              <w:i/>
              <w:color w:val="002060"/>
              <w:sz w:val="20"/>
              <w:szCs w:val="20"/>
            </w:rPr>
            <w:t xml:space="preserve"> </w:t>
          </w:r>
          <w:r w:rsidRPr="008137D1">
            <w:rPr>
              <w:rFonts w:ascii="Century" w:hAnsi="Century"/>
              <w:b/>
              <w:i/>
              <w:color w:val="002060"/>
              <w:sz w:val="20"/>
              <w:szCs w:val="20"/>
            </w:rPr>
            <w:t>-</w:t>
          </w:r>
          <w:r>
            <w:rPr>
              <w:rFonts w:ascii="Century" w:hAnsi="Century"/>
              <w:b/>
              <w:i/>
              <w:color w:val="002060"/>
              <w:sz w:val="20"/>
              <w:szCs w:val="20"/>
            </w:rPr>
            <w:t xml:space="preserve"> </w:t>
          </w:r>
          <w:r w:rsidRPr="008137D1">
            <w:rPr>
              <w:rFonts w:ascii="Century" w:hAnsi="Century"/>
              <w:b/>
              <w:i/>
              <w:color w:val="002060"/>
              <w:sz w:val="20"/>
              <w:szCs w:val="20"/>
            </w:rPr>
            <w:t>201</w:t>
          </w:r>
          <w:r>
            <w:rPr>
              <w:rFonts w:ascii="Century" w:hAnsi="Century"/>
              <w:b/>
              <w:i/>
              <w:color w:val="002060"/>
              <w:sz w:val="20"/>
              <w:szCs w:val="20"/>
            </w:rPr>
            <w:t>8</w:t>
          </w:r>
        </w:p>
      </w:tc>
    </w:tr>
  </w:tbl>
  <w:p w:rsidR="00874014" w:rsidRDefault="00874014" w:rsidP="007953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874014" w:rsidRPr="00735589">
      <w:tc>
        <w:tcPr>
          <w:tcW w:w="4356" w:type="dxa"/>
        </w:tcPr>
        <w:p w:rsidR="00874014" w:rsidRPr="00787400" w:rsidRDefault="00874014" w:rsidP="007A59D4">
          <w:pPr>
            <w:pStyle w:val="Footer"/>
            <w:rPr>
              <w:rFonts w:ascii="Century" w:hAnsi="Century"/>
              <w:b/>
              <w:i/>
              <w:color w:val="002060"/>
              <w:sz w:val="20"/>
              <w:szCs w:val="20"/>
            </w:rPr>
          </w:pPr>
        </w:p>
      </w:tc>
      <w:tc>
        <w:tcPr>
          <w:tcW w:w="900" w:type="dxa"/>
          <w:vAlign w:val="center"/>
        </w:tcPr>
        <w:p w:rsidR="00874014" w:rsidRPr="008B5FB4" w:rsidRDefault="00874014" w:rsidP="00AB757E">
          <w:pPr>
            <w:pStyle w:val="Footer"/>
            <w:jc w:val="center"/>
            <w:rPr>
              <w:rFonts w:ascii="Century" w:hAnsi="Century"/>
              <w:color w:val="002060"/>
              <w:sz w:val="20"/>
              <w:szCs w:val="20"/>
            </w:rPr>
          </w:pPr>
          <w:r w:rsidRPr="008B5FB4">
            <w:rPr>
              <w:rFonts w:ascii="Century" w:hAnsi="Century"/>
              <w:color w:val="002060"/>
              <w:sz w:val="20"/>
              <w:szCs w:val="20"/>
            </w:rPr>
            <w:t>1</w:t>
          </w:r>
        </w:p>
      </w:tc>
      <w:tc>
        <w:tcPr>
          <w:tcW w:w="4608" w:type="dxa"/>
        </w:tcPr>
        <w:p w:rsidR="00874014" w:rsidRPr="00787400" w:rsidRDefault="00874014" w:rsidP="006036A6">
          <w:pPr>
            <w:pStyle w:val="Footer"/>
            <w:jc w:val="right"/>
            <w:rPr>
              <w:rFonts w:ascii="Century" w:hAnsi="Century"/>
              <w:b/>
              <w:i/>
              <w:color w:val="002060"/>
              <w:sz w:val="20"/>
              <w:szCs w:val="20"/>
            </w:rPr>
          </w:pPr>
          <w:r w:rsidRPr="00787400">
            <w:rPr>
              <w:rFonts w:ascii="Century" w:hAnsi="Century"/>
              <w:b/>
              <w:i/>
              <w:color w:val="002060"/>
              <w:sz w:val="20"/>
              <w:szCs w:val="20"/>
            </w:rPr>
            <w:t>Insurance&amp;Pension Annual Report-201</w:t>
          </w:r>
          <w:r>
            <w:rPr>
              <w:rFonts w:ascii="Century" w:hAnsi="Century"/>
              <w:b/>
              <w:i/>
              <w:color w:val="002060"/>
              <w:sz w:val="20"/>
              <w:szCs w:val="20"/>
            </w:rPr>
            <w:t>8</w:t>
          </w:r>
        </w:p>
      </w:tc>
    </w:tr>
  </w:tbl>
  <w:p w:rsidR="00874014" w:rsidRPr="00A240CA" w:rsidRDefault="00874014" w:rsidP="00B17DEB">
    <w:pPr>
      <w:pStyle w:val="Header"/>
      <w:framePr w:w="9256" w:h="376" w:hRule="exact" w:wrap="auto" w:vAnchor="page" w:hAnchor="page" w:x="1681" w:y="16216"/>
    </w:pPr>
    <w:r>
      <w:tab/>
    </w:r>
    <w:r w:rsidRPr="00A240CA">
      <w:tab/>
      <w:t xml:space="preserve"> </w:t>
    </w:r>
  </w:p>
  <w:p w:rsidR="00874014" w:rsidRDefault="00874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85E" w:rsidRDefault="00C5685E" w:rsidP="004D36CF">
      <w:r>
        <w:separator/>
      </w:r>
    </w:p>
  </w:footnote>
  <w:footnote w:type="continuationSeparator" w:id="0">
    <w:p w:rsidR="00C5685E" w:rsidRDefault="00C5685E" w:rsidP="004D36CF">
      <w:r>
        <w:continuationSeparator/>
      </w:r>
    </w:p>
  </w:footnote>
  <w:footnote w:type="continuationNotice" w:id="1">
    <w:p w:rsidR="00C5685E" w:rsidRDefault="00C568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874014" w:rsidRPr="000F1870">
      <w:tc>
        <w:tcPr>
          <w:tcW w:w="4536" w:type="dxa"/>
        </w:tcPr>
        <w:p w:rsidR="00874014" w:rsidRPr="00787400" w:rsidRDefault="00874014" w:rsidP="00C1162C">
          <w:pPr>
            <w:pStyle w:val="Footer"/>
            <w:ind w:right="360"/>
            <w:rPr>
              <w:rFonts w:ascii="Century" w:hAnsi="Century"/>
              <w:b/>
              <w:color w:val="002060"/>
              <w:sz w:val="20"/>
              <w:szCs w:val="20"/>
            </w:rPr>
          </w:pPr>
        </w:p>
      </w:tc>
      <w:tc>
        <w:tcPr>
          <w:tcW w:w="900" w:type="dxa"/>
          <w:vAlign w:val="center"/>
        </w:tcPr>
        <w:p w:rsidR="00874014" w:rsidRPr="00787400" w:rsidRDefault="00874014" w:rsidP="00C1162C">
          <w:pPr>
            <w:pStyle w:val="Footer"/>
            <w:jc w:val="center"/>
            <w:rPr>
              <w:rFonts w:ascii="Century" w:hAnsi="Century"/>
              <w:b/>
              <w:i/>
              <w:color w:val="002060"/>
              <w:sz w:val="20"/>
              <w:szCs w:val="20"/>
            </w:rPr>
          </w:pPr>
        </w:p>
      </w:tc>
      <w:tc>
        <w:tcPr>
          <w:tcW w:w="4416" w:type="dxa"/>
        </w:tcPr>
        <w:p w:rsidR="00874014" w:rsidRPr="00787400" w:rsidRDefault="00874014" w:rsidP="00B10D90">
          <w:pPr>
            <w:pStyle w:val="Footer"/>
            <w:jc w:val="right"/>
            <w:rPr>
              <w:rFonts w:ascii="Century" w:hAnsi="Century"/>
              <w:b/>
              <w:color w:val="002060"/>
              <w:sz w:val="20"/>
              <w:szCs w:val="20"/>
              <w:lang w:val="es-ES"/>
            </w:rPr>
          </w:pPr>
          <w:r>
            <w:rPr>
              <w:rFonts w:ascii="Century" w:hAnsi="Century"/>
              <w:b/>
              <w:color w:val="002060"/>
              <w:sz w:val="20"/>
              <w:szCs w:val="20"/>
              <w:lang w:val="es-ES"/>
            </w:rPr>
            <w:t xml:space="preserve"> </w:t>
          </w:r>
          <w:r w:rsidRPr="00787400">
            <w:rPr>
              <w:rFonts w:ascii="Century" w:hAnsi="Century"/>
              <w:b/>
              <w:color w:val="002060"/>
              <w:sz w:val="20"/>
              <w:szCs w:val="20"/>
              <w:lang w:val="es-ES"/>
            </w:rPr>
            <w:t>Sigortacılık ve BES Faaliyet Raporu</w:t>
          </w:r>
          <w:r>
            <w:rPr>
              <w:rFonts w:ascii="Century" w:hAnsi="Century"/>
              <w:b/>
              <w:color w:val="002060"/>
              <w:sz w:val="20"/>
              <w:szCs w:val="20"/>
              <w:lang w:val="es-ES"/>
            </w:rPr>
            <w:t xml:space="preserve"> </w:t>
          </w:r>
          <w:r w:rsidRPr="00787400">
            <w:rPr>
              <w:rFonts w:ascii="Century" w:hAnsi="Century"/>
              <w:b/>
              <w:color w:val="002060"/>
              <w:sz w:val="20"/>
              <w:szCs w:val="20"/>
              <w:lang w:val="es-ES"/>
            </w:rPr>
            <w:t>-</w:t>
          </w:r>
          <w:r>
            <w:rPr>
              <w:rFonts w:ascii="Century" w:hAnsi="Century"/>
              <w:b/>
              <w:color w:val="002060"/>
              <w:sz w:val="20"/>
              <w:szCs w:val="20"/>
              <w:lang w:val="es-ES"/>
            </w:rPr>
            <w:t xml:space="preserve"> </w:t>
          </w:r>
          <w:r w:rsidRPr="00787400">
            <w:rPr>
              <w:rFonts w:ascii="Century" w:hAnsi="Century"/>
              <w:b/>
              <w:color w:val="002060"/>
              <w:sz w:val="20"/>
              <w:szCs w:val="20"/>
              <w:lang w:val="es-ES"/>
            </w:rPr>
            <w:t>201</w:t>
          </w:r>
          <w:r>
            <w:rPr>
              <w:rFonts w:ascii="Century" w:hAnsi="Century"/>
              <w:b/>
              <w:color w:val="002060"/>
              <w:sz w:val="20"/>
              <w:szCs w:val="20"/>
              <w:lang w:val="es-ES"/>
            </w:rPr>
            <w:t>8</w:t>
          </w:r>
        </w:p>
      </w:tc>
    </w:tr>
  </w:tbl>
  <w:p w:rsidR="00874014" w:rsidRPr="000F1870" w:rsidRDefault="00874014" w:rsidP="00327B97">
    <w:pPr>
      <w:pStyle w:val="Header"/>
      <w:tabs>
        <w:tab w:val="clear" w:pos="4513"/>
        <w:tab w:val="clear" w:pos="9026"/>
        <w:tab w:val="left" w:pos="3041"/>
      </w:tabs>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874014" w:rsidRPr="000F1870" w:rsidTr="00A162D9">
      <w:tc>
        <w:tcPr>
          <w:tcW w:w="4536" w:type="dxa"/>
        </w:tcPr>
        <w:p w:rsidR="00874014" w:rsidRPr="00787400" w:rsidRDefault="00874014" w:rsidP="00A162D9">
          <w:pPr>
            <w:pStyle w:val="Footer"/>
            <w:ind w:right="360"/>
            <w:rPr>
              <w:rFonts w:ascii="Century" w:hAnsi="Century"/>
              <w:b/>
              <w:color w:val="002060"/>
              <w:sz w:val="20"/>
              <w:szCs w:val="20"/>
            </w:rPr>
          </w:pPr>
        </w:p>
      </w:tc>
      <w:tc>
        <w:tcPr>
          <w:tcW w:w="900" w:type="dxa"/>
          <w:vAlign w:val="center"/>
        </w:tcPr>
        <w:p w:rsidR="00874014" w:rsidRPr="00787400" w:rsidRDefault="00874014" w:rsidP="00A162D9">
          <w:pPr>
            <w:pStyle w:val="Footer"/>
            <w:jc w:val="center"/>
            <w:rPr>
              <w:rFonts w:ascii="Century" w:hAnsi="Century"/>
              <w:b/>
              <w:i/>
              <w:color w:val="002060"/>
              <w:sz w:val="20"/>
              <w:szCs w:val="20"/>
            </w:rPr>
          </w:pPr>
        </w:p>
      </w:tc>
      <w:tc>
        <w:tcPr>
          <w:tcW w:w="4416" w:type="dxa"/>
        </w:tcPr>
        <w:p w:rsidR="00874014" w:rsidRPr="00787400" w:rsidRDefault="00874014" w:rsidP="006036A6">
          <w:pPr>
            <w:pStyle w:val="Footer"/>
            <w:jc w:val="right"/>
            <w:rPr>
              <w:rFonts w:ascii="Century" w:hAnsi="Century"/>
              <w:b/>
              <w:color w:val="002060"/>
              <w:sz w:val="20"/>
              <w:szCs w:val="20"/>
              <w:lang w:val="es-ES"/>
            </w:rPr>
          </w:pPr>
          <w:r>
            <w:rPr>
              <w:rFonts w:ascii="Century" w:hAnsi="Century"/>
              <w:b/>
              <w:color w:val="002060"/>
              <w:sz w:val="20"/>
              <w:szCs w:val="20"/>
              <w:lang w:val="es-ES"/>
            </w:rPr>
            <w:t xml:space="preserve"> </w:t>
          </w:r>
          <w:r w:rsidRPr="00787400">
            <w:rPr>
              <w:rFonts w:ascii="Century" w:hAnsi="Century"/>
              <w:b/>
              <w:color w:val="002060"/>
              <w:sz w:val="20"/>
              <w:szCs w:val="20"/>
              <w:lang w:val="es-ES"/>
            </w:rPr>
            <w:t>Sigortacılık ve BES Faaliyet Raporu</w:t>
          </w:r>
          <w:r>
            <w:rPr>
              <w:rFonts w:ascii="Century" w:hAnsi="Century"/>
              <w:b/>
              <w:color w:val="002060"/>
              <w:sz w:val="20"/>
              <w:szCs w:val="20"/>
              <w:lang w:val="es-ES"/>
            </w:rPr>
            <w:t xml:space="preserve"> </w:t>
          </w:r>
          <w:r w:rsidRPr="00787400">
            <w:rPr>
              <w:rFonts w:ascii="Century" w:hAnsi="Century"/>
              <w:b/>
              <w:color w:val="002060"/>
              <w:sz w:val="20"/>
              <w:szCs w:val="20"/>
              <w:lang w:val="es-ES"/>
            </w:rPr>
            <w:t>-</w:t>
          </w:r>
          <w:r>
            <w:rPr>
              <w:rFonts w:ascii="Century" w:hAnsi="Century"/>
              <w:b/>
              <w:color w:val="002060"/>
              <w:sz w:val="20"/>
              <w:szCs w:val="20"/>
              <w:lang w:val="es-ES"/>
            </w:rPr>
            <w:t xml:space="preserve"> </w:t>
          </w:r>
          <w:r w:rsidRPr="00787400">
            <w:rPr>
              <w:rFonts w:ascii="Century" w:hAnsi="Century"/>
              <w:b/>
              <w:color w:val="002060"/>
              <w:sz w:val="20"/>
              <w:szCs w:val="20"/>
              <w:lang w:val="es-ES"/>
            </w:rPr>
            <w:t>201</w:t>
          </w:r>
          <w:r>
            <w:rPr>
              <w:rFonts w:ascii="Century" w:hAnsi="Century"/>
              <w:b/>
              <w:color w:val="002060"/>
              <w:sz w:val="20"/>
              <w:szCs w:val="20"/>
              <w:lang w:val="es-ES"/>
            </w:rPr>
            <w:t>8</w:t>
          </w:r>
        </w:p>
      </w:tc>
    </w:tr>
  </w:tbl>
  <w:p w:rsidR="00874014" w:rsidRDefault="008740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3380"/>
    <w:multiLevelType w:val="hybridMultilevel"/>
    <w:tmpl w:val="0BC49E3E"/>
    <w:lvl w:ilvl="0" w:tplc="43F43E24">
      <w:start w:val="1"/>
      <w:numFmt w:val="decimal"/>
      <w:lvlText w:val="%1."/>
      <w:lvlJc w:val="left"/>
      <w:pPr>
        <w:ind w:left="720" w:hanging="360"/>
      </w:pPr>
      <w:rPr>
        <w:rFonts w:hint="default"/>
        <w:b/>
        <w:color w:val="002060"/>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D957EB"/>
    <w:multiLevelType w:val="multilevel"/>
    <w:tmpl w:val="EA1A8536"/>
    <w:lvl w:ilvl="0">
      <w:start w:val="3"/>
      <w:numFmt w:val="decimal"/>
      <w:lvlText w:val="%1."/>
      <w:lvlJc w:val="left"/>
      <w:pPr>
        <w:ind w:left="660" w:hanging="660"/>
      </w:pPr>
      <w:rPr>
        <w:rFonts w:hint="default"/>
      </w:rPr>
    </w:lvl>
    <w:lvl w:ilvl="1">
      <w:start w:val="1"/>
      <w:numFmt w:val="decimal"/>
      <w:lvlText w:val="%1.%2."/>
      <w:lvlJc w:val="left"/>
      <w:pPr>
        <w:ind w:left="1205" w:hanging="660"/>
      </w:pPr>
      <w:rPr>
        <w:rFonts w:hint="default"/>
      </w:rPr>
    </w:lvl>
    <w:lvl w:ilvl="2">
      <w:start w:val="7"/>
      <w:numFmt w:val="decimal"/>
      <w:lvlText w:val="%1.%2.%3."/>
      <w:lvlJc w:val="left"/>
      <w:pPr>
        <w:ind w:left="1810" w:hanging="720"/>
      </w:pPr>
      <w:rPr>
        <w:rFonts w:hint="default"/>
      </w:rPr>
    </w:lvl>
    <w:lvl w:ilvl="3">
      <w:start w:val="1"/>
      <w:numFmt w:val="decimal"/>
      <w:lvlText w:val="%1.%2.7.%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6160" w:hanging="1800"/>
      </w:pPr>
      <w:rPr>
        <w:rFonts w:hint="default"/>
      </w:rPr>
    </w:lvl>
  </w:abstractNum>
  <w:abstractNum w:abstractNumId="2">
    <w:nsid w:val="117556E1"/>
    <w:multiLevelType w:val="hybridMultilevel"/>
    <w:tmpl w:val="6B2AA8DA"/>
    <w:lvl w:ilvl="0" w:tplc="205A8EBC">
      <w:start w:val="2012"/>
      <w:numFmt w:val="bullet"/>
      <w:lvlText w:val="-"/>
      <w:lvlJc w:val="left"/>
      <w:pPr>
        <w:ind w:left="465" w:hanging="360"/>
      </w:pPr>
      <w:rPr>
        <w:rFonts w:ascii="Century" w:eastAsia="Times New Roman" w:hAnsi="Century" w:cs="Arial" w:hint="default"/>
      </w:rPr>
    </w:lvl>
    <w:lvl w:ilvl="1" w:tplc="041F0003" w:tentative="1">
      <w:start w:val="1"/>
      <w:numFmt w:val="bullet"/>
      <w:lvlText w:val="o"/>
      <w:lvlJc w:val="left"/>
      <w:pPr>
        <w:ind w:left="1185" w:hanging="360"/>
      </w:pPr>
      <w:rPr>
        <w:rFonts w:ascii="Courier New" w:hAnsi="Courier New" w:cs="Courier New" w:hint="default"/>
      </w:rPr>
    </w:lvl>
    <w:lvl w:ilvl="2" w:tplc="041F0005" w:tentative="1">
      <w:start w:val="1"/>
      <w:numFmt w:val="bullet"/>
      <w:lvlText w:val=""/>
      <w:lvlJc w:val="left"/>
      <w:pPr>
        <w:ind w:left="1905" w:hanging="360"/>
      </w:pPr>
      <w:rPr>
        <w:rFonts w:ascii="Wingdings" w:hAnsi="Wingdings" w:hint="default"/>
      </w:rPr>
    </w:lvl>
    <w:lvl w:ilvl="3" w:tplc="041F0001" w:tentative="1">
      <w:start w:val="1"/>
      <w:numFmt w:val="bullet"/>
      <w:lvlText w:val=""/>
      <w:lvlJc w:val="left"/>
      <w:pPr>
        <w:ind w:left="2625" w:hanging="360"/>
      </w:pPr>
      <w:rPr>
        <w:rFonts w:ascii="Symbol" w:hAnsi="Symbol" w:hint="default"/>
      </w:rPr>
    </w:lvl>
    <w:lvl w:ilvl="4" w:tplc="041F0003" w:tentative="1">
      <w:start w:val="1"/>
      <w:numFmt w:val="bullet"/>
      <w:lvlText w:val="o"/>
      <w:lvlJc w:val="left"/>
      <w:pPr>
        <w:ind w:left="3345" w:hanging="360"/>
      </w:pPr>
      <w:rPr>
        <w:rFonts w:ascii="Courier New" w:hAnsi="Courier New" w:cs="Courier New" w:hint="default"/>
      </w:rPr>
    </w:lvl>
    <w:lvl w:ilvl="5" w:tplc="041F0005" w:tentative="1">
      <w:start w:val="1"/>
      <w:numFmt w:val="bullet"/>
      <w:lvlText w:val=""/>
      <w:lvlJc w:val="left"/>
      <w:pPr>
        <w:ind w:left="4065" w:hanging="360"/>
      </w:pPr>
      <w:rPr>
        <w:rFonts w:ascii="Wingdings" w:hAnsi="Wingdings" w:hint="default"/>
      </w:rPr>
    </w:lvl>
    <w:lvl w:ilvl="6" w:tplc="041F0001" w:tentative="1">
      <w:start w:val="1"/>
      <w:numFmt w:val="bullet"/>
      <w:lvlText w:val=""/>
      <w:lvlJc w:val="left"/>
      <w:pPr>
        <w:ind w:left="4785" w:hanging="360"/>
      </w:pPr>
      <w:rPr>
        <w:rFonts w:ascii="Symbol" w:hAnsi="Symbol" w:hint="default"/>
      </w:rPr>
    </w:lvl>
    <w:lvl w:ilvl="7" w:tplc="041F0003" w:tentative="1">
      <w:start w:val="1"/>
      <w:numFmt w:val="bullet"/>
      <w:lvlText w:val="o"/>
      <w:lvlJc w:val="left"/>
      <w:pPr>
        <w:ind w:left="5505" w:hanging="360"/>
      </w:pPr>
      <w:rPr>
        <w:rFonts w:ascii="Courier New" w:hAnsi="Courier New" w:cs="Courier New" w:hint="default"/>
      </w:rPr>
    </w:lvl>
    <w:lvl w:ilvl="8" w:tplc="041F0005" w:tentative="1">
      <w:start w:val="1"/>
      <w:numFmt w:val="bullet"/>
      <w:lvlText w:val=""/>
      <w:lvlJc w:val="left"/>
      <w:pPr>
        <w:ind w:left="6225" w:hanging="360"/>
      </w:pPr>
      <w:rPr>
        <w:rFonts w:ascii="Wingdings" w:hAnsi="Wingdings" w:hint="default"/>
      </w:rPr>
    </w:lvl>
  </w:abstractNum>
  <w:abstractNum w:abstractNumId="3">
    <w:nsid w:val="13880DD5"/>
    <w:multiLevelType w:val="hybridMultilevel"/>
    <w:tmpl w:val="C98E070C"/>
    <w:lvl w:ilvl="0" w:tplc="8996BB3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C396F25"/>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203F3AF7"/>
    <w:multiLevelType w:val="hybridMultilevel"/>
    <w:tmpl w:val="6CE89F30"/>
    <w:lvl w:ilvl="0" w:tplc="E1EC9944">
      <w:start w:val="1"/>
      <w:numFmt w:val="low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24237B31"/>
    <w:multiLevelType w:val="hybridMultilevel"/>
    <w:tmpl w:val="635C333C"/>
    <w:lvl w:ilvl="0" w:tplc="ED5C66A0">
      <w:start w:val="1"/>
      <w:numFmt w:val="decimal"/>
      <w:lvlText w:val="%1."/>
      <w:lvlJc w:val="left"/>
      <w:pPr>
        <w:ind w:left="720" w:hanging="360"/>
      </w:pPr>
      <w:rPr>
        <w:rFonts w:hint="default"/>
        <w:b/>
        <w:color w:val="auto"/>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056A29"/>
    <w:multiLevelType w:val="multilevel"/>
    <w:tmpl w:val="A2EA6248"/>
    <w:lvl w:ilvl="0">
      <w:start w:val="4"/>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252B2EBA"/>
    <w:multiLevelType w:val="hybridMultilevel"/>
    <w:tmpl w:val="BD62F59A"/>
    <w:lvl w:ilvl="0" w:tplc="5E6001EA">
      <w:start w:val="1"/>
      <w:numFmt w:val="lowerLetter"/>
      <w:lvlText w:val="%1)"/>
      <w:lvlJc w:val="left"/>
      <w:pPr>
        <w:ind w:left="387" w:hanging="360"/>
      </w:pPr>
      <w:rPr>
        <w:rFonts w:hint="default"/>
      </w:rPr>
    </w:lvl>
    <w:lvl w:ilvl="1" w:tplc="041F0019" w:tentative="1">
      <w:start w:val="1"/>
      <w:numFmt w:val="lowerLetter"/>
      <w:lvlText w:val="%2."/>
      <w:lvlJc w:val="left"/>
      <w:pPr>
        <w:ind w:left="1107" w:hanging="360"/>
      </w:pPr>
    </w:lvl>
    <w:lvl w:ilvl="2" w:tplc="041F001B" w:tentative="1">
      <w:start w:val="1"/>
      <w:numFmt w:val="lowerRoman"/>
      <w:lvlText w:val="%3."/>
      <w:lvlJc w:val="right"/>
      <w:pPr>
        <w:ind w:left="1827" w:hanging="180"/>
      </w:pPr>
    </w:lvl>
    <w:lvl w:ilvl="3" w:tplc="041F000F" w:tentative="1">
      <w:start w:val="1"/>
      <w:numFmt w:val="decimal"/>
      <w:lvlText w:val="%4."/>
      <w:lvlJc w:val="left"/>
      <w:pPr>
        <w:ind w:left="2547" w:hanging="360"/>
      </w:pPr>
    </w:lvl>
    <w:lvl w:ilvl="4" w:tplc="041F0019" w:tentative="1">
      <w:start w:val="1"/>
      <w:numFmt w:val="lowerLetter"/>
      <w:lvlText w:val="%5."/>
      <w:lvlJc w:val="left"/>
      <w:pPr>
        <w:ind w:left="3267" w:hanging="360"/>
      </w:pPr>
    </w:lvl>
    <w:lvl w:ilvl="5" w:tplc="041F001B" w:tentative="1">
      <w:start w:val="1"/>
      <w:numFmt w:val="lowerRoman"/>
      <w:lvlText w:val="%6."/>
      <w:lvlJc w:val="right"/>
      <w:pPr>
        <w:ind w:left="3987" w:hanging="180"/>
      </w:pPr>
    </w:lvl>
    <w:lvl w:ilvl="6" w:tplc="041F000F" w:tentative="1">
      <w:start w:val="1"/>
      <w:numFmt w:val="decimal"/>
      <w:lvlText w:val="%7."/>
      <w:lvlJc w:val="left"/>
      <w:pPr>
        <w:ind w:left="4707" w:hanging="360"/>
      </w:pPr>
    </w:lvl>
    <w:lvl w:ilvl="7" w:tplc="041F0019" w:tentative="1">
      <w:start w:val="1"/>
      <w:numFmt w:val="lowerLetter"/>
      <w:lvlText w:val="%8."/>
      <w:lvlJc w:val="left"/>
      <w:pPr>
        <w:ind w:left="5427" w:hanging="360"/>
      </w:pPr>
    </w:lvl>
    <w:lvl w:ilvl="8" w:tplc="041F001B" w:tentative="1">
      <w:start w:val="1"/>
      <w:numFmt w:val="lowerRoman"/>
      <w:lvlText w:val="%9."/>
      <w:lvlJc w:val="right"/>
      <w:pPr>
        <w:ind w:left="6147" w:hanging="180"/>
      </w:pPr>
    </w:lvl>
  </w:abstractNum>
  <w:abstractNum w:abstractNumId="9">
    <w:nsid w:val="27E834F1"/>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2F272700"/>
    <w:multiLevelType w:val="hybridMultilevel"/>
    <w:tmpl w:val="5896F7CE"/>
    <w:lvl w:ilvl="0" w:tplc="44CEF9B0">
      <w:start w:val="2012"/>
      <w:numFmt w:val="bullet"/>
      <w:lvlText w:val="-"/>
      <w:lvlJc w:val="left"/>
      <w:pPr>
        <w:ind w:left="510" w:hanging="360"/>
      </w:pPr>
      <w:rPr>
        <w:rFonts w:ascii="Century" w:eastAsia="Times New Roman" w:hAnsi="Century" w:cs="Arial" w:hint="default"/>
      </w:rPr>
    </w:lvl>
    <w:lvl w:ilvl="1" w:tplc="041F0003" w:tentative="1">
      <w:start w:val="1"/>
      <w:numFmt w:val="bullet"/>
      <w:lvlText w:val="o"/>
      <w:lvlJc w:val="left"/>
      <w:pPr>
        <w:ind w:left="1230" w:hanging="360"/>
      </w:pPr>
      <w:rPr>
        <w:rFonts w:ascii="Courier New" w:hAnsi="Courier New" w:cs="Courier New" w:hint="default"/>
      </w:rPr>
    </w:lvl>
    <w:lvl w:ilvl="2" w:tplc="041F0005" w:tentative="1">
      <w:start w:val="1"/>
      <w:numFmt w:val="bullet"/>
      <w:lvlText w:val=""/>
      <w:lvlJc w:val="left"/>
      <w:pPr>
        <w:ind w:left="1950" w:hanging="360"/>
      </w:pPr>
      <w:rPr>
        <w:rFonts w:ascii="Wingdings" w:hAnsi="Wingdings" w:hint="default"/>
      </w:rPr>
    </w:lvl>
    <w:lvl w:ilvl="3" w:tplc="041F0001" w:tentative="1">
      <w:start w:val="1"/>
      <w:numFmt w:val="bullet"/>
      <w:lvlText w:val=""/>
      <w:lvlJc w:val="left"/>
      <w:pPr>
        <w:ind w:left="2670" w:hanging="360"/>
      </w:pPr>
      <w:rPr>
        <w:rFonts w:ascii="Symbol" w:hAnsi="Symbol" w:hint="default"/>
      </w:rPr>
    </w:lvl>
    <w:lvl w:ilvl="4" w:tplc="041F0003" w:tentative="1">
      <w:start w:val="1"/>
      <w:numFmt w:val="bullet"/>
      <w:lvlText w:val="o"/>
      <w:lvlJc w:val="left"/>
      <w:pPr>
        <w:ind w:left="3390" w:hanging="360"/>
      </w:pPr>
      <w:rPr>
        <w:rFonts w:ascii="Courier New" w:hAnsi="Courier New" w:cs="Courier New" w:hint="default"/>
      </w:rPr>
    </w:lvl>
    <w:lvl w:ilvl="5" w:tplc="041F0005" w:tentative="1">
      <w:start w:val="1"/>
      <w:numFmt w:val="bullet"/>
      <w:lvlText w:val=""/>
      <w:lvlJc w:val="left"/>
      <w:pPr>
        <w:ind w:left="4110" w:hanging="360"/>
      </w:pPr>
      <w:rPr>
        <w:rFonts w:ascii="Wingdings" w:hAnsi="Wingdings" w:hint="default"/>
      </w:rPr>
    </w:lvl>
    <w:lvl w:ilvl="6" w:tplc="041F0001" w:tentative="1">
      <w:start w:val="1"/>
      <w:numFmt w:val="bullet"/>
      <w:lvlText w:val=""/>
      <w:lvlJc w:val="left"/>
      <w:pPr>
        <w:ind w:left="4830" w:hanging="360"/>
      </w:pPr>
      <w:rPr>
        <w:rFonts w:ascii="Symbol" w:hAnsi="Symbol" w:hint="default"/>
      </w:rPr>
    </w:lvl>
    <w:lvl w:ilvl="7" w:tplc="041F0003" w:tentative="1">
      <w:start w:val="1"/>
      <w:numFmt w:val="bullet"/>
      <w:lvlText w:val="o"/>
      <w:lvlJc w:val="left"/>
      <w:pPr>
        <w:ind w:left="5550" w:hanging="360"/>
      </w:pPr>
      <w:rPr>
        <w:rFonts w:ascii="Courier New" w:hAnsi="Courier New" w:cs="Courier New" w:hint="default"/>
      </w:rPr>
    </w:lvl>
    <w:lvl w:ilvl="8" w:tplc="041F0005" w:tentative="1">
      <w:start w:val="1"/>
      <w:numFmt w:val="bullet"/>
      <w:lvlText w:val=""/>
      <w:lvlJc w:val="left"/>
      <w:pPr>
        <w:ind w:left="6270" w:hanging="360"/>
      </w:pPr>
      <w:rPr>
        <w:rFonts w:ascii="Wingdings" w:hAnsi="Wingdings" w:hint="default"/>
      </w:rPr>
    </w:lvl>
  </w:abstractNum>
  <w:abstractNum w:abstractNumId="11">
    <w:nsid w:val="30D35D23"/>
    <w:multiLevelType w:val="multilevel"/>
    <w:tmpl w:val="967ECD66"/>
    <w:lvl w:ilvl="0">
      <w:start w:val="3"/>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316F3D21"/>
    <w:multiLevelType w:val="hybridMultilevel"/>
    <w:tmpl w:val="1228F2D0"/>
    <w:lvl w:ilvl="0" w:tplc="24704BB6">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150411C"/>
    <w:multiLevelType w:val="multilevel"/>
    <w:tmpl w:val="E048B3D8"/>
    <w:lvl w:ilvl="0">
      <w:start w:val="3"/>
      <w:numFmt w:val="decimal"/>
      <w:lvlText w:val="%1"/>
      <w:lvlJc w:val="left"/>
      <w:pPr>
        <w:ind w:left="435" w:hanging="435"/>
      </w:pPr>
      <w:rPr>
        <w:rFonts w:hint="default"/>
      </w:rPr>
    </w:lvl>
    <w:lvl w:ilvl="1">
      <w:start w:val="2"/>
      <w:numFmt w:val="decimal"/>
      <w:lvlText w:val="%1.%2"/>
      <w:lvlJc w:val="left"/>
      <w:pPr>
        <w:ind w:left="967" w:hanging="435"/>
      </w:pPr>
      <w:rPr>
        <w:rFonts w:hint="default"/>
      </w:rPr>
    </w:lvl>
    <w:lvl w:ilvl="2">
      <w:start w:val="1"/>
      <w:numFmt w:val="decimal"/>
      <w:lvlText w:val="3.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14">
    <w:nsid w:val="56AD6B97"/>
    <w:multiLevelType w:val="hybridMultilevel"/>
    <w:tmpl w:val="C30E9AAE"/>
    <w:lvl w:ilvl="0" w:tplc="A2DEAFD4">
      <w:start w:val="1"/>
      <w:numFmt w:val="lowerLetter"/>
      <w:lvlText w:val="%1)"/>
      <w:lvlJc w:val="left"/>
      <w:pPr>
        <w:tabs>
          <w:tab w:val="num" w:pos="720"/>
        </w:tabs>
        <w:ind w:left="720" w:hanging="360"/>
      </w:pPr>
      <w:rPr>
        <w:rFonts w:ascii="Century" w:hAnsi="Century"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B6C1938"/>
    <w:multiLevelType w:val="hybridMultilevel"/>
    <w:tmpl w:val="1504AA8E"/>
    <w:lvl w:ilvl="0" w:tplc="8DE4E1FC">
      <w:start w:val="1"/>
      <w:numFmt w:val="lowerLetter"/>
      <w:lvlText w:val="%1)"/>
      <w:lvlJc w:val="left"/>
      <w:pPr>
        <w:tabs>
          <w:tab w:val="num" w:pos="720"/>
        </w:tabs>
        <w:ind w:left="720" w:hanging="21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7045201"/>
    <w:multiLevelType w:val="multilevel"/>
    <w:tmpl w:val="C5F6FAC2"/>
    <w:lvl w:ilvl="0">
      <w:start w:val="1"/>
      <w:numFmt w:val="decimal"/>
      <w:pStyle w:val="Style2"/>
      <w:lvlText w:val="%1."/>
      <w:lvlJc w:val="left"/>
      <w:pPr>
        <w:tabs>
          <w:tab w:val="num" w:pos="752"/>
        </w:tabs>
        <w:ind w:left="180"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4"/>
        <w:szCs w:val="24"/>
        <w:u w:val="none"/>
        <w:effect w:val="none"/>
        <w:vertAlign w:val="baseline"/>
        <w:em w:val="none"/>
        <w:specVanish w:val="0"/>
      </w:rPr>
    </w:lvl>
    <w:lvl w:ilvl="1">
      <w:start w:val="1"/>
      <w:numFmt w:val="decimal"/>
      <w:pStyle w:val="Heading2"/>
      <w:lvlText w:val="%1.%2."/>
      <w:lvlJc w:val="left"/>
      <w:pPr>
        <w:tabs>
          <w:tab w:val="num" w:pos="860"/>
        </w:tabs>
        <w:ind w:left="284"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2"/>
        <w:szCs w:val="22"/>
        <w:u w:val="none"/>
        <w:effect w:val="none"/>
        <w:vertAlign w:val="baseline"/>
        <w:em w:val="none"/>
        <w:specVanish w:val="0"/>
      </w:rPr>
    </w:lvl>
    <w:lvl w:ilvl="2">
      <w:start w:val="1"/>
      <w:numFmt w:val="decimal"/>
      <w:pStyle w:val="Heading3"/>
      <w:suff w:val="space"/>
      <w:lvlText w:val="%1.%2.%3."/>
      <w:lvlJc w:val="left"/>
      <w:pPr>
        <w:ind w:left="1701"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2"/>
        <w:szCs w:val="22"/>
        <w:u w:val="none"/>
        <w:effect w:val="none"/>
        <w:vertAlign w:val="baseline"/>
        <w:em w:val="none"/>
        <w:specVanish w:val="0"/>
      </w:rPr>
    </w:lvl>
    <w:lvl w:ilvl="3">
      <w:start w:val="1"/>
      <w:numFmt w:val="decimal"/>
      <w:lvlText w:val="1.5.2.%4."/>
      <w:lvlJc w:val="left"/>
      <w:pPr>
        <w:tabs>
          <w:tab w:val="num" w:pos="1573"/>
        </w:tabs>
        <w:ind w:left="1573" w:hanging="864"/>
      </w:pPr>
      <w:rPr>
        <w:rFonts w:hint="default"/>
        <w:b/>
        <w:bCs w:val="0"/>
        <w:i w:val="0"/>
        <w:iCs w:val="0"/>
        <w:caps w:val="0"/>
        <w:smallCaps w:val="0"/>
        <w:strike w:val="0"/>
        <w:dstrike w:val="0"/>
        <w:noProof w:val="0"/>
        <w:vanish w:val="0"/>
        <w:color w:val="000080"/>
        <w:spacing w:val="0"/>
        <w:kern w:val="0"/>
        <w:position w:val="0"/>
        <w:sz w:val="24"/>
        <w:szCs w:val="24"/>
        <w:u w:val="none"/>
        <w:effect w:val="none"/>
        <w:vertAlign w:val="baseline"/>
        <w:em w:val="none"/>
        <w:specVanish w:val="0"/>
      </w:rPr>
    </w:lvl>
    <w:lvl w:ilvl="4">
      <w:start w:val="1"/>
      <w:numFmt w:val="decimal"/>
      <w:pStyle w:val="Heading5"/>
      <w:lvlText w:val="%1.%2.%3.%4.%5"/>
      <w:lvlJc w:val="left"/>
      <w:pPr>
        <w:tabs>
          <w:tab w:val="num" w:pos="1277"/>
        </w:tabs>
        <w:ind w:left="1277" w:hanging="1008"/>
      </w:pPr>
      <w:rPr>
        <w:rFonts w:hint="default"/>
      </w:rPr>
    </w:lvl>
    <w:lvl w:ilvl="5">
      <w:start w:val="1"/>
      <w:numFmt w:val="decimal"/>
      <w:pStyle w:val="Heading6"/>
      <w:lvlText w:val="%1.%2.%3.%4.%5.%6"/>
      <w:lvlJc w:val="left"/>
      <w:pPr>
        <w:tabs>
          <w:tab w:val="num" w:pos="1421"/>
        </w:tabs>
        <w:ind w:left="1421" w:hanging="1152"/>
      </w:pPr>
      <w:rPr>
        <w:rFonts w:hint="default"/>
      </w:rPr>
    </w:lvl>
    <w:lvl w:ilvl="6">
      <w:start w:val="1"/>
      <w:numFmt w:val="decimal"/>
      <w:pStyle w:val="Heading7"/>
      <w:lvlText w:val="%1.%2.%3.%4.%5.%6.%7"/>
      <w:lvlJc w:val="left"/>
      <w:pPr>
        <w:tabs>
          <w:tab w:val="num" w:pos="1565"/>
        </w:tabs>
        <w:ind w:left="1565" w:hanging="1296"/>
      </w:pPr>
      <w:rPr>
        <w:rFonts w:hint="default"/>
      </w:rPr>
    </w:lvl>
    <w:lvl w:ilvl="7">
      <w:start w:val="1"/>
      <w:numFmt w:val="decimal"/>
      <w:pStyle w:val="Heading8"/>
      <w:lvlText w:val="%1.%2.%3.%4.%5.%6.%7.%8"/>
      <w:lvlJc w:val="left"/>
      <w:pPr>
        <w:tabs>
          <w:tab w:val="num" w:pos="1709"/>
        </w:tabs>
        <w:ind w:left="1709" w:hanging="1440"/>
      </w:pPr>
      <w:rPr>
        <w:rFonts w:hint="default"/>
      </w:rPr>
    </w:lvl>
    <w:lvl w:ilvl="8">
      <w:start w:val="1"/>
      <w:numFmt w:val="decimal"/>
      <w:pStyle w:val="Heading9"/>
      <w:lvlText w:val="%1.%2.%3.%4.%5.%6.%7.%8.%9"/>
      <w:lvlJc w:val="left"/>
      <w:pPr>
        <w:tabs>
          <w:tab w:val="num" w:pos="1853"/>
        </w:tabs>
        <w:ind w:left="1853" w:hanging="1584"/>
      </w:pPr>
      <w:rPr>
        <w:rFonts w:hint="default"/>
      </w:rPr>
    </w:lvl>
  </w:abstractNum>
  <w:abstractNum w:abstractNumId="17">
    <w:nsid w:val="6ADA00F9"/>
    <w:multiLevelType w:val="hybridMultilevel"/>
    <w:tmpl w:val="CA8CE51A"/>
    <w:lvl w:ilvl="0" w:tplc="4D204250">
      <w:start w:val="1"/>
      <w:numFmt w:val="lowerLetter"/>
      <w:lvlText w:val="%1)"/>
      <w:lvlJc w:val="left"/>
      <w:pPr>
        <w:tabs>
          <w:tab w:val="num" w:pos="720"/>
        </w:tabs>
        <w:ind w:left="720" w:hanging="360"/>
      </w:pPr>
      <w:rPr>
        <w:rFonts w:ascii="Century" w:hAnsi="Century"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6B491A94"/>
    <w:multiLevelType w:val="hybridMultilevel"/>
    <w:tmpl w:val="ED78A302"/>
    <w:lvl w:ilvl="0" w:tplc="1E888C98">
      <w:start w:val="1"/>
      <w:numFmt w:val="lowerLetter"/>
      <w:lvlText w:val="%1)"/>
      <w:lvlJc w:val="left"/>
      <w:pPr>
        <w:tabs>
          <w:tab w:val="num" w:pos="720"/>
        </w:tabs>
        <w:ind w:left="720" w:hanging="360"/>
      </w:pPr>
      <w:rPr>
        <w:rFonts w:hint="default"/>
        <w:color w:val="595959"/>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D0C338F"/>
    <w:multiLevelType w:val="hybridMultilevel"/>
    <w:tmpl w:val="59E86F82"/>
    <w:lvl w:ilvl="0" w:tplc="7A6CDD6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764515BC"/>
    <w:multiLevelType w:val="hybridMultilevel"/>
    <w:tmpl w:val="5B16C602"/>
    <w:lvl w:ilvl="0" w:tplc="5C98B014">
      <w:start w:val="1"/>
      <w:numFmt w:val="lowerLetter"/>
      <w:lvlText w:val="%1)"/>
      <w:lvlJc w:val="left"/>
      <w:pPr>
        <w:tabs>
          <w:tab w:val="num" w:pos="885"/>
        </w:tabs>
        <w:ind w:left="8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7A4D2D6F"/>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7"/>
  </w:num>
  <w:num w:numId="4">
    <w:abstractNumId w:val="15"/>
  </w:num>
  <w:num w:numId="5">
    <w:abstractNumId w:val="18"/>
  </w:num>
  <w:num w:numId="6">
    <w:abstractNumId w:val="20"/>
  </w:num>
  <w:num w:numId="7">
    <w:abstractNumId w:val="14"/>
  </w:num>
  <w:num w:numId="8">
    <w:abstractNumId w:val="3"/>
  </w:num>
  <w:num w:numId="9">
    <w:abstractNumId w:val="5"/>
  </w:num>
  <w:num w:numId="10">
    <w:abstractNumId w:val="12"/>
  </w:num>
  <w:num w:numId="11">
    <w:abstractNumId w:val="16"/>
  </w:num>
  <w:num w:numId="12">
    <w:abstractNumId w:val="9"/>
  </w:num>
  <w:num w:numId="13">
    <w:abstractNumId w:val="4"/>
  </w:num>
  <w:num w:numId="14">
    <w:abstractNumId w:val="11"/>
  </w:num>
  <w:num w:numId="15">
    <w:abstractNumId w:val="1"/>
  </w:num>
  <w:num w:numId="16">
    <w:abstractNumId w:val="13"/>
  </w:num>
  <w:num w:numId="17">
    <w:abstractNumId w:val="7"/>
  </w:num>
  <w:num w:numId="18">
    <w:abstractNumId w:val="8"/>
  </w:num>
  <w:num w:numId="19">
    <w:abstractNumId w:val="16"/>
  </w:num>
  <w:num w:numId="20">
    <w:abstractNumId w:val="10"/>
  </w:num>
  <w:num w:numId="21">
    <w:abstractNumId w:val="2"/>
  </w:num>
  <w:num w:numId="22">
    <w:abstractNumId w:val="0"/>
  </w:num>
  <w:num w:numId="23">
    <w:abstractNumId w:val="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9"/>
  </w:num>
  <w:num w:numId="27">
    <w:abstractNumId w:val="16"/>
  </w:num>
  <w:num w:numId="28">
    <w:abstractNumId w:val="16"/>
  </w:num>
  <w:num w:numId="29">
    <w:abstractNumId w:val="16"/>
  </w:num>
  <w:num w:numId="30">
    <w:abstractNumId w:val="16"/>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0F0"/>
    <w:rsid w:val="000002BB"/>
    <w:rsid w:val="000004F6"/>
    <w:rsid w:val="00000865"/>
    <w:rsid w:val="000008EC"/>
    <w:rsid w:val="00001224"/>
    <w:rsid w:val="00001569"/>
    <w:rsid w:val="00001583"/>
    <w:rsid w:val="000015BD"/>
    <w:rsid w:val="00001744"/>
    <w:rsid w:val="00001C2C"/>
    <w:rsid w:val="00001CD2"/>
    <w:rsid w:val="00001F54"/>
    <w:rsid w:val="00002C33"/>
    <w:rsid w:val="0000306C"/>
    <w:rsid w:val="000030D2"/>
    <w:rsid w:val="000031BF"/>
    <w:rsid w:val="00003DF6"/>
    <w:rsid w:val="00004236"/>
    <w:rsid w:val="0000459E"/>
    <w:rsid w:val="0000498E"/>
    <w:rsid w:val="00004A85"/>
    <w:rsid w:val="00004BBD"/>
    <w:rsid w:val="00004C91"/>
    <w:rsid w:val="0000507C"/>
    <w:rsid w:val="00005241"/>
    <w:rsid w:val="00005854"/>
    <w:rsid w:val="0000592D"/>
    <w:rsid w:val="00005E62"/>
    <w:rsid w:val="0000610D"/>
    <w:rsid w:val="00006198"/>
    <w:rsid w:val="000062E3"/>
    <w:rsid w:val="00006343"/>
    <w:rsid w:val="00006423"/>
    <w:rsid w:val="00006793"/>
    <w:rsid w:val="00006EC5"/>
    <w:rsid w:val="0000708D"/>
    <w:rsid w:val="0000769C"/>
    <w:rsid w:val="00007815"/>
    <w:rsid w:val="00007BD8"/>
    <w:rsid w:val="00007DF7"/>
    <w:rsid w:val="00010177"/>
    <w:rsid w:val="0001020E"/>
    <w:rsid w:val="0001052D"/>
    <w:rsid w:val="000107CF"/>
    <w:rsid w:val="0001087D"/>
    <w:rsid w:val="00010BCB"/>
    <w:rsid w:val="00010C84"/>
    <w:rsid w:val="00010D77"/>
    <w:rsid w:val="00010F70"/>
    <w:rsid w:val="0001124D"/>
    <w:rsid w:val="0001128E"/>
    <w:rsid w:val="000112BB"/>
    <w:rsid w:val="00011474"/>
    <w:rsid w:val="0001151D"/>
    <w:rsid w:val="0001163F"/>
    <w:rsid w:val="00011FAC"/>
    <w:rsid w:val="00011FE7"/>
    <w:rsid w:val="0001260B"/>
    <w:rsid w:val="0001263C"/>
    <w:rsid w:val="00012677"/>
    <w:rsid w:val="000126A4"/>
    <w:rsid w:val="00012B4A"/>
    <w:rsid w:val="00012C9A"/>
    <w:rsid w:val="00012DE2"/>
    <w:rsid w:val="00013322"/>
    <w:rsid w:val="00013588"/>
    <w:rsid w:val="0001378A"/>
    <w:rsid w:val="00013875"/>
    <w:rsid w:val="00013AEF"/>
    <w:rsid w:val="00013D4D"/>
    <w:rsid w:val="00013E79"/>
    <w:rsid w:val="000141CE"/>
    <w:rsid w:val="00014741"/>
    <w:rsid w:val="000149A0"/>
    <w:rsid w:val="00014D7C"/>
    <w:rsid w:val="00014F37"/>
    <w:rsid w:val="000150CA"/>
    <w:rsid w:val="0001572A"/>
    <w:rsid w:val="00015733"/>
    <w:rsid w:val="0001582B"/>
    <w:rsid w:val="000158D2"/>
    <w:rsid w:val="00015A3E"/>
    <w:rsid w:val="00015B33"/>
    <w:rsid w:val="00015FFC"/>
    <w:rsid w:val="0001604D"/>
    <w:rsid w:val="00016067"/>
    <w:rsid w:val="00016234"/>
    <w:rsid w:val="000163D2"/>
    <w:rsid w:val="0001645C"/>
    <w:rsid w:val="000169C0"/>
    <w:rsid w:val="00016BB5"/>
    <w:rsid w:val="00016C83"/>
    <w:rsid w:val="00016D6B"/>
    <w:rsid w:val="0001740D"/>
    <w:rsid w:val="000175F9"/>
    <w:rsid w:val="000177AA"/>
    <w:rsid w:val="0001780E"/>
    <w:rsid w:val="00017C91"/>
    <w:rsid w:val="00020209"/>
    <w:rsid w:val="000202FA"/>
    <w:rsid w:val="00020627"/>
    <w:rsid w:val="00020B11"/>
    <w:rsid w:val="00021035"/>
    <w:rsid w:val="00021491"/>
    <w:rsid w:val="00021C9F"/>
    <w:rsid w:val="000221FD"/>
    <w:rsid w:val="000224CC"/>
    <w:rsid w:val="00022568"/>
    <w:rsid w:val="00022FD5"/>
    <w:rsid w:val="00022FE4"/>
    <w:rsid w:val="00023672"/>
    <w:rsid w:val="00023679"/>
    <w:rsid w:val="000239A0"/>
    <w:rsid w:val="00023CB1"/>
    <w:rsid w:val="00023CFA"/>
    <w:rsid w:val="00024004"/>
    <w:rsid w:val="0002471D"/>
    <w:rsid w:val="00024EC3"/>
    <w:rsid w:val="0002514B"/>
    <w:rsid w:val="00025162"/>
    <w:rsid w:val="00025554"/>
    <w:rsid w:val="0002558D"/>
    <w:rsid w:val="00025BE2"/>
    <w:rsid w:val="00025F45"/>
    <w:rsid w:val="00025F5A"/>
    <w:rsid w:val="000262CE"/>
    <w:rsid w:val="0002634F"/>
    <w:rsid w:val="000264BC"/>
    <w:rsid w:val="00026E0F"/>
    <w:rsid w:val="0002706F"/>
    <w:rsid w:val="00027262"/>
    <w:rsid w:val="0002775D"/>
    <w:rsid w:val="00027A7F"/>
    <w:rsid w:val="00027B6D"/>
    <w:rsid w:val="00027E4D"/>
    <w:rsid w:val="00027F34"/>
    <w:rsid w:val="00027F37"/>
    <w:rsid w:val="00027F7F"/>
    <w:rsid w:val="0003007A"/>
    <w:rsid w:val="000302A8"/>
    <w:rsid w:val="0003079C"/>
    <w:rsid w:val="000307FF"/>
    <w:rsid w:val="00030B84"/>
    <w:rsid w:val="00030C07"/>
    <w:rsid w:val="000310F3"/>
    <w:rsid w:val="00031110"/>
    <w:rsid w:val="0003117F"/>
    <w:rsid w:val="0003126B"/>
    <w:rsid w:val="000313E9"/>
    <w:rsid w:val="00031648"/>
    <w:rsid w:val="000317B4"/>
    <w:rsid w:val="000318C9"/>
    <w:rsid w:val="00032046"/>
    <w:rsid w:val="00032088"/>
    <w:rsid w:val="000327E9"/>
    <w:rsid w:val="0003282E"/>
    <w:rsid w:val="0003295A"/>
    <w:rsid w:val="00032B61"/>
    <w:rsid w:val="00032D9A"/>
    <w:rsid w:val="000330AC"/>
    <w:rsid w:val="00033551"/>
    <w:rsid w:val="00033735"/>
    <w:rsid w:val="00033922"/>
    <w:rsid w:val="00033C18"/>
    <w:rsid w:val="00033EE5"/>
    <w:rsid w:val="00033F94"/>
    <w:rsid w:val="00034181"/>
    <w:rsid w:val="000341CC"/>
    <w:rsid w:val="000345A7"/>
    <w:rsid w:val="000346A7"/>
    <w:rsid w:val="000347E8"/>
    <w:rsid w:val="0003495B"/>
    <w:rsid w:val="00034B06"/>
    <w:rsid w:val="00034B6B"/>
    <w:rsid w:val="00034F76"/>
    <w:rsid w:val="00034FAB"/>
    <w:rsid w:val="00035039"/>
    <w:rsid w:val="0003548D"/>
    <w:rsid w:val="0003558B"/>
    <w:rsid w:val="000355EE"/>
    <w:rsid w:val="0003593A"/>
    <w:rsid w:val="00035AFE"/>
    <w:rsid w:val="00035BC1"/>
    <w:rsid w:val="00035BFB"/>
    <w:rsid w:val="00035E25"/>
    <w:rsid w:val="000360FC"/>
    <w:rsid w:val="000361D8"/>
    <w:rsid w:val="00036458"/>
    <w:rsid w:val="00036670"/>
    <w:rsid w:val="00036711"/>
    <w:rsid w:val="00036EA8"/>
    <w:rsid w:val="00036EC0"/>
    <w:rsid w:val="0003767C"/>
    <w:rsid w:val="0003798C"/>
    <w:rsid w:val="00037B98"/>
    <w:rsid w:val="00037DD0"/>
    <w:rsid w:val="00037F15"/>
    <w:rsid w:val="00037F2E"/>
    <w:rsid w:val="00040060"/>
    <w:rsid w:val="00040348"/>
    <w:rsid w:val="00040445"/>
    <w:rsid w:val="00040485"/>
    <w:rsid w:val="000405EF"/>
    <w:rsid w:val="00040611"/>
    <w:rsid w:val="00040AD8"/>
    <w:rsid w:val="00040C27"/>
    <w:rsid w:val="00040F7E"/>
    <w:rsid w:val="00041141"/>
    <w:rsid w:val="000412CA"/>
    <w:rsid w:val="00041621"/>
    <w:rsid w:val="00041804"/>
    <w:rsid w:val="000419D5"/>
    <w:rsid w:val="00041A96"/>
    <w:rsid w:val="00042013"/>
    <w:rsid w:val="000422A3"/>
    <w:rsid w:val="00042304"/>
    <w:rsid w:val="00042695"/>
    <w:rsid w:val="00042AAC"/>
    <w:rsid w:val="00042AE9"/>
    <w:rsid w:val="0004301B"/>
    <w:rsid w:val="00043594"/>
    <w:rsid w:val="00043E6D"/>
    <w:rsid w:val="00043ED1"/>
    <w:rsid w:val="0004427B"/>
    <w:rsid w:val="000442E4"/>
    <w:rsid w:val="000444DF"/>
    <w:rsid w:val="000446A6"/>
    <w:rsid w:val="00044732"/>
    <w:rsid w:val="000447FE"/>
    <w:rsid w:val="00044BD3"/>
    <w:rsid w:val="00044C7D"/>
    <w:rsid w:val="00044ED5"/>
    <w:rsid w:val="00045305"/>
    <w:rsid w:val="0004536F"/>
    <w:rsid w:val="000459DE"/>
    <w:rsid w:val="00045A15"/>
    <w:rsid w:val="00045C4D"/>
    <w:rsid w:val="00045C7B"/>
    <w:rsid w:val="00045CB2"/>
    <w:rsid w:val="00045CD2"/>
    <w:rsid w:val="00045E2C"/>
    <w:rsid w:val="00046057"/>
    <w:rsid w:val="000467CE"/>
    <w:rsid w:val="00046EC4"/>
    <w:rsid w:val="00047142"/>
    <w:rsid w:val="00047181"/>
    <w:rsid w:val="00047221"/>
    <w:rsid w:val="00047860"/>
    <w:rsid w:val="000478CE"/>
    <w:rsid w:val="00047C9C"/>
    <w:rsid w:val="00050017"/>
    <w:rsid w:val="00050D03"/>
    <w:rsid w:val="00050F9D"/>
    <w:rsid w:val="0005113C"/>
    <w:rsid w:val="000512D0"/>
    <w:rsid w:val="00051679"/>
    <w:rsid w:val="00051917"/>
    <w:rsid w:val="00051B4D"/>
    <w:rsid w:val="00051CB2"/>
    <w:rsid w:val="00052443"/>
    <w:rsid w:val="0005330F"/>
    <w:rsid w:val="000535AD"/>
    <w:rsid w:val="0005382E"/>
    <w:rsid w:val="000538EB"/>
    <w:rsid w:val="00053A7E"/>
    <w:rsid w:val="00053FE6"/>
    <w:rsid w:val="00054134"/>
    <w:rsid w:val="00054169"/>
    <w:rsid w:val="00054176"/>
    <w:rsid w:val="00054570"/>
    <w:rsid w:val="00054C5D"/>
    <w:rsid w:val="00054F43"/>
    <w:rsid w:val="00055034"/>
    <w:rsid w:val="000552DC"/>
    <w:rsid w:val="00055418"/>
    <w:rsid w:val="0005551D"/>
    <w:rsid w:val="0005555C"/>
    <w:rsid w:val="00055998"/>
    <w:rsid w:val="00055C4F"/>
    <w:rsid w:val="00055F55"/>
    <w:rsid w:val="00056033"/>
    <w:rsid w:val="0005619B"/>
    <w:rsid w:val="0005626D"/>
    <w:rsid w:val="000564E5"/>
    <w:rsid w:val="0005679E"/>
    <w:rsid w:val="0005699B"/>
    <w:rsid w:val="000569F3"/>
    <w:rsid w:val="00056A7F"/>
    <w:rsid w:val="00057418"/>
    <w:rsid w:val="0005752A"/>
    <w:rsid w:val="00057591"/>
    <w:rsid w:val="000579E0"/>
    <w:rsid w:val="00060976"/>
    <w:rsid w:val="00060F38"/>
    <w:rsid w:val="00060F41"/>
    <w:rsid w:val="00060FCA"/>
    <w:rsid w:val="00061097"/>
    <w:rsid w:val="000611AD"/>
    <w:rsid w:val="000614B1"/>
    <w:rsid w:val="00061627"/>
    <w:rsid w:val="000616B0"/>
    <w:rsid w:val="00061865"/>
    <w:rsid w:val="00061A9F"/>
    <w:rsid w:val="00061B09"/>
    <w:rsid w:val="00061C20"/>
    <w:rsid w:val="00061F36"/>
    <w:rsid w:val="0006215C"/>
    <w:rsid w:val="000621EB"/>
    <w:rsid w:val="000627E4"/>
    <w:rsid w:val="00063011"/>
    <w:rsid w:val="00063035"/>
    <w:rsid w:val="00063291"/>
    <w:rsid w:val="00063386"/>
    <w:rsid w:val="00063456"/>
    <w:rsid w:val="00063912"/>
    <w:rsid w:val="00063BD0"/>
    <w:rsid w:val="00063D2E"/>
    <w:rsid w:val="000643E9"/>
    <w:rsid w:val="00064463"/>
    <w:rsid w:val="00064E6C"/>
    <w:rsid w:val="00064FB6"/>
    <w:rsid w:val="00065223"/>
    <w:rsid w:val="000655DC"/>
    <w:rsid w:val="00065690"/>
    <w:rsid w:val="00065A91"/>
    <w:rsid w:val="00065ACA"/>
    <w:rsid w:val="00065B34"/>
    <w:rsid w:val="000661A2"/>
    <w:rsid w:val="0006672C"/>
    <w:rsid w:val="00066ABC"/>
    <w:rsid w:val="00066DFE"/>
    <w:rsid w:val="00066E0B"/>
    <w:rsid w:val="0006715D"/>
    <w:rsid w:val="000674F3"/>
    <w:rsid w:val="0006761F"/>
    <w:rsid w:val="00067907"/>
    <w:rsid w:val="00067F7A"/>
    <w:rsid w:val="00067FC9"/>
    <w:rsid w:val="00070513"/>
    <w:rsid w:val="0007062A"/>
    <w:rsid w:val="0007073B"/>
    <w:rsid w:val="00070BAB"/>
    <w:rsid w:val="00070CAF"/>
    <w:rsid w:val="000711C3"/>
    <w:rsid w:val="0007149E"/>
    <w:rsid w:val="0007154D"/>
    <w:rsid w:val="00071590"/>
    <w:rsid w:val="00071710"/>
    <w:rsid w:val="00071CF0"/>
    <w:rsid w:val="00071F8E"/>
    <w:rsid w:val="00071FB6"/>
    <w:rsid w:val="00072078"/>
    <w:rsid w:val="000720A5"/>
    <w:rsid w:val="00072130"/>
    <w:rsid w:val="000722A8"/>
    <w:rsid w:val="00072B1F"/>
    <w:rsid w:val="0007328C"/>
    <w:rsid w:val="0007346F"/>
    <w:rsid w:val="0007371F"/>
    <w:rsid w:val="000738F2"/>
    <w:rsid w:val="00073B38"/>
    <w:rsid w:val="00073F34"/>
    <w:rsid w:val="0007402F"/>
    <w:rsid w:val="0007417C"/>
    <w:rsid w:val="00074795"/>
    <w:rsid w:val="000747C4"/>
    <w:rsid w:val="00074A61"/>
    <w:rsid w:val="00074B9D"/>
    <w:rsid w:val="00074D80"/>
    <w:rsid w:val="000751C9"/>
    <w:rsid w:val="0007529A"/>
    <w:rsid w:val="00075E5F"/>
    <w:rsid w:val="000762EA"/>
    <w:rsid w:val="00076347"/>
    <w:rsid w:val="00076EE7"/>
    <w:rsid w:val="00077211"/>
    <w:rsid w:val="000775D6"/>
    <w:rsid w:val="0007775B"/>
    <w:rsid w:val="0008000D"/>
    <w:rsid w:val="000801FA"/>
    <w:rsid w:val="0008081F"/>
    <w:rsid w:val="000811E0"/>
    <w:rsid w:val="00081261"/>
    <w:rsid w:val="0008177F"/>
    <w:rsid w:val="0008185D"/>
    <w:rsid w:val="00081862"/>
    <w:rsid w:val="000818C3"/>
    <w:rsid w:val="00081FE8"/>
    <w:rsid w:val="00082109"/>
    <w:rsid w:val="0008224C"/>
    <w:rsid w:val="0008236F"/>
    <w:rsid w:val="00082556"/>
    <w:rsid w:val="000828A1"/>
    <w:rsid w:val="00082A1A"/>
    <w:rsid w:val="000830C4"/>
    <w:rsid w:val="0008329A"/>
    <w:rsid w:val="0008341C"/>
    <w:rsid w:val="000835D9"/>
    <w:rsid w:val="00083BD9"/>
    <w:rsid w:val="00083E70"/>
    <w:rsid w:val="00083F39"/>
    <w:rsid w:val="00083F43"/>
    <w:rsid w:val="00084428"/>
    <w:rsid w:val="000844FA"/>
    <w:rsid w:val="000849D6"/>
    <w:rsid w:val="00084B04"/>
    <w:rsid w:val="00084C89"/>
    <w:rsid w:val="00084E8A"/>
    <w:rsid w:val="00085276"/>
    <w:rsid w:val="0008533F"/>
    <w:rsid w:val="0008582A"/>
    <w:rsid w:val="0008583D"/>
    <w:rsid w:val="00085B64"/>
    <w:rsid w:val="00085BF9"/>
    <w:rsid w:val="00085F00"/>
    <w:rsid w:val="000863BE"/>
    <w:rsid w:val="00086658"/>
    <w:rsid w:val="00086BE4"/>
    <w:rsid w:val="00086CF3"/>
    <w:rsid w:val="00086F95"/>
    <w:rsid w:val="0008711A"/>
    <w:rsid w:val="000871A3"/>
    <w:rsid w:val="000872CF"/>
    <w:rsid w:val="00087390"/>
    <w:rsid w:val="00087614"/>
    <w:rsid w:val="00087727"/>
    <w:rsid w:val="000879B0"/>
    <w:rsid w:val="00087A47"/>
    <w:rsid w:val="00087A88"/>
    <w:rsid w:val="00087C5C"/>
    <w:rsid w:val="00087EB0"/>
    <w:rsid w:val="000902C4"/>
    <w:rsid w:val="000903A9"/>
    <w:rsid w:val="000904DF"/>
    <w:rsid w:val="00090535"/>
    <w:rsid w:val="00090550"/>
    <w:rsid w:val="000908DF"/>
    <w:rsid w:val="00090A41"/>
    <w:rsid w:val="00090D66"/>
    <w:rsid w:val="0009107B"/>
    <w:rsid w:val="00091399"/>
    <w:rsid w:val="0009169A"/>
    <w:rsid w:val="00091E94"/>
    <w:rsid w:val="00091F2C"/>
    <w:rsid w:val="00092101"/>
    <w:rsid w:val="00092182"/>
    <w:rsid w:val="000922BC"/>
    <w:rsid w:val="00092431"/>
    <w:rsid w:val="00092622"/>
    <w:rsid w:val="00092B77"/>
    <w:rsid w:val="000930F7"/>
    <w:rsid w:val="000932BE"/>
    <w:rsid w:val="0009340D"/>
    <w:rsid w:val="00093B6B"/>
    <w:rsid w:val="00093BE0"/>
    <w:rsid w:val="00093D17"/>
    <w:rsid w:val="0009430B"/>
    <w:rsid w:val="0009435B"/>
    <w:rsid w:val="00094562"/>
    <w:rsid w:val="00094AEA"/>
    <w:rsid w:val="00095B1E"/>
    <w:rsid w:val="00095CAC"/>
    <w:rsid w:val="00096277"/>
    <w:rsid w:val="000963EA"/>
    <w:rsid w:val="00096896"/>
    <w:rsid w:val="00096929"/>
    <w:rsid w:val="000969B8"/>
    <w:rsid w:val="00096BE5"/>
    <w:rsid w:val="00096CEC"/>
    <w:rsid w:val="00096E5B"/>
    <w:rsid w:val="0009730E"/>
    <w:rsid w:val="000977BC"/>
    <w:rsid w:val="000979A3"/>
    <w:rsid w:val="000979FB"/>
    <w:rsid w:val="000A074E"/>
    <w:rsid w:val="000A07D5"/>
    <w:rsid w:val="000A0BBE"/>
    <w:rsid w:val="000A0D64"/>
    <w:rsid w:val="000A0D80"/>
    <w:rsid w:val="000A0E8E"/>
    <w:rsid w:val="000A0EE1"/>
    <w:rsid w:val="000A130C"/>
    <w:rsid w:val="000A141B"/>
    <w:rsid w:val="000A1782"/>
    <w:rsid w:val="000A1E39"/>
    <w:rsid w:val="000A2339"/>
    <w:rsid w:val="000A248A"/>
    <w:rsid w:val="000A2893"/>
    <w:rsid w:val="000A2D89"/>
    <w:rsid w:val="000A2E90"/>
    <w:rsid w:val="000A30BC"/>
    <w:rsid w:val="000A3115"/>
    <w:rsid w:val="000A3422"/>
    <w:rsid w:val="000A38CC"/>
    <w:rsid w:val="000A3980"/>
    <w:rsid w:val="000A3AD5"/>
    <w:rsid w:val="000A3CBD"/>
    <w:rsid w:val="000A4995"/>
    <w:rsid w:val="000A4C3B"/>
    <w:rsid w:val="000A4FDE"/>
    <w:rsid w:val="000A54D1"/>
    <w:rsid w:val="000A55A0"/>
    <w:rsid w:val="000A55DE"/>
    <w:rsid w:val="000A5923"/>
    <w:rsid w:val="000A5988"/>
    <w:rsid w:val="000A59DB"/>
    <w:rsid w:val="000A5AED"/>
    <w:rsid w:val="000A6023"/>
    <w:rsid w:val="000A6612"/>
    <w:rsid w:val="000A66CE"/>
    <w:rsid w:val="000A6C9C"/>
    <w:rsid w:val="000A73C8"/>
    <w:rsid w:val="000A774B"/>
    <w:rsid w:val="000A7BCC"/>
    <w:rsid w:val="000A7C4B"/>
    <w:rsid w:val="000A7F21"/>
    <w:rsid w:val="000B010F"/>
    <w:rsid w:val="000B012E"/>
    <w:rsid w:val="000B025C"/>
    <w:rsid w:val="000B0355"/>
    <w:rsid w:val="000B042F"/>
    <w:rsid w:val="000B06CE"/>
    <w:rsid w:val="000B0EE3"/>
    <w:rsid w:val="000B0F24"/>
    <w:rsid w:val="000B0F4F"/>
    <w:rsid w:val="000B1043"/>
    <w:rsid w:val="000B1690"/>
    <w:rsid w:val="000B1705"/>
    <w:rsid w:val="000B1865"/>
    <w:rsid w:val="000B1FAA"/>
    <w:rsid w:val="000B230B"/>
    <w:rsid w:val="000B25E3"/>
    <w:rsid w:val="000B2787"/>
    <w:rsid w:val="000B2889"/>
    <w:rsid w:val="000B2CD4"/>
    <w:rsid w:val="000B2D77"/>
    <w:rsid w:val="000B32FB"/>
    <w:rsid w:val="000B33CD"/>
    <w:rsid w:val="000B3500"/>
    <w:rsid w:val="000B35D9"/>
    <w:rsid w:val="000B397E"/>
    <w:rsid w:val="000B3CE2"/>
    <w:rsid w:val="000B409D"/>
    <w:rsid w:val="000B428F"/>
    <w:rsid w:val="000B4EFD"/>
    <w:rsid w:val="000B518E"/>
    <w:rsid w:val="000B51CC"/>
    <w:rsid w:val="000B5DE3"/>
    <w:rsid w:val="000B601C"/>
    <w:rsid w:val="000B6158"/>
    <w:rsid w:val="000B6AA3"/>
    <w:rsid w:val="000B6B5B"/>
    <w:rsid w:val="000B6CDD"/>
    <w:rsid w:val="000B6FD2"/>
    <w:rsid w:val="000B6FFC"/>
    <w:rsid w:val="000B737A"/>
    <w:rsid w:val="000B7BBE"/>
    <w:rsid w:val="000B7E7A"/>
    <w:rsid w:val="000C0C73"/>
    <w:rsid w:val="000C0CCC"/>
    <w:rsid w:val="000C0E46"/>
    <w:rsid w:val="000C0FCA"/>
    <w:rsid w:val="000C1271"/>
    <w:rsid w:val="000C18CF"/>
    <w:rsid w:val="000C1AB3"/>
    <w:rsid w:val="000C1DE1"/>
    <w:rsid w:val="000C2078"/>
    <w:rsid w:val="000C2092"/>
    <w:rsid w:val="000C2550"/>
    <w:rsid w:val="000C29DE"/>
    <w:rsid w:val="000C2C6F"/>
    <w:rsid w:val="000C2CB2"/>
    <w:rsid w:val="000C2EDC"/>
    <w:rsid w:val="000C3309"/>
    <w:rsid w:val="000C3415"/>
    <w:rsid w:val="000C3AE5"/>
    <w:rsid w:val="000C3D68"/>
    <w:rsid w:val="000C3DC1"/>
    <w:rsid w:val="000C3F9B"/>
    <w:rsid w:val="000C3FEE"/>
    <w:rsid w:val="000C409C"/>
    <w:rsid w:val="000C46B8"/>
    <w:rsid w:val="000C4A10"/>
    <w:rsid w:val="000C506D"/>
    <w:rsid w:val="000C523B"/>
    <w:rsid w:val="000C526B"/>
    <w:rsid w:val="000C528D"/>
    <w:rsid w:val="000C5327"/>
    <w:rsid w:val="000C5B8A"/>
    <w:rsid w:val="000C5CC9"/>
    <w:rsid w:val="000C6547"/>
    <w:rsid w:val="000C6B22"/>
    <w:rsid w:val="000C6FA9"/>
    <w:rsid w:val="000C70B0"/>
    <w:rsid w:val="000C7562"/>
    <w:rsid w:val="000C78EF"/>
    <w:rsid w:val="000C7CBC"/>
    <w:rsid w:val="000D0369"/>
    <w:rsid w:val="000D044D"/>
    <w:rsid w:val="000D05FB"/>
    <w:rsid w:val="000D068B"/>
    <w:rsid w:val="000D0A37"/>
    <w:rsid w:val="000D0BCF"/>
    <w:rsid w:val="000D0C17"/>
    <w:rsid w:val="000D0FD5"/>
    <w:rsid w:val="000D0FDB"/>
    <w:rsid w:val="000D14DE"/>
    <w:rsid w:val="000D16F3"/>
    <w:rsid w:val="000D191C"/>
    <w:rsid w:val="000D1A2B"/>
    <w:rsid w:val="000D1AE9"/>
    <w:rsid w:val="000D1B07"/>
    <w:rsid w:val="000D1DF2"/>
    <w:rsid w:val="000D212F"/>
    <w:rsid w:val="000D22FE"/>
    <w:rsid w:val="000D2360"/>
    <w:rsid w:val="000D23A9"/>
    <w:rsid w:val="000D2B2D"/>
    <w:rsid w:val="000D2B4C"/>
    <w:rsid w:val="000D2F8C"/>
    <w:rsid w:val="000D302A"/>
    <w:rsid w:val="000D3182"/>
    <w:rsid w:val="000D330D"/>
    <w:rsid w:val="000D34FE"/>
    <w:rsid w:val="000D3607"/>
    <w:rsid w:val="000D363F"/>
    <w:rsid w:val="000D37C8"/>
    <w:rsid w:val="000D3965"/>
    <w:rsid w:val="000D3DE9"/>
    <w:rsid w:val="000D406D"/>
    <w:rsid w:val="000D4079"/>
    <w:rsid w:val="000D455E"/>
    <w:rsid w:val="000D461D"/>
    <w:rsid w:val="000D478F"/>
    <w:rsid w:val="000D48F8"/>
    <w:rsid w:val="000D4B22"/>
    <w:rsid w:val="000D4C92"/>
    <w:rsid w:val="000D4D93"/>
    <w:rsid w:val="000D51FE"/>
    <w:rsid w:val="000D52B5"/>
    <w:rsid w:val="000D535E"/>
    <w:rsid w:val="000D53AB"/>
    <w:rsid w:val="000D54CC"/>
    <w:rsid w:val="000D5517"/>
    <w:rsid w:val="000D5671"/>
    <w:rsid w:val="000D5BC3"/>
    <w:rsid w:val="000D5EB1"/>
    <w:rsid w:val="000D6473"/>
    <w:rsid w:val="000D689F"/>
    <w:rsid w:val="000D68E6"/>
    <w:rsid w:val="000D6AB7"/>
    <w:rsid w:val="000D6D11"/>
    <w:rsid w:val="000D6E2B"/>
    <w:rsid w:val="000D6E87"/>
    <w:rsid w:val="000D6EBE"/>
    <w:rsid w:val="000D79CE"/>
    <w:rsid w:val="000D7E92"/>
    <w:rsid w:val="000D7EF6"/>
    <w:rsid w:val="000E0283"/>
    <w:rsid w:val="000E02EB"/>
    <w:rsid w:val="000E0730"/>
    <w:rsid w:val="000E0827"/>
    <w:rsid w:val="000E085B"/>
    <w:rsid w:val="000E0EC3"/>
    <w:rsid w:val="000E10A1"/>
    <w:rsid w:val="000E12F4"/>
    <w:rsid w:val="000E1911"/>
    <w:rsid w:val="000E1CE4"/>
    <w:rsid w:val="000E1D6C"/>
    <w:rsid w:val="000E1E8D"/>
    <w:rsid w:val="000E1F70"/>
    <w:rsid w:val="000E22BD"/>
    <w:rsid w:val="000E231B"/>
    <w:rsid w:val="000E2518"/>
    <w:rsid w:val="000E2953"/>
    <w:rsid w:val="000E2C18"/>
    <w:rsid w:val="000E2C26"/>
    <w:rsid w:val="000E2CEE"/>
    <w:rsid w:val="000E2F1A"/>
    <w:rsid w:val="000E33CF"/>
    <w:rsid w:val="000E3BCA"/>
    <w:rsid w:val="000E3D7B"/>
    <w:rsid w:val="000E3D9E"/>
    <w:rsid w:val="000E3E9C"/>
    <w:rsid w:val="000E3F3E"/>
    <w:rsid w:val="000E3FFF"/>
    <w:rsid w:val="000E40EF"/>
    <w:rsid w:val="000E417F"/>
    <w:rsid w:val="000E41B4"/>
    <w:rsid w:val="000E44AE"/>
    <w:rsid w:val="000E44E5"/>
    <w:rsid w:val="000E4682"/>
    <w:rsid w:val="000E47E0"/>
    <w:rsid w:val="000E48D3"/>
    <w:rsid w:val="000E4B6C"/>
    <w:rsid w:val="000E4BB7"/>
    <w:rsid w:val="000E505B"/>
    <w:rsid w:val="000E544C"/>
    <w:rsid w:val="000E56AB"/>
    <w:rsid w:val="000E5729"/>
    <w:rsid w:val="000E5805"/>
    <w:rsid w:val="000E5C85"/>
    <w:rsid w:val="000E5EA2"/>
    <w:rsid w:val="000E66BB"/>
    <w:rsid w:val="000E6E5F"/>
    <w:rsid w:val="000E6F03"/>
    <w:rsid w:val="000E7352"/>
    <w:rsid w:val="000E7378"/>
    <w:rsid w:val="000E76EE"/>
    <w:rsid w:val="000E7C23"/>
    <w:rsid w:val="000E7D8F"/>
    <w:rsid w:val="000E7F3C"/>
    <w:rsid w:val="000F02B7"/>
    <w:rsid w:val="000F0586"/>
    <w:rsid w:val="000F0963"/>
    <w:rsid w:val="000F0967"/>
    <w:rsid w:val="000F0AD6"/>
    <w:rsid w:val="000F0D20"/>
    <w:rsid w:val="000F10C0"/>
    <w:rsid w:val="000F110D"/>
    <w:rsid w:val="000F186D"/>
    <w:rsid w:val="000F1870"/>
    <w:rsid w:val="000F19D9"/>
    <w:rsid w:val="000F1A17"/>
    <w:rsid w:val="000F1CD5"/>
    <w:rsid w:val="000F1F83"/>
    <w:rsid w:val="000F25F1"/>
    <w:rsid w:val="000F266F"/>
    <w:rsid w:val="000F27DC"/>
    <w:rsid w:val="000F2A6D"/>
    <w:rsid w:val="000F2CA1"/>
    <w:rsid w:val="000F2F3F"/>
    <w:rsid w:val="000F30F0"/>
    <w:rsid w:val="000F36DE"/>
    <w:rsid w:val="000F3817"/>
    <w:rsid w:val="000F38CE"/>
    <w:rsid w:val="000F4147"/>
    <w:rsid w:val="000F4592"/>
    <w:rsid w:val="000F48D0"/>
    <w:rsid w:val="000F48E7"/>
    <w:rsid w:val="000F490A"/>
    <w:rsid w:val="000F499A"/>
    <w:rsid w:val="000F4B85"/>
    <w:rsid w:val="000F4E69"/>
    <w:rsid w:val="000F4EE2"/>
    <w:rsid w:val="000F5218"/>
    <w:rsid w:val="000F547D"/>
    <w:rsid w:val="000F551C"/>
    <w:rsid w:val="000F5839"/>
    <w:rsid w:val="000F5EF1"/>
    <w:rsid w:val="000F63CA"/>
    <w:rsid w:val="000F6676"/>
    <w:rsid w:val="000F7018"/>
    <w:rsid w:val="000F74DF"/>
    <w:rsid w:val="000F799B"/>
    <w:rsid w:val="000F79CC"/>
    <w:rsid w:val="000F7AE8"/>
    <w:rsid w:val="000F7BD2"/>
    <w:rsid w:val="000F7D16"/>
    <w:rsid w:val="000F7FC8"/>
    <w:rsid w:val="001002C6"/>
    <w:rsid w:val="0010051B"/>
    <w:rsid w:val="0010069D"/>
    <w:rsid w:val="00100739"/>
    <w:rsid w:val="0010080F"/>
    <w:rsid w:val="00100EC4"/>
    <w:rsid w:val="00101B0F"/>
    <w:rsid w:val="00101B41"/>
    <w:rsid w:val="00101B6C"/>
    <w:rsid w:val="00102218"/>
    <w:rsid w:val="001022F8"/>
    <w:rsid w:val="001026C8"/>
    <w:rsid w:val="00102777"/>
    <w:rsid w:val="001028D4"/>
    <w:rsid w:val="00102967"/>
    <w:rsid w:val="00102C8C"/>
    <w:rsid w:val="00102E19"/>
    <w:rsid w:val="001030A1"/>
    <w:rsid w:val="001030DA"/>
    <w:rsid w:val="001034DF"/>
    <w:rsid w:val="00103775"/>
    <w:rsid w:val="001037B7"/>
    <w:rsid w:val="0010469D"/>
    <w:rsid w:val="001046D5"/>
    <w:rsid w:val="00104A36"/>
    <w:rsid w:val="00104E3C"/>
    <w:rsid w:val="00104FEC"/>
    <w:rsid w:val="0010505B"/>
    <w:rsid w:val="00105640"/>
    <w:rsid w:val="0010573E"/>
    <w:rsid w:val="00105C49"/>
    <w:rsid w:val="00106578"/>
    <w:rsid w:val="00106710"/>
    <w:rsid w:val="00106B20"/>
    <w:rsid w:val="00106B2E"/>
    <w:rsid w:val="00106BB6"/>
    <w:rsid w:val="00106C2C"/>
    <w:rsid w:val="00106F0F"/>
    <w:rsid w:val="0010738A"/>
    <w:rsid w:val="0010738F"/>
    <w:rsid w:val="0010745B"/>
    <w:rsid w:val="0010748F"/>
    <w:rsid w:val="001077EA"/>
    <w:rsid w:val="001078A1"/>
    <w:rsid w:val="00107C02"/>
    <w:rsid w:val="00107E77"/>
    <w:rsid w:val="001100DC"/>
    <w:rsid w:val="00110494"/>
    <w:rsid w:val="001108BD"/>
    <w:rsid w:val="001109B3"/>
    <w:rsid w:val="001109F0"/>
    <w:rsid w:val="00110DD2"/>
    <w:rsid w:val="001111C5"/>
    <w:rsid w:val="00111435"/>
    <w:rsid w:val="001118AE"/>
    <w:rsid w:val="00111AEF"/>
    <w:rsid w:val="00111CB9"/>
    <w:rsid w:val="00111E79"/>
    <w:rsid w:val="00112022"/>
    <w:rsid w:val="00112044"/>
    <w:rsid w:val="00112118"/>
    <w:rsid w:val="0011230B"/>
    <w:rsid w:val="00112D01"/>
    <w:rsid w:val="00112DD9"/>
    <w:rsid w:val="00112EB2"/>
    <w:rsid w:val="00113073"/>
    <w:rsid w:val="00113399"/>
    <w:rsid w:val="001136AE"/>
    <w:rsid w:val="001136F2"/>
    <w:rsid w:val="00113836"/>
    <w:rsid w:val="00113961"/>
    <w:rsid w:val="0011403B"/>
    <w:rsid w:val="001140EE"/>
    <w:rsid w:val="001141E4"/>
    <w:rsid w:val="00114640"/>
    <w:rsid w:val="00114CD2"/>
    <w:rsid w:val="00114D16"/>
    <w:rsid w:val="00114E4E"/>
    <w:rsid w:val="00115141"/>
    <w:rsid w:val="001152BC"/>
    <w:rsid w:val="00115636"/>
    <w:rsid w:val="00115B39"/>
    <w:rsid w:val="00115B5F"/>
    <w:rsid w:val="00115CDC"/>
    <w:rsid w:val="00116533"/>
    <w:rsid w:val="00116565"/>
    <w:rsid w:val="001168DD"/>
    <w:rsid w:val="00116C20"/>
    <w:rsid w:val="00116C60"/>
    <w:rsid w:val="00116E73"/>
    <w:rsid w:val="00116F23"/>
    <w:rsid w:val="00116FC7"/>
    <w:rsid w:val="001172C0"/>
    <w:rsid w:val="00117463"/>
    <w:rsid w:val="00117787"/>
    <w:rsid w:val="00117950"/>
    <w:rsid w:val="001179F0"/>
    <w:rsid w:val="00117CB8"/>
    <w:rsid w:val="00117F6D"/>
    <w:rsid w:val="0012001C"/>
    <w:rsid w:val="001205AD"/>
    <w:rsid w:val="0012076E"/>
    <w:rsid w:val="001210B1"/>
    <w:rsid w:val="001216F9"/>
    <w:rsid w:val="001218B1"/>
    <w:rsid w:val="0012199F"/>
    <w:rsid w:val="00121C5C"/>
    <w:rsid w:val="00122217"/>
    <w:rsid w:val="00122241"/>
    <w:rsid w:val="001222D6"/>
    <w:rsid w:val="00122E12"/>
    <w:rsid w:val="00122E9F"/>
    <w:rsid w:val="0012314B"/>
    <w:rsid w:val="001234DF"/>
    <w:rsid w:val="00123A97"/>
    <w:rsid w:val="00123B5C"/>
    <w:rsid w:val="00123D54"/>
    <w:rsid w:val="00124192"/>
    <w:rsid w:val="0012424C"/>
    <w:rsid w:val="00124C5E"/>
    <w:rsid w:val="00125604"/>
    <w:rsid w:val="00125AC5"/>
    <w:rsid w:val="00125BCE"/>
    <w:rsid w:val="00125C3A"/>
    <w:rsid w:val="00125E56"/>
    <w:rsid w:val="001269B8"/>
    <w:rsid w:val="00126D7F"/>
    <w:rsid w:val="00126E2F"/>
    <w:rsid w:val="0012708B"/>
    <w:rsid w:val="00127395"/>
    <w:rsid w:val="001273A7"/>
    <w:rsid w:val="001300D8"/>
    <w:rsid w:val="00130634"/>
    <w:rsid w:val="001307B5"/>
    <w:rsid w:val="001307DA"/>
    <w:rsid w:val="00130981"/>
    <w:rsid w:val="00130AEF"/>
    <w:rsid w:val="00130B12"/>
    <w:rsid w:val="001312A4"/>
    <w:rsid w:val="0013148D"/>
    <w:rsid w:val="001314AF"/>
    <w:rsid w:val="00131ABF"/>
    <w:rsid w:val="00131F61"/>
    <w:rsid w:val="00132272"/>
    <w:rsid w:val="0013229F"/>
    <w:rsid w:val="00132329"/>
    <w:rsid w:val="00132570"/>
    <w:rsid w:val="001326C7"/>
    <w:rsid w:val="00132905"/>
    <w:rsid w:val="00132C74"/>
    <w:rsid w:val="00132F40"/>
    <w:rsid w:val="00133917"/>
    <w:rsid w:val="00133A23"/>
    <w:rsid w:val="001343F0"/>
    <w:rsid w:val="001346ED"/>
    <w:rsid w:val="00134B5B"/>
    <w:rsid w:val="00134CD9"/>
    <w:rsid w:val="001357FD"/>
    <w:rsid w:val="00136216"/>
    <w:rsid w:val="001368D0"/>
    <w:rsid w:val="00136B33"/>
    <w:rsid w:val="00136F50"/>
    <w:rsid w:val="00136F54"/>
    <w:rsid w:val="00136FF6"/>
    <w:rsid w:val="0013705E"/>
    <w:rsid w:val="00137435"/>
    <w:rsid w:val="00137A44"/>
    <w:rsid w:val="00137C20"/>
    <w:rsid w:val="00137E7F"/>
    <w:rsid w:val="00137F69"/>
    <w:rsid w:val="00140277"/>
    <w:rsid w:val="00140342"/>
    <w:rsid w:val="00140AD9"/>
    <w:rsid w:val="00140EE2"/>
    <w:rsid w:val="00140F10"/>
    <w:rsid w:val="00140F46"/>
    <w:rsid w:val="00140F9B"/>
    <w:rsid w:val="00141256"/>
    <w:rsid w:val="00141678"/>
    <w:rsid w:val="00141743"/>
    <w:rsid w:val="0014196E"/>
    <w:rsid w:val="00141C88"/>
    <w:rsid w:val="00141DD8"/>
    <w:rsid w:val="00141F57"/>
    <w:rsid w:val="00141FB4"/>
    <w:rsid w:val="00142319"/>
    <w:rsid w:val="0014241B"/>
    <w:rsid w:val="001426FB"/>
    <w:rsid w:val="00142E5A"/>
    <w:rsid w:val="00142EF5"/>
    <w:rsid w:val="001438D8"/>
    <w:rsid w:val="00143B8A"/>
    <w:rsid w:val="00143D14"/>
    <w:rsid w:val="00143F61"/>
    <w:rsid w:val="00144201"/>
    <w:rsid w:val="00144540"/>
    <w:rsid w:val="0014459C"/>
    <w:rsid w:val="001446A2"/>
    <w:rsid w:val="00144938"/>
    <w:rsid w:val="0014496D"/>
    <w:rsid w:val="00144C5D"/>
    <w:rsid w:val="001452E5"/>
    <w:rsid w:val="0014573D"/>
    <w:rsid w:val="00145BAC"/>
    <w:rsid w:val="00145F1D"/>
    <w:rsid w:val="001461DA"/>
    <w:rsid w:val="0014625B"/>
    <w:rsid w:val="0014648F"/>
    <w:rsid w:val="001467FF"/>
    <w:rsid w:val="00146AAA"/>
    <w:rsid w:val="00146B71"/>
    <w:rsid w:val="00146D75"/>
    <w:rsid w:val="00146FA3"/>
    <w:rsid w:val="00147804"/>
    <w:rsid w:val="001479D3"/>
    <w:rsid w:val="00147B26"/>
    <w:rsid w:val="00147ED2"/>
    <w:rsid w:val="00147F21"/>
    <w:rsid w:val="00150026"/>
    <w:rsid w:val="0015003E"/>
    <w:rsid w:val="0015013B"/>
    <w:rsid w:val="00150215"/>
    <w:rsid w:val="00150607"/>
    <w:rsid w:val="001506C7"/>
    <w:rsid w:val="001507D8"/>
    <w:rsid w:val="001509CC"/>
    <w:rsid w:val="001509DD"/>
    <w:rsid w:val="00151040"/>
    <w:rsid w:val="00151436"/>
    <w:rsid w:val="00151438"/>
    <w:rsid w:val="00151873"/>
    <w:rsid w:val="00151891"/>
    <w:rsid w:val="001518D3"/>
    <w:rsid w:val="0015194C"/>
    <w:rsid w:val="00151ADA"/>
    <w:rsid w:val="00151BF4"/>
    <w:rsid w:val="00151CA0"/>
    <w:rsid w:val="00151E21"/>
    <w:rsid w:val="00151FF9"/>
    <w:rsid w:val="0015224F"/>
    <w:rsid w:val="00152520"/>
    <w:rsid w:val="00152DF4"/>
    <w:rsid w:val="00153B5A"/>
    <w:rsid w:val="00153E96"/>
    <w:rsid w:val="00153F6C"/>
    <w:rsid w:val="00153F91"/>
    <w:rsid w:val="00154528"/>
    <w:rsid w:val="00154812"/>
    <w:rsid w:val="00154A6B"/>
    <w:rsid w:val="00154F08"/>
    <w:rsid w:val="0015507C"/>
    <w:rsid w:val="001551F1"/>
    <w:rsid w:val="001555B2"/>
    <w:rsid w:val="00155BC1"/>
    <w:rsid w:val="00156912"/>
    <w:rsid w:val="001569A2"/>
    <w:rsid w:val="00156BA2"/>
    <w:rsid w:val="00156C62"/>
    <w:rsid w:val="00156EF6"/>
    <w:rsid w:val="001573E8"/>
    <w:rsid w:val="001579A7"/>
    <w:rsid w:val="00157BD6"/>
    <w:rsid w:val="00157DB6"/>
    <w:rsid w:val="00160A64"/>
    <w:rsid w:val="00160BEE"/>
    <w:rsid w:val="00160D1F"/>
    <w:rsid w:val="001613BB"/>
    <w:rsid w:val="0016150B"/>
    <w:rsid w:val="00161617"/>
    <w:rsid w:val="00161AFF"/>
    <w:rsid w:val="00161E64"/>
    <w:rsid w:val="00162220"/>
    <w:rsid w:val="00162530"/>
    <w:rsid w:val="00162C6E"/>
    <w:rsid w:val="00162D30"/>
    <w:rsid w:val="001638AF"/>
    <w:rsid w:val="00163A86"/>
    <w:rsid w:val="00163C9F"/>
    <w:rsid w:val="00163E87"/>
    <w:rsid w:val="0016401C"/>
    <w:rsid w:val="00164202"/>
    <w:rsid w:val="001642EB"/>
    <w:rsid w:val="00164377"/>
    <w:rsid w:val="0016438A"/>
    <w:rsid w:val="001644BF"/>
    <w:rsid w:val="001644E1"/>
    <w:rsid w:val="00164576"/>
    <w:rsid w:val="00164654"/>
    <w:rsid w:val="001646E8"/>
    <w:rsid w:val="0016509A"/>
    <w:rsid w:val="001652C0"/>
    <w:rsid w:val="00165354"/>
    <w:rsid w:val="0016574A"/>
    <w:rsid w:val="001657F9"/>
    <w:rsid w:val="00165A2F"/>
    <w:rsid w:val="00166514"/>
    <w:rsid w:val="00166556"/>
    <w:rsid w:val="00166669"/>
    <w:rsid w:val="00166B6D"/>
    <w:rsid w:val="0016702B"/>
    <w:rsid w:val="0016705D"/>
    <w:rsid w:val="001670E7"/>
    <w:rsid w:val="001675F5"/>
    <w:rsid w:val="001677A4"/>
    <w:rsid w:val="0016790B"/>
    <w:rsid w:val="00167B14"/>
    <w:rsid w:val="00167B64"/>
    <w:rsid w:val="00167EF1"/>
    <w:rsid w:val="00167EFB"/>
    <w:rsid w:val="00167FDF"/>
    <w:rsid w:val="001700F0"/>
    <w:rsid w:val="001703E0"/>
    <w:rsid w:val="00170474"/>
    <w:rsid w:val="001706C2"/>
    <w:rsid w:val="0017080F"/>
    <w:rsid w:val="00170F2D"/>
    <w:rsid w:val="0017100B"/>
    <w:rsid w:val="0017103A"/>
    <w:rsid w:val="00171045"/>
    <w:rsid w:val="00171494"/>
    <w:rsid w:val="001715AF"/>
    <w:rsid w:val="00171819"/>
    <w:rsid w:val="00171831"/>
    <w:rsid w:val="00171FDB"/>
    <w:rsid w:val="001721E5"/>
    <w:rsid w:val="00172713"/>
    <w:rsid w:val="00172AA3"/>
    <w:rsid w:val="00172D47"/>
    <w:rsid w:val="0017349F"/>
    <w:rsid w:val="00173955"/>
    <w:rsid w:val="00173D00"/>
    <w:rsid w:val="00173EB0"/>
    <w:rsid w:val="001744D2"/>
    <w:rsid w:val="00174660"/>
    <w:rsid w:val="001749B9"/>
    <w:rsid w:val="00174C85"/>
    <w:rsid w:val="00174D98"/>
    <w:rsid w:val="001750A5"/>
    <w:rsid w:val="0017529F"/>
    <w:rsid w:val="001752BF"/>
    <w:rsid w:val="001755F4"/>
    <w:rsid w:val="0017578E"/>
    <w:rsid w:val="0017588F"/>
    <w:rsid w:val="0017597B"/>
    <w:rsid w:val="00175EE5"/>
    <w:rsid w:val="0017631E"/>
    <w:rsid w:val="0017647B"/>
    <w:rsid w:val="0017690E"/>
    <w:rsid w:val="00176938"/>
    <w:rsid w:val="00176C96"/>
    <w:rsid w:val="00177052"/>
    <w:rsid w:val="001770A5"/>
    <w:rsid w:val="001772B3"/>
    <w:rsid w:val="0017753E"/>
    <w:rsid w:val="0017762F"/>
    <w:rsid w:val="00177739"/>
    <w:rsid w:val="00177C65"/>
    <w:rsid w:val="00177E3E"/>
    <w:rsid w:val="00177ED2"/>
    <w:rsid w:val="0018022F"/>
    <w:rsid w:val="00180708"/>
    <w:rsid w:val="00180985"/>
    <w:rsid w:val="00180B8B"/>
    <w:rsid w:val="00180F1B"/>
    <w:rsid w:val="00180FCE"/>
    <w:rsid w:val="0018141C"/>
    <w:rsid w:val="00181B37"/>
    <w:rsid w:val="00181BE3"/>
    <w:rsid w:val="00181D2F"/>
    <w:rsid w:val="00182035"/>
    <w:rsid w:val="0018238D"/>
    <w:rsid w:val="0018251F"/>
    <w:rsid w:val="00182792"/>
    <w:rsid w:val="001827B1"/>
    <w:rsid w:val="00182B04"/>
    <w:rsid w:val="00182D2C"/>
    <w:rsid w:val="00182E35"/>
    <w:rsid w:val="00182E4E"/>
    <w:rsid w:val="00183058"/>
    <w:rsid w:val="001832DE"/>
    <w:rsid w:val="001833CF"/>
    <w:rsid w:val="0018351F"/>
    <w:rsid w:val="001839F9"/>
    <w:rsid w:val="00183A08"/>
    <w:rsid w:val="00183B7E"/>
    <w:rsid w:val="00183F3C"/>
    <w:rsid w:val="00183F5F"/>
    <w:rsid w:val="001843A2"/>
    <w:rsid w:val="00184499"/>
    <w:rsid w:val="0018481A"/>
    <w:rsid w:val="001848CE"/>
    <w:rsid w:val="00184982"/>
    <w:rsid w:val="00184BBC"/>
    <w:rsid w:val="0018524A"/>
    <w:rsid w:val="0018531D"/>
    <w:rsid w:val="001854B4"/>
    <w:rsid w:val="001856A8"/>
    <w:rsid w:val="001859E0"/>
    <w:rsid w:val="00185AD2"/>
    <w:rsid w:val="00185F7B"/>
    <w:rsid w:val="001864BE"/>
    <w:rsid w:val="00186832"/>
    <w:rsid w:val="00186A7D"/>
    <w:rsid w:val="0018708E"/>
    <w:rsid w:val="001872F8"/>
    <w:rsid w:val="00187D15"/>
    <w:rsid w:val="00187F1E"/>
    <w:rsid w:val="00190268"/>
    <w:rsid w:val="001902BB"/>
    <w:rsid w:val="001904AA"/>
    <w:rsid w:val="00190E25"/>
    <w:rsid w:val="00190EB1"/>
    <w:rsid w:val="00191073"/>
    <w:rsid w:val="00191C3B"/>
    <w:rsid w:val="00191DC3"/>
    <w:rsid w:val="00191E5A"/>
    <w:rsid w:val="00192001"/>
    <w:rsid w:val="00192D24"/>
    <w:rsid w:val="00192F6C"/>
    <w:rsid w:val="0019339C"/>
    <w:rsid w:val="001934C1"/>
    <w:rsid w:val="001939E4"/>
    <w:rsid w:val="00193AF4"/>
    <w:rsid w:val="00193BA3"/>
    <w:rsid w:val="00193E38"/>
    <w:rsid w:val="001940DD"/>
    <w:rsid w:val="00194469"/>
    <w:rsid w:val="001944B7"/>
    <w:rsid w:val="0019465F"/>
    <w:rsid w:val="001946A8"/>
    <w:rsid w:val="00194A76"/>
    <w:rsid w:val="00194E39"/>
    <w:rsid w:val="001950AD"/>
    <w:rsid w:val="00195114"/>
    <w:rsid w:val="00195825"/>
    <w:rsid w:val="00195B16"/>
    <w:rsid w:val="00195B31"/>
    <w:rsid w:val="001965C6"/>
    <w:rsid w:val="00196A74"/>
    <w:rsid w:val="00196A99"/>
    <w:rsid w:val="00196B11"/>
    <w:rsid w:val="00196D9D"/>
    <w:rsid w:val="00196F6C"/>
    <w:rsid w:val="0019758F"/>
    <w:rsid w:val="00197C08"/>
    <w:rsid w:val="00197C71"/>
    <w:rsid w:val="00197DDE"/>
    <w:rsid w:val="00197EB9"/>
    <w:rsid w:val="00197F13"/>
    <w:rsid w:val="001A058B"/>
    <w:rsid w:val="001A0AFD"/>
    <w:rsid w:val="001A0C04"/>
    <w:rsid w:val="001A0E28"/>
    <w:rsid w:val="001A11B1"/>
    <w:rsid w:val="001A15C0"/>
    <w:rsid w:val="001A1709"/>
    <w:rsid w:val="001A18B2"/>
    <w:rsid w:val="001A1FEB"/>
    <w:rsid w:val="001A2012"/>
    <w:rsid w:val="001A21F0"/>
    <w:rsid w:val="001A22B5"/>
    <w:rsid w:val="001A2961"/>
    <w:rsid w:val="001A2B0E"/>
    <w:rsid w:val="001A2BD1"/>
    <w:rsid w:val="001A3437"/>
    <w:rsid w:val="001A3694"/>
    <w:rsid w:val="001A36FF"/>
    <w:rsid w:val="001A3C08"/>
    <w:rsid w:val="001A4046"/>
    <w:rsid w:val="001A42BA"/>
    <w:rsid w:val="001A5035"/>
    <w:rsid w:val="001A51A6"/>
    <w:rsid w:val="001A56B0"/>
    <w:rsid w:val="001A5733"/>
    <w:rsid w:val="001A5DCA"/>
    <w:rsid w:val="001A6375"/>
    <w:rsid w:val="001A669C"/>
    <w:rsid w:val="001A6B9B"/>
    <w:rsid w:val="001A6BDA"/>
    <w:rsid w:val="001A6DAB"/>
    <w:rsid w:val="001A7610"/>
    <w:rsid w:val="001A7834"/>
    <w:rsid w:val="001A79FB"/>
    <w:rsid w:val="001A7A06"/>
    <w:rsid w:val="001A7C03"/>
    <w:rsid w:val="001B01CD"/>
    <w:rsid w:val="001B02B8"/>
    <w:rsid w:val="001B034C"/>
    <w:rsid w:val="001B09D0"/>
    <w:rsid w:val="001B1594"/>
    <w:rsid w:val="001B1A36"/>
    <w:rsid w:val="001B1EC0"/>
    <w:rsid w:val="001B1EDE"/>
    <w:rsid w:val="001B2936"/>
    <w:rsid w:val="001B29AE"/>
    <w:rsid w:val="001B2CF7"/>
    <w:rsid w:val="001B2E48"/>
    <w:rsid w:val="001B3384"/>
    <w:rsid w:val="001B35F4"/>
    <w:rsid w:val="001B37F7"/>
    <w:rsid w:val="001B3F94"/>
    <w:rsid w:val="001B425E"/>
    <w:rsid w:val="001B428F"/>
    <w:rsid w:val="001B4303"/>
    <w:rsid w:val="001B4983"/>
    <w:rsid w:val="001B4C7B"/>
    <w:rsid w:val="001B51DD"/>
    <w:rsid w:val="001B5694"/>
    <w:rsid w:val="001B5AE3"/>
    <w:rsid w:val="001B6105"/>
    <w:rsid w:val="001B6340"/>
    <w:rsid w:val="001B6804"/>
    <w:rsid w:val="001B6B12"/>
    <w:rsid w:val="001B6C2B"/>
    <w:rsid w:val="001B6D93"/>
    <w:rsid w:val="001B6E76"/>
    <w:rsid w:val="001B71B8"/>
    <w:rsid w:val="001B71F3"/>
    <w:rsid w:val="001B74BB"/>
    <w:rsid w:val="001B7AA9"/>
    <w:rsid w:val="001B7BD0"/>
    <w:rsid w:val="001B7CDA"/>
    <w:rsid w:val="001B7E36"/>
    <w:rsid w:val="001B7E55"/>
    <w:rsid w:val="001B7F0C"/>
    <w:rsid w:val="001C020B"/>
    <w:rsid w:val="001C02B6"/>
    <w:rsid w:val="001C05D9"/>
    <w:rsid w:val="001C05E6"/>
    <w:rsid w:val="001C072A"/>
    <w:rsid w:val="001C0BC5"/>
    <w:rsid w:val="001C0D18"/>
    <w:rsid w:val="001C106B"/>
    <w:rsid w:val="001C1255"/>
    <w:rsid w:val="001C1585"/>
    <w:rsid w:val="001C1763"/>
    <w:rsid w:val="001C180E"/>
    <w:rsid w:val="001C1CF4"/>
    <w:rsid w:val="001C1D64"/>
    <w:rsid w:val="001C2155"/>
    <w:rsid w:val="001C2297"/>
    <w:rsid w:val="001C2B9A"/>
    <w:rsid w:val="001C2E89"/>
    <w:rsid w:val="001C3043"/>
    <w:rsid w:val="001C316F"/>
    <w:rsid w:val="001C40C7"/>
    <w:rsid w:val="001C4174"/>
    <w:rsid w:val="001C4374"/>
    <w:rsid w:val="001C4427"/>
    <w:rsid w:val="001C485C"/>
    <w:rsid w:val="001C4A2C"/>
    <w:rsid w:val="001C540A"/>
    <w:rsid w:val="001C551C"/>
    <w:rsid w:val="001C5775"/>
    <w:rsid w:val="001C5A8C"/>
    <w:rsid w:val="001C5D31"/>
    <w:rsid w:val="001C5E9A"/>
    <w:rsid w:val="001C5FF6"/>
    <w:rsid w:val="001C6429"/>
    <w:rsid w:val="001C68B0"/>
    <w:rsid w:val="001C6CE0"/>
    <w:rsid w:val="001C6D8D"/>
    <w:rsid w:val="001C6EE4"/>
    <w:rsid w:val="001C70DE"/>
    <w:rsid w:val="001C711C"/>
    <w:rsid w:val="001C71E9"/>
    <w:rsid w:val="001C7314"/>
    <w:rsid w:val="001D0314"/>
    <w:rsid w:val="001D0331"/>
    <w:rsid w:val="001D0473"/>
    <w:rsid w:val="001D053D"/>
    <w:rsid w:val="001D0DDD"/>
    <w:rsid w:val="001D10CB"/>
    <w:rsid w:val="001D126F"/>
    <w:rsid w:val="001D14DE"/>
    <w:rsid w:val="001D1509"/>
    <w:rsid w:val="001D180C"/>
    <w:rsid w:val="001D1B4E"/>
    <w:rsid w:val="001D2202"/>
    <w:rsid w:val="001D2227"/>
    <w:rsid w:val="001D24AB"/>
    <w:rsid w:val="001D268D"/>
    <w:rsid w:val="001D2822"/>
    <w:rsid w:val="001D292A"/>
    <w:rsid w:val="001D2B82"/>
    <w:rsid w:val="001D2BAD"/>
    <w:rsid w:val="001D3249"/>
    <w:rsid w:val="001D359B"/>
    <w:rsid w:val="001D35FD"/>
    <w:rsid w:val="001D3613"/>
    <w:rsid w:val="001D3BFD"/>
    <w:rsid w:val="001D3FCF"/>
    <w:rsid w:val="001D44A5"/>
    <w:rsid w:val="001D4564"/>
    <w:rsid w:val="001D469F"/>
    <w:rsid w:val="001D47A1"/>
    <w:rsid w:val="001D4A76"/>
    <w:rsid w:val="001D4F30"/>
    <w:rsid w:val="001D5148"/>
    <w:rsid w:val="001D5AF6"/>
    <w:rsid w:val="001D5B05"/>
    <w:rsid w:val="001D60C3"/>
    <w:rsid w:val="001D618F"/>
    <w:rsid w:val="001D63DA"/>
    <w:rsid w:val="001D6752"/>
    <w:rsid w:val="001D6CF5"/>
    <w:rsid w:val="001D6DB6"/>
    <w:rsid w:val="001D6F66"/>
    <w:rsid w:val="001D7368"/>
    <w:rsid w:val="001D757C"/>
    <w:rsid w:val="001D7CB1"/>
    <w:rsid w:val="001D7D73"/>
    <w:rsid w:val="001D7F83"/>
    <w:rsid w:val="001E0047"/>
    <w:rsid w:val="001E01F0"/>
    <w:rsid w:val="001E07FB"/>
    <w:rsid w:val="001E0C6E"/>
    <w:rsid w:val="001E10B0"/>
    <w:rsid w:val="001E1931"/>
    <w:rsid w:val="001E1A47"/>
    <w:rsid w:val="001E1CD1"/>
    <w:rsid w:val="001E203D"/>
    <w:rsid w:val="001E22AE"/>
    <w:rsid w:val="001E26E3"/>
    <w:rsid w:val="001E2EE1"/>
    <w:rsid w:val="001E2EF8"/>
    <w:rsid w:val="001E3066"/>
    <w:rsid w:val="001E324D"/>
    <w:rsid w:val="001E34DA"/>
    <w:rsid w:val="001E3573"/>
    <w:rsid w:val="001E3F55"/>
    <w:rsid w:val="001E3FDA"/>
    <w:rsid w:val="001E489C"/>
    <w:rsid w:val="001E48D5"/>
    <w:rsid w:val="001E4A13"/>
    <w:rsid w:val="001E4E7D"/>
    <w:rsid w:val="001E5148"/>
    <w:rsid w:val="001E52CA"/>
    <w:rsid w:val="001E54DF"/>
    <w:rsid w:val="001E5A31"/>
    <w:rsid w:val="001E5BDE"/>
    <w:rsid w:val="001E6097"/>
    <w:rsid w:val="001E61EE"/>
    <w:rsid w:val="001E6346"/>
    <w:rsid w:val="001E6700"/>
    <w:rsid w:val="001E69C4"/>
    <w:rsid w:val="001E6A76"/>
    <w:rsid w:val="001E6B92"/>
    <w:rsid w:val="001E6BFB"/>
    <w:rsid w:val="001E6E6B"/>
    <w:rsid w:val="001E6F4C"/>
    <w:rsid w:val="001E7294"/>
    <w:rsid w:val="001E7472"/>
    <w:rsid w:val="001E7568"/>
    <w:rsid w:val="001E75B0"/>
    <w:rsid w:val="001E7CAD"/>
    <w:rsid w:val="001E7F67"/>
    <w:rsid w:val="001F0696"/>
    <w:rsid w:val="001F0780"/>
    <w:rsid w:val="001F11A9"/>
    <w:rsid w:val="001F11B6"/>
    <w:rsid w:val="001F11FF"/>
    <w:rsid w:val="001F142A"/>
    <w:rsid w:val="001F147C"/>
    <w:rsid w:val="001F1545"/>
    <w:rsid w:val="001F15B0"/>
    <w:rsid w:val="001F1D5C"/>
    <w:rsid w:val="001F21E8"/>
    <w:rsid w:val="001F266D"/>
    <w:rsid w:val="001F2700"/>
    <w:rsid w:val="001F286B"/>
    <w:rsid w:val="001F2AC8"/>
    <w:rsid w:val="001F332B"/>
    <w:rsid w:val="001F365E"/>
    <w:rsid w:val="001F367E"/>
    <w:rsid w:val="001F36E6"/>
    <w:rsid w:val="001F3AE7"/>
    <w:rsid w:val="001F3F7D"/>
    <w:rsid w:val="001F4148"/>
    <w:rsid w:val="001F429A"/>
    <w:rsid w:val="001F4323"/>
    <w:rsid w:val="001F43A9"/>
    <w:rsid w:val="001F44BA"/>
    <w:rsid w:val="001F46D3"/>
    <w:rsid w:val="001F48B9"/>
    <w:rsid w:val="001F4E24"/>
    <w:rsid w:val="001F4E32"/>
    <w:rsid w:val="001F5046"/>
    <w:rsid w:val="001F518D"/>
    <w:rsid w:val="001F55B3"/>
    <w:rsid w:val="001F55DB"/>
    <w:rsid w:val="001F578B"/>
    <w:rsid w:val="001F5AAB"/>
    <w:rsid w:val="001F5F12"/>
    <w:rsid w:val="001F64A8"/>
    <w:rsid w:val="001F7086"/>
    <w:rsid w:val="001F73F5"/>
    <w:rsid w:val="001F772C"/>
    <w:rsid w:val="001F7907"/>
    <w:rsid w:val="001F7912"/>
    <w:rsid w:val="002000E0"/>
    <w:rsid w:val="00200108"/>
    <w:rsid w:val="00200924"/>
    <w:rsid w:val="00200DC7"/>
    <w:rsid w:val="002010F0"/>
    <w:rsid w:val="00201541"/>
    <w:rsid w:val="0020197F"/>
    <w:rsid w:val="00201AEE"/>
    <w:rsid w:val="00201BE0"/>
    <w:rsid w:val="00201C4B"/>
    <w:rsid w:val="00201EFE"/>
    <w:rsid w:val="00201FCB"/>
    <w:rsid w:val="00202469"/>
    <w:rsid w:val="00202742"/>
    <w:rsid w:val="00202AAD"/>
    <w:rsid w:val="00202D25"/>
    <w:rsid w:val="00203015"/>
    <w:rsid w:val="002037A0"/>
    <w:rsid w:val="00203B2A"/>
    <w:rsid w:val="00203C05"/>
    <w:rsid w:val="00203FE2"/>
    <w:rsid w:val="002040D0"/>
    <w:rsid w:val="0020436D"/>
    <w:rsid w:val="0020441B"/>
    <w:rsid w:val="002049A7"/>
    <w:rsid w:val="00204DC3"/>
    <w:rsid w:val="0020502A"/>
    <w:rsid w:val="00205173"/>
    <w:rsid w:val="00205683"/>
    <w:rsid w:val="0020577A"/>
    <w:rsid w:val="00205787"/>
    <w:rsid w:val="00205857"/>
    <w:rsid w:val="00205C7C"/>
    <w:rsid w:val="00205DF6"/>
    <w:rsid w:val="0020625B"/>
    <w:rsid w:val="0020631F"/>
    <w:rsid w:val="00206668"/>
    <w:rsid w:val="00206987"/>
    <w:rsid w:val="00206D00"/>
    <w:rsid w:val="00206D47"/>
    <w:rsid w:val="00206F79"/>
    <w:rsid w:val="002077AE"/>
    <w:rsid w:val="00207C0F"/>
    <w:rsid w:val="00207CE3"/>
    <w:rsid w:val="00210128"/>
    <w:rsid w:val="00210233"/>
    <w:rsid w:val="00210276"/>
    <w:rsid w:val="0021027C"/>
    <w:rsid w:val="0021055B"/>
    <w:rsid w:val="00210743"/>
    <w:rsid w:val="00210CBA"/>
    <w:rsid w:val="00210E44"/>
    <w:rsid w:val="00210F7B"/>
    <w:rsid w:val="0021128C"/>
    <w:rsid w:val="002114F0"/>
    <w:rsid w:val="00211618"/>
    <w:rsid w:val="00211A76"/>
    <w:rsid w:val="0021222E"/>
    <w:rsid w:val="00212662"/>
    <w:rsid w:val="00212814"/>
    <w:rsid w:val="00212AAF"/>
    <w:rsid w:val="002130BE"/>
    <w:rsid w:val="002133E1"/>
    <w:rsid w:val="0021344D"/>
    <w:rsid w:val="0021367C"/>
    <w:rsid w:val="002137C2"/>
    <w:rsid w:val="002144A5"/>
    <w:rsid w:val="00214644"/>
    <w:rsid w:val="00214C79"/>
    <w:rsid w:val="002151F4"/>
    <w:rsid w:val="002151F5"/>
    <w:rsid w:val="002159D3"/>
    <w:rsid w:val="00215A9A"/>
    <w:rsid w:val="00215BB1"/>
    <w:rsid w:val="00215CE5"/>
    <w:rsid w:val="00215FA6"/>
    <w:rsid w:val="00215FCD"/>
    <w:rsid w:val="00216354"/>
    <w:rsid w:val="002163E8"/>
    <w:rsid w:val="0021653F"/>
    <w:rsid w:val="00216614"/>
    <w:rsid w:val="00216686"/>
    <w:rsid w:val="00216792"/>
    <w:rsid w:val="002168BE"/>
    <w:rsid w:val="00216A63"/>
    <w:rsid w:val="00216B1A"/>
    <w:rsid w:val="00217332"/>
    <w:rsid w:val="00217743"/>
    <w:rsid w:val="00217915"/>
    <w:rsid w:val="002179DA"/>
    <w:rsid w:val="00217DF4"/>
    <w:rsid w:val="00217F5C"/>
    <w:rsid w:val="00217FD5"/>
    <w:rsid w:val="002203A9"/>
    <w:rsid w:val="00220A07"/>
    <w:rsid w:val="00220A84"/>
    <w:rsid w:val="00220B80"/>
    <w:rsid w:val="002210CD"/>
    <w:rsid w:val="0022167C"/>
    <w:rsid w:val="00221709"/>
    <w:rsid w:val="00221781"/>
    <w:rsid w:val="00221BAE"/>
    <w:rsid w:val="002220A4"/>
    <w:rsid w:val="00222BF8"/>
    <w:rsid w:val="0022312B"/>
    <w:rsid w:val="002233F0"/>
    <w:rsid w:val="0022385A"/>
    <w:rsid w:val="0022397A"/>
    <w:rsid w:val="00223A13"/>
    <w:rsid w:val="00223D3A"/>
    <w:rsid w:val="00223E8E"/>
    <w:rsid w:val="00223F5E"/>
    <w:rsid w:val="002242BD"/>
    <w:rsid w:val="00224F0A"/>
    <w:rsid w:val="00225177"/>
    <w:rsid w:val="002253FD"/>
    <w:rsid w:val="00225533"/>
    <w:rsid w:val="0022566B"/>
    <w:rsid w:val="00225724"/>
    <w:rsid w:val="00226008"/>
    <w:rsid w:val="00226340"/>
    <w:rsid w:val="0022670F"/>
    <w:rsid w:val="002269D9"/>
    <w:rsid w:val="00226B16"/>
    <w:rsid w:val="00226B36"/>
    <w:rsid w:val="00226CF2"/>
    <w:rsid w:val="00226F67"/>
    <w:rsid w:val="00227051"/>
    <w:rsid w:val="0022708B"/>
    <w:rsid w:val="00227110"/>
    <w:rsid w:val="00227398"/>
    <w:rsid w:val="002277B3"/>
    <w:rsid w:val="002277EB"/>
    <w:rsid w:val="00227E3A"/>
    <w:rsid w:val="002301ED"/>
    <w:rsid w:val="0023042E"/>
    <w:rsid w:val="00230514"/>
    <w:rsid w:val="00230A70"/>
    <w:rsid w:val="00230A9C"/>
    <w:rsid w:val="00230B28"/>
    <w:rsid w:val="00230B87"/>
    <w:rsid w:val="00230DCC"/>
    <w:rsid w:val="00231053"/>
    <w:rsid w:val="0023135B"/>
    <w:rsid w:val="0023138A"/>
    <w:rsid w:val="00231553"/>
    <w:rsid w:val="00231A73"/>
    <w:rsid w:val="00232249"/>
    <w:rsid w:val="0023228B"/>
    <w:rsid w:val="002328FC"/>
    <w:rsid w:val="002331AC"/>
    <w:rsid w:val="00233213"/>
    <w:rsid w:val="00233DDA"/>
    <w:rsid w:val="00233F88"/>
    <w:rsid w:val="00234143"/>
    <w:rsid w:val="00234519"/>
    <w:rsid w:val="0023480D"/>
    <w:rsid w:val="0023486E"/>
    <w:rsid w:val="002348BB"/>
    <w:rsid w:val="00234D04"/>
    <w:rsid w:val="00234DC6"/>
    <w:rsid w:val="00234DDA"/>
    <w:rsid w:val="00235611"/>
    <w:rsid w:val="0023565B"/>
    <w:rsid w:val="002359F9"/>
    <w:rsid w:val="00235A5A"/>
    <w:rsid w:val="00236060"/>
    <w:rsid w:val="00236483"/>
    <w:rsid w:val="00236596"/>
    <w:rsid w:val="00236773"/>
    <w:rsid w:val="00236975"/>
    <w:rsid w:val="002369C1"/>
    <w:rsid w:val="00236C75"/>
    <w:rsid w:val="00236F47"/>
    <w:rsid w:val="00237813"/>
    <w:rsid w:val="00237914"/>
    <w:rsid w:val="00240343"/>
    <w:rsid w:val="002403E2"/>
    <w:rsid w:val="002403E9"/>
    <w:rsid w:val="002405A7"/>
    <w:rsid w:val="002409BF"/>
    <w:rsid w:val="00240A4F"/>
    <w:rsid w:val="00240C10"/>
    <w:rsid w:val="00240D11"/>
    <w:rsid w:val="00240E55"/>
    <w:rsid w:val="002411A6"/>
    <w:rsid w:val="00241618"/>
    <w:rsid w:val="00241B2C"/>
    <w:rsid w:val="00241E8F"/>
    <w:rsid w:val="00242085"/>
    <w:rsid w:val="00242110"/>
    <w:rsid w:val="00242284"/>
    <w:rsid w:val="00242419"/>
    <w:rsid w:val="00242670"/>
    <w:rsid w:val="00242D13"/>
    <w:rsid w:val="0024319B"/>
    <w:rsid w:val="00243C35"/>
    <w:rsid w:val="00244064"/>
    <w:rsid w:val="0024411C"/>
    <w:rsid w:val="00244308"/>
    <w:rsid w:val="00244A2D"/>
    <w:rsid w:val="00244D25"/>
    <w:rsid w:val="00245028"/>
    <w:rsid w:val="00245368"/>
    <w:rsid w:val="00245375"/>
    <w:rsid w:val="00245513"/>
    <w:rsid w:val="0024598B"/>
    <w:rsid w:val="00245C26"/>
    <w:rsid w:val="00245DFC"/>
    <w:rsid w:val="00245F2D"/>
    <w:rsid w:val="00246227"/>
    <w:rsid w:val="002462E9"/>
    <w:rsid w:val="00246353"/>
    <w:rsid w:val="002469F4"/>
    <w:rsid w:val="00246A3F"/>
    <w:rsid w:val="00246BD5"/>
    <w:rsid w:val="00246CA8"/>
    <w:rsid w:val="00247047"/>
    <w:rsid w:val="0024705C"/>
    <w:rsid w:val="00247124"/>
    <w:rsid w:val="00247182"/>
    <w:rsid w:val="002472F7"/>
    <w:rsid w:val="002479C1"/>
    <w:rsid w:val="00247A9D"/>
    <w:rsid w:val="00247D2A"/>
    <w:rsid w:val="00247FDD"/>
    <w:rsid w:val="00250019"/>
    <w:rsid w:val="002501A1"/>
    <w:rsid w:val="002501C0"/>
    <w:rsid w:val="002502B0"/>
    <w:rsid w:val="00250877"/>
    <w:rsid w:val="00250B8A"/>
    <w:rsid w:val="00250FF4"/>
    <w:rsid w:val="0025118E"/>
    <w:rsid w:val="002511E0"/>
    <w:rsid w:val="00251330"/>
    <w:rsid w:val="002513DB"/>
    <w:rsid w:val="00251442"/>
    <w:rsid w:val="0025188F"/>
    <w:rsid w:val="00251998"/>
    <w:rsid w:val="002519A7"/>
    <w:rsid w:val="00251B0E"/>
    <w:rsid w:val="00251B8A"/>
    <w:rsid w:val="002520E8"/>
    <w:rsid w:val="00252104"/>
    <w:rsid w:val="00252427"/>
    <w:rsid w:val="00252659"/>
    <w:rsid w:val="002527B9"/>
    <w:rsid w:val="002529A8"/>
    <w:rsid w:val="00252D11"/>
    <w:rsid w:val="00252D77"/>
    <w:rsid w:val="00252DC1"/>
    <w:rsid w:val="0025312B"/>
    <w:rsid w:val="002535C3"/>
    <w:rsid w:val="00253644"/>
    <w:rsid w:val="00253827"/>
    <w:rsid w:val="0025394D"/>
    <w:rsid w:val="002539F8"/>
    <w:rsid w:val="00253B92"/>
    <w:rsid w:val="00253D94"/>
    <w:rsid w:val="00253EAB"/>
    <w:rsid w:val="00254018"/>
    <w:rsid w:val="0025407C"/>
    <w:rsid w:val="00254387"/>
    <w:rsid w:val="002547A1"/>
    <w:rsid w:val="002548D1"/>
    <w:rsid w:val="00255890"/>
    <w:rsid w:val="00255A41"/>
    <w:rsid w:val="00255F40"/>
    <w:rsid w:val="00256363"/>
    <w:rsid w:val="00256377"/>
    <w:rsid w:val="002566C1"/>
    <w:rsid w:val="00256814"/>
    <w:rsid w:val="002568BF"/>
    <w:rsid w:val="00256BB9"/>
    <w:rsid w:val="00256ECC"/>
    <w:rsid w:val="0025712B"/>
    <w:rsid w:val="00257B42"/>
    <w:rsid w:val="00257B67"/>
    <w:rsid w:val="00257D05"/>
    <w:rsid w:val="00257D1D"/>
    <w:rsid w:val="00257D4E"/>
    <w:rsid w:val="00257F66"/>
    <w:rsid w:val="00260135"/>
    <w:rsid w:val="002605B5"/>
    <w:rsid w:val="00260A60"/>
    <w:rsid w:val="00260C36"/>
    <w:rsid w:val="00260C6D"/>
    <w:rsid w:val="00260D3B"/>
    <w:rsid w:val="00261231"/>
    <w:rsid w:val="002615BF"/>
    <w:rsid w:val="002616C6"/>
    <w:rsid w:val="002618CD"/>
    <w:rsid w:val="00261A45"/>
    <w:rsid w:val="0026220C"/>
    <w:rsid w:val="0026235E"/>
    <w:rsid w:val="00262490"/>
    <w:rsid w:val="00262A71"/>
    <w:rsid w:val="002633B3"/>
    <w:rsid w:val="002636A8"/>
    <w:rsid w:val="00263746"/>
    <w:rsid w:val="00263882"/>
    <w:rsid w:val="0026469D"/>
    <w:rsid w:val="002649B9"/>
    <w:rsid w:val="002653B4"/>
    <w:rsid w:val="00265796"/>
    <w:rsid w:val="002657E6"/>
    <w:rsid w:val="00265B3B"/>
    <w:rsid w:val="00265C7B"/>
    <w:rsid w:val="0026643E"/>
    <w:rsid w:val="00266D9D"/>
    <w:rsid w:val="0026712F"/>
    <w:rsid w:val="0026717F"/>
    <w:rsid w:val="002675C2"/>
    <w:rsid w:val="002676AB"/>
    <w:rsid w:val="00267F37"/>
    <w:rsid w:val="00267FCC"/>
    <w:rsid w:val="00270AA5"/>
    <w:rsid w:val="00270B6D"/>
    <w:rsid w:val="0027123F"/>
    <w:rsid w:val="00271522"/>
    <w:rsid w:val="00271661"/>
    <w:rsid w:val="0027174C"/>
    <w:rsid w:val="00271A27"/>
    <w:rsid w:val="00271EE4"/>
    <w:rsid w:val="002725FC"/>
    <w:rsid w:val="00272E62"/>
    <w:rsid w:val="00272F38"/>
    <w:rsid w:val="00272F73"/>
    <w:rsid w:val="00273017"/>
    <w:rsid w:val="00273504"/>
    <w:rsid w:val="00273649"/>
    <w:rsid w:val="002737A5"/>
    <w:rsid w:val="002738A7"/>
    <w:rsid w:val="00273B7F"/>
    <w:rsid w:val="002742E9"/>
    <w:rsid w:val="002745F6"/>
    <w:rsid w:val="00274AE6"/>
    <w:rsid w:val="00275037"/>
    <w:rsid w:val="002750BD"/>
    <w:rsid w:val="002755E9"/>
    <w:rsid w:val="002759C5"/>
    <w:rsid w:val="00275F2C"/>
    <w:rsid w:val="002760CF"/>
    <w:rsid w:val="0027629C"/>
    <w:rsid w:val="002765F9"/>
    <w:rsid w:val="002768B2"/>
    <w:rsid w:val="00276977"/>
    <w:rsid w:val="00276ACA"/>
    <w:rsid w:val="00276E04"/>
    <w:rsid w:val="0027747B"/>
    <w:rsid w:val="002775DE"/>
    <w:rsid w:val="00277B81"/>
    <w:rsid w:val="00277D5C"/>
    <w:rsid w:val="00277E0E"/>
    <w:rsid w:val="0028028B"/>
    <w:rsid w:val="002804C9"/>
    <w:rsid w:val="00280690"/>
    <w:rsid w:val="00280B84"/>
    <w:rsid w:val="00280BA2"/>
    <w:rsid w:val="00281110"/>
    <w:rsid w:val="002814FC"/>
    <w:rsid w:val="0028151A"/>
    <w:rsid w:val="00281701"/>
    <w:rsid w:val="002817CB"/>
    <w:rsid w:val="00281ADF"/>
    <w:rsid w:val="00282215"/>
    <w:rsid w:val="0028250B"/>
    <w:rsid w:val="002826C5"/>
    <w:rsid w:val="00282893"/>
    <w:rsid w:val="0028301E"/>
    <w:rsid w:val="002837FA"/>
    <w:rsid w:val="00283EB1"/>
    <w:rsid w:val="00284971"/>
    <w:rsid w:val="00284FBC"/>
    <w:rsid w:val="00284FF0"/>
    <w:rsid w:val="00285650"/>
    <w:rsid w:val="0028575C"/>
    <w:rsid w:val="00285A7F"/>
    <w:rsid w:val="00285C25"/>
    <w:rsid w:val="00285C6C"/>
    <w:rsid w:val="00285DDA"/>
    <w:rsid w:val="00286195"/>
    <w:rsid w:val="002867A7"/>
    <w:rsid w:val="00286AE8"/>
    <w:rsid w:val="00286C7D"/>
    <w:rsid w:val="00286D8E"/>
    <w:rsid w:val="00286DB9"/>
    <w:rsid w:val="00286F21"/>
    <w:rsid w:val="00287251"/>
    <w:rsid w:val="00287BB6"/>
    <w:rsid w:val="00287BD7"/>
    <w:rsid w:val="00287C46"/>
    <w:rsid w:val="00290644"/>
    <w:rsid w:val="00290B22"/>
    <w:rsid w:val="00291113"/>
    <w:rsid w:val="0029146D"/>
    <w:rsid w:val="00291638"/>
    <w:rsid w:val="00291B69"/>
    <w:rsid w:val="00291BE6"/>
    <w:rsid w:val="0029225A"/>
    <w:rsid w:val="00292343"/>
    <w:rsid w:val="0029247D"/>
    <w:rsid w:val="00292668"/>
    <w:rsid w:val="00292719"/>
    <w:rsid w:val="0029276E"/>
    <w:rsid w:val="00292978"/>
    <w:rsid w:val="00292A65"/>
    <w:rsid w:val="00292BAA"/>
    <w:rsid w:val="00292C74"/>
    <w:rsid w:val="00292F24"/>
    <w:rsid w:val="0029312D"/>
    <w:rsid w:val="0029334B"/>
    <w:rsid w:val="002933FC"/>
    <w:rsid w:val="002939B1"/>
    <w:rsid w:val="00293C29"/>
    <w:rsid w:val="00293C91"/>
    <w:rsid w:val="00293EA1"/>
    <w:rsid w:val="00293F9D"/>
    <w:rsid w:val="0029406C"/>
    <w:rsid w:val="002940A5"/>
    <w:rsid w:val="00294844"/>
    <w:rsid w:val="002949A2"/>
    <w:rsid w:val="00294AF4"/>
    <w:rsid w:val="00294CA2"/>
    <w:rsid w:val="00294DAC"/>
    <w:rsid w:val="00294FFB"/>
    <w:rsid w:val="00295258"/>
    <w:rsid w:val="002955AA"/>
    <w:rsid w:val="00295707"/>
    <w:rsid w:val="00295734"/>
    <w:rsid w:val="00295999"/>
    <w:rsid w:val="00295CFD"/>
    <w:rsid w:val="00295D48"/>
    <w:rsid w:val="002961B4"/>
    <w:rsid w:val="002961C6"/>
    <w:rsid w:val="00296215"/>
    <w:rsid w:val="002964F4"/>
    <w:rsid w:val="0029652C"/>
    <w:rsid w:val="002968F6"/>
    <w:rsid w:val="002972A9"/>
    <w:rsid w:val="0029734B"/>
    <w:rsid w:val="002977CC"/>
    <w:rsid w:val="00297AD3"/>
    <w:rsid w:val="002A02C8"/>
    <w:rsid w:val="002A0723"/>
    <w:rsid w:val="002A07C7"/>
    <w:rsid w:val="002A09E9"/>
    <w:rsid w:val="002A0CB6"/>
    <w:rsid w:val="002A0D0B"/>
    <w:rsid w:val="002A0FE0"/>
    <w:rsid w:val="002A115F"/>
    <w:rsid w:val="002A12CB"/>
    <w:rsid w:val="002A1A42"/>
    <w:rsid w:val="002A1B91"/>
    <w:rsid w:val="002A1BA7"/>
    <w:rsid w:val="002A1FAC"/>
    <w:rsid w:val="002A2420"/>
    <w:rsid w:val="002A24E2"/>
    <w:rsid w:val="002A26FE"/>
    <w:rsid w:val="002A29FA"/>
    <w:rsid w:val="002A2DA1"/>
    <w:rsid w:val="002A2EE0"/>
    <w:rsid w:val="002A3057"/>
    <w:rsid w:val="002A3141"/>
    <w:rsid w:val="002A33F8"/>
    <w:rsid w:val="002A345D"/>
    <w:rsid w:val="002A3644"/>
    <w:rsid w:val="002A365B"/>
    <w:rsid w:val="002A36CE"/>
    <w:rsid w:val="002A3F63"/>
    <w:rsid w:val="002A4231"/>
    <w:rsid w:val="002A48AC"/>
    <w:rsid w:val="002A4EC1"/>
    <w:rsid w:val="002A4FEF"/>
    <w:rsid w:val="002A547F"/>
    <w:rsid w:val="002A5912"/>
    <w:rsid w:val="002A59CC"/>
    <w:rsid w:val="002A63D3"/>
    <w:rsid w:val="002A66D7"/>
    <w:rsid w:val="002A6751"/>
    <w:rsid w:val="002A68C3"/>
    <w:rsid w:val="002A69F5"/>
    <w:rsid w:val="002A6C4B"/>
    <w:rsid w:val="002A6CB1"/>
    <w:rsid w:val="002A702E"/>
    <w:rsid w:val="002A77EB"/>
    <w:rsid w:val="002B0247"/>
    <w:rsid w:val="002B035A"/>
    <w:rsid w:val="002B0429"/>
    <w:rsid w:val="002B08A3"/>
    <w:rsid w:val="002B0D65"/>
    <w:rsid w:val="002B0DF0"/>
    <w:rsid w:val="002B0FED"/>
    <w:rsid w:val="002B1047"/>
    <w:rsid w:val="002B108E"/>
    <w:rsid w:val="002B120D"/>
    <w:rsid w:val="002B121B"/>
    <w:rsid w:val="002B1536"/>
    <w:rsid w:val="002B1692"/>
    <w:rsid w:val="002B1753"/>
    <w:rsid w:val="002B2062"/>
    <w:rsid w:val="002B21B9"/>
    <w:rsid w:val="002B21E9"/>
    <w:rsid w:val="002B2310"/>
    <w:rsid w:val="002B2359"/>
    <w:rsid w:val="002B24BB"/>
    <w:rsid w:val="002B27DF"/>
    <w:rsid w:val="002B2E00"/>
    <w:rsid w:val="002B347C"/>
    <w:rsid w:val="002B349E"/>
    <w:rsid w:val="002B3D89"/>
    <w:rsid w:val="002B4024"/>
    <w:rsid w:val="002B4252"/>
    <w:rsid w:val="002B439E"/>
    <w:rsid w:val="002B481B"/>
    <w:rsid w:val="002B5240"/>
    <w:rsid w:val="002B54B3"/>
    <w:rsid w:val="002B5598"/>
    <w:rsid w:val="002B562C"/>
    <w:rsid w:val="002B5858"/>
    <w:rsid w:val="002B5D40"/>
    <w:rsid w:val="002B6ED9"/>
    <w:rsid w:val="002B7283"/>
    <w:rsid w:val="002B73EE"/>
    <w:rsid w:val="002B7446"/>
    <w:rsid w:val="002B7486"/>
    <w:rsid w:val="002B7BCB"/>
    <w:rsid w:val="002B7C7A"/>
    <w:rsid w:val="002C00B5"/>
    <w:rsid w:val="002C0630"/>
    <w:rsid w:val="002C0757"/>
    <w:rsid w:val="002C09C0"/>
    <w:rsid w:val="002C102D"/>
    <w:rsid w:val="002C17B2"/>
    <w:rsid w:val="002C1B3E"/>
    <w:rsid w:val="002C1BD6"/>
    <w:rsid w:val="002C30B4"/>
    <w:rsid w:val="002C35C4"/>
    <w:rsid w:val="002C3678"/>
    <w:rsid w:val="002C3718"/>
    <w:rsid w:val="002C3A90"/>
    <w:rsid w:val="002C3C2E"/>
    <w:rsid w:val="002C3EC8"/>
    <w:rsid w:val="002C406C"/>
    <w:rsid w:val="002C43B2"/>
    <w:rsid w:val="002C442C"/>
    <w:rsid w:val="002C4458"/>
    <w:rsid w:val="002C45AE"/>
    <w:rsid w:val="002C4985"/>
    <w:rsid w:val="002C4BC0"/>
    <w:rsid w:val="002C5039"/>
    <w:rsid w:val="002C56B3"/>
    <w:rsid w:val="002C5876"/>
    <w:rsid w:val="002C5BCF"/>
    <w:rsid w:val="002C5C2E"/>
    <w:rsid w:val="002C5F69"/>
    <w:rsid w:val="002C61C9"/>
    <w:rsid w:val="002C62B0"/>
    <w:rsid w:val="002C63CA"/>
    <w:rsid w:val="002C64EB"/>
    <w:rsid w:val="002C66F2"/>
    <w:rsid w:val="002C6792"/>
    <w:rsid w:val="002C686D"/>
    <w:rsid w:val="002C6AFD"/>
    <w:rsid w:val="002C6B84"/>
    <w:rsid w:val="002C6CF7"/>
    <w:rsid w:val="002C6D98"/>
    <w:rsid w:val="002C7592"/>
    <w:rsid w:val="002C78E1"/>
    <w:rsid w:val="002C7AC1"/>
    <w:rsid w:val="002C7D79"/>
    <w:rsid w:val="002D0295"/>
    <w:rsid w:val="002D029E"/>
    <w:rsid w:val="002D03B6"/>
    <w:rsid w:val="002D08B6"/>
    <w:rsid w:val="002D0C40"/>
    <w:rsid w:val="002D102B"/>
    <w:rsid w:val="002D168C"/>
    <w:rsid w:val="002D1B1D"/>
    <w:rsid w:val="002D2385"/>
    <w:rsid w:val="002D2427"/>
    <w:rsid w:val="002D245E"/>
    <w:rsid w:val="002D2486"/>
    <w:rsid w:val="002D267E"/>
    <w:rsid w:val="002D2770"/>
    <w:rsid w:val="002D2AD2"/>
    <w:rsid w:val="002D2AD9"/>
    <w:rsid w:val="002D2CA5"/>
    <w:rsid w:val="002D2D4C"/>
    <w:rsid w:val="002D2EBB"/>
    <w:rsid w:val="002D2F27"/>
    <w:rsid w:val="002D33DA"/>
    <w:rsid w:val="002D369D"/>
    <w:rsid w:val="002D36B6"/>
    <w:rsid w:val="002D3B02"/>
    <w:rsid w:val="002D3B7A"/>
    <w:rsid w:val="002D3D31"/>
    <w:rsid w:val="002D4AE2"/>
    <w:rsid w:val="002D50F0"/>
    <w:rsid w:val="002D565A"/>
    <w:rsid w:val="002D593B"/>
    <w:rsid w:val="002D6891"/>
    <w:rsid w:val="002D6AE7"/>
    <w:rsid w:val="002D74EB"/>
    <w:rsid w:val="002D76C9"/>
    <w:rsid w:val="002D7A53"/>
    <w:rsid w:val="002D7CCB"/>
    <w:rsid w:val="002D7D7C"/>
    <w:rsid w:val="002D7F71"/>
    <w:rsid w:val="002E0195"/>
    <w:rsid w:val="002E0211"/>
    <w:rsid w:val="002E06E0"/>
    <w:rsid w:val="002E0715"/>
    <w:rsid w:val="002E0727"/>
    <w:rsid w:val="002E0ADF"/>
    <w:rsid w:val="002E0AE2"/>
    <w:rsid w:val="002E1057"/>
    <w:rsid w:val="002E1368"/>
    <w:rsid w:val="002E14BA"/>
    <w:rsid w:val="002E1CD6"/>
    <w:rsid w:val="002E1D49"/>
    <w:rsid w:val="002E1F5A"/>
    <w:rsid w:val="002E22CD"/>
    <w:rsid w:val="002E23B6"/>
    <w:rsid w:val="002E2A9A"/>
    <w:rsid w:val="002E2AF9"/>
    <w:rsid w:val="002E2B02"/>
    <w:rsid w:val="002E2B35"/>
    <w:rsid w:val="002E2CAF"/>
    <w:rsid w:val="002E2DA3"/>
    <w:rsid w:val="002E2E1F"/>
    <w:rsid w:val="002E3716"/>
    <w:rsid w:val="002E3DFA"/>
    <w:rsid w:val="002E3F1D"/>
    <w:rsid w:val="002E414C"/>
    <w:rsid w:val="002E4698"/>
    <w:rsid w:val="002E48D8"/>
    <w:rsid w:val="002E4928"/>
    <w:rsid w:val="002E4AEE"/>
    <w:rsid w:val="002E4B2B"/>
    <w:rsid w:val="002E4F77"/>
    <w:rsid w:val="002E5344"/>
    <w:rsid w:val="002E5480"/>
    <w:rsid w:val="002E554C"/>
    <w:rsid w:val="002E5656"/>
    <w:rsid w:val="002E5CD0"/>
    <w:rsid w:val="002E5EAC"/>
    <w:rsid w:val="002E6080"/>
    <w:rsid w:val="002E615C"/>
    <w:rsid w:val="002E6CB8"/>
    <w:rsid w:val="002E6D11"/>
    <w:rsid w:val="002E6D9A"/>
    <w:rsid w:val="002E6DBC"/>
    <w:rsid w:val="002E7AE4"/>
    <w:rsid w:val="002E7CD2"/>
    <w:rsid w:val="002F0413"/>
    <w:rsid w:val="002F04C8"/>
    <w:rsid w:val="002F071B"/>
    <w:rsid w:val="002F09E6"/>
    <w:rsid w:val="002F10E1"/>
    <w:rsid w:val="002F1606"/>
    <w:rsid w:val="002F1765"/>
    <w:rsid w:val="002F1C11"/>
    <w:rsid w:val="002F1D7A"/>
    <w:rsid w:val="002F240F"/>
    <w:rsid w:val="002F2DBB"/>
    <w:rsid w:val="002F302D"/>
    <w:rsid w:val="002F310F"/>
    <w:rsid w:val="002F3B1D"/>
    <w:rsid w:val="002F4057"/>
    <w:rsid w:val="002F416D"/>
    <w:rsid w:val="002F4503"/>
    <w:rsid w:val="002F4C1F"/>
    <w:rsid w:val="002F4C22"/>
    <w:rsid w:val="002F5013"/>
    <w:rsid w:val="002F5648"/>
    <w:rsid w:val="002F57F0"/>
    <w:rsid w:val="002F611A"/>
    <w:rsid w:val="002F63CD"/>
    <w:rsid w:val="002F653A"/>
    <w:rsid w:val="002F67C2"/>
    <w:rsid w:val="002F68D9"/>
    <w:rsid w:val="002F6A87"/>
    <w:rsid w:val="002F6B38"/>
    <w:rsid w:val="002F6B4A"/>
    <w:rsid w:val="002F718E"/>
    <w:rsid w:val="002F7215"/>
    <w:rsid w:val="002F72E2"/>
    <w:rsid w:val="002F781D"/>
    <w:rsid w:val="002F7B78"/>
    <w:rsid w:val="002F7BE2"/>
    <w:rsid w:val="002F7F5E"/>
    <w:rsid w:val="003000B1"/>
    <w:rsid w:val="003006EC"/>
    <w:rsid w:val="00300CD1"/>
    <w:rsid w:val="00300E83"/>
    <w:rsid w:val="00300EDF"/>
    <w:rsid w:val="00300F16"/>
    <w:rsid w:val="00300F57"/>
    <w:rsid w:val="00300FF7"/>
    <w:rsid w:val="003011F0"/>
    <w:rsid w:val="003012C2"/>
    <w:rsid w:val="0030147E"/>
    <w:rsid w:val="0030163A"/>
    <w:rsid w:val="003018EC"/>
    <w:rsid w:val="00301A8E"/>
    <w:rsid w:val="00301DD3"/>
    <w:rsid w:val="00301DF9"/>
    <w:rsid w:val="00301FDA"/>
    <w:rsid w:val="00302408"/>
    <w:rsid w:val="003025E7"/>
    <w:rsid w:val="003026D8"/>
    <w:rsid w:val="003031D3"/>
    <w:rsid w:val="003032E8"/>
    <w:rsid w:val="00303444"/>
    <w:rsid w:val="00303676"/>
    <w:rsid w:val="00303787"/>
    <w:rsid w:val="003039B5"/>
    <w:rsid w:val="00303A16"/>
    <w:rsid w:val="00303BCD"/>
    <w:rsid w:val="00304461"/>
    <w:rsid w:val="00304728"/>
    <w:rsid w:val="00304829"/>
    <w:rsid w:val="0030494C"/>
    <w:rsid w:val="0030494E"/>
    <w:rsid w:val="00304D49"/>
    <w:rsid w:val="0030509C"/>
    <w:rsid w:val="003055FA"/>
    <w:rsid w:val="003056E1"/>
    <w:rsid w:val="00305899"/>
    <w:rsid w:val="00305906"/>
    <w:rsid w:val="00305AE9"/>
    <w:rsid w:val="00305B03"/>
    <w:rsid w:val="00305EA6"/>
    <w:rsid w:val="003065CF"/>
    <w:rsid w:val="0030678C"/>
    <w:rsid w:val="00306980"/>
    <w:rsid w:val="003069CE"/>
    <w:rsid w:val="00306DFE"/>
    <w:rsid w:val="0030711A"/>
    <w:rsid w:val="003074E2"/>
    <w:rsid w:val="003079F3"/>
    <w:rsid w:val="00307B0E"/>
    <w:rsid w:val="0031019F"/>
    <w:rsid w:val="00310362"/>
    <w:rsid w:val="003105D0"/>
    <w:rsid w:val="00310B77"/>
    <w:rsid w:val="00310BE6"/>
    <w:rsid w:val="00310E89"/>
    <w:rsid w:val="00310ECE"/>
    <w:rsid w:val="003111F1"/>
    <w:rsid w:val="00311228"/>
    <w:rsid w:val="003113C7"/>
    <w:rsid w:val="0031185D"/>
    <w:rsid w:val="0031197A"/>
    <w:rsid w:val="003119DE"/>
    <w:rsid w:val="0031253A"/>
    <w:rsid w:val="00312830"/>
    <w:rsid w:val="00312A1A"/>
    <w:rsid w:val="00312F17"/>
    <w:rsid w:val="00313001"/>
    <w:rsid w:val="003133C1"/>
    <w:rsid w:val="003133CD"/>
    <w:rsid w:val="0031350F"/>
    <w:rsid w:val="003136C5"/>
    <w:rsid w:val="0031396D"/>
    <w:rsid w:val="00313D3F"/>
    <w:rsid w:val="00313DE1"/>
    <w:rsid w:val="00313FF3"/>
    <w:rsid w:val="003144E4"/>
    <w:rsid w:val="00314CCE"/>
    <w:rsid w:val="00314EF5"/>
    <w:rsid w:val="0031531C"/>
    <w:rsid w:val="00315486"/>
    <w:rsid w:val="00315C6B"/>
    <w:rsid w:val="00315E0D"/>
    <w:rsid w:val="00316147"/>
    <w:rsid w:val="00316329"/>
    <w:rsid w:val="0031672A"/>
    <w:rsid w:val="003168F3"/>
    <w:rsid w:val="00316B37"/>
    <w:rsid w:val="00316CB2"/>
    <w:rsid w:val="00316E30"/>
    <w:rsid w:val="00317197"/>
    <w:rsid w:val="00317389"/>
    <w:rsid w:val="003204F5"/>
    <w:rsid w:val="00320603"/>
    <w:rsid w:val="00320B80"/>
    <w:rsid w:val="00320FBD"/>
    <w:rsid w:val="0032118D"/>
    <w:rsid w:val="00321559"/>
    <w:rsid w:val="003218DB"/>
    <w:rsid w:val="00321926"/>
    <w:rsid w:val="00321D4D"/>
    <w:rsid w:val="00321E3E"/>
    <w:rsid w:val="003221F8"/>
    <w:rsid w:val="00322EDB"/>
    <w:rsid w:val="00323716"/>
    <w:rsid w:val="00323904"/>
    <w:rsid w:val="00323979"/>
    <w:rsid w:val="00323AAC"/>
    <w:rsid w:val="00323FCF"/>
    <w:rsid w:val="0032459B"/>
    <w:rsid w:val="00324602"/>
    <w:rsid w:val="0032484A"/>
    <w:rsid w:val="00324872"/>
    <w:rsid w:val="00324997"/>
    <w:rsid w:val="003249F7"/>
    <w:rsid w:val="00324E3D"/>
    <w:rsid w:val="00324EC2"/>
    <w:rsid w:val="00325109"/>
    <w:rsid w:val="00325252"/>
    <w:rsid w:val="003256CF"/>
    <w:rsid w:val="003258AB"/>
    <w:rsid w:val="00325A72"/>
    <w:rsid w:val="00325EC7"/>
    <w:rsid w:val="00326287"/>
    <w:rsid w:val="0032629D"/>
    <w:rsid w:val="00326410"/>
    <w:rsid w:val="003269D6"/>
    <w:rsid w:val="00326D8F"/>
    <w:rsid w:val="00326EEA"/>
    <w:rsid w:val="00327267"/>
    <w:rsid w:val="00327440"/>
    <w:rsid w:val="003274A8"/>
    <w:rsid w:val="00327936"/>
    <w:rsid w:val="00327B97"/>
    <w:rsid w:val="00327C71"/>
    <w:rsid w:val="0033016A"/>
    <w:rsid w:val="00330245"/>
    <w:rsid w:val="00330388"/>
    <w:rsid w:val="00330414"/>
    <w:rsid w:val="0033095B"/>
    <w:rsid w:val="00330D7C"/>
    <w:rsid w:val="00330F44"/>
    <w:rsid w:val="00331425"/>
    <w:rsid w:val="00331642"/>
    <w:rsid w:val="00331ACB"/>
    <w:rsid w:val="00331B6A"/>
    <w:rsid w:val="00331FF3"/>
    <w:rsid w:val="00332363"/>
    <w:rsid w:val="00332548"/>
    <w:rsid w:val="00332676"/>
    <w:rsid w:val="00332A3A"/>
    <w:rsid w:val="00332CCA"/>
    <w:rsid w:val="00332D41"/>
    <w:rsid w:val="003330AD"/>
    <w:rsid w:val="00333614"/>
    <w:rsid w:val="00333963"/>
    <w:rsid w:val="00333D6C"/>
    <w:rsid w:val="00333DE4"/>
    <w:rsid w:val="00333E6A"/>
    <w:rsid w:val="00334021"/>
    <w:rsid w:val="003347C1"/>
    <w:rsid w:val="0033497A"/>
    <w:rsid w:val="00334B05"/>
    <w:rsid w:val="00334B4F"/>
    <w:rsid w:val="00334BA7"/>
    <w:rsid w:val="00334BE5"/>
    <w:rsid w:val="0033569C"/>
    <w:rsid w:val="00335B64"/>
    <w:rsid w:val="00335C06"/>
    <w:rsid w:val="00335CA0"/>
    <w:rsid w:val="00335E21"/>
    <w:rsid w:val="00336083"/>
    <w:rsid w:val="0033665B"/>
    <w:rsid w:val="00336C27"/>
    <w:rsid w:val="00336E1F"/>
    <w:rsid w:val="00337482"/>
    <w:rsid w:val="003374E3"/>
    <w:rsid w:val="00337F14"/>
    <w:rsid w:val="003402D6"/>
    <w:rsid w:val="00340305"/>
    <w:rsid w:val="0034056D"/>
    <w:rsid w:val="003409AE"/>
    <w:rsid w:val="003409DE"/>
    <w:rsid w:val="00340C5D"/>
    <w:rsid w:val="003412D4"/>
    <w:rsid w:val="00341345"/>
    <w:rsid w:val="0034158C"/>
    <w:rsid w:val="00341707"/>
    <w:rsid w:val="00341809"/>
    <w:rsid w:val="003418C3"/>
    <w:rsid w:val="00341A3C"/>
    <w:rsid w:val="00341E18"/>
    <w:rsid w:val="00341E50"/>
    <w:rsid w:val="00342045"/>
    <w:rsid w:val="00342206"/>
    <w:rsid w:val="0034251A"/>
    <w:rsid w:val="003427FB"/>
    <w:rsid w:val="003428E7"/>
    <w:rsid w:val="00342B8B"/>
    <w:rsid w:val="00342C6E"/>
    <w:rsid w:val="00343164"/>
    <w:rsid w:val="00344136"/>
    <w:rsid w:val="003443E8"/>
    <w:rsid w:val="00344474"/>
    <w:rsid w:val="003444DF"/>
    <w:rsid w:val="00344758"/>
    <w:rsid w:val="00344A16"/>
    <w:rsid w:val="00344E0D"/>
    <w:rsid w:val="00344E98"/>
    <w:rsid w:val="0034506D"/>
    <w:rsid w:val="00345220"/>
    <w:rsid w:val="00345920"/>
    <w:rsid w:val="00345B20"/>
    <w:rsid w:val="00345C0A"/>
    <w:rsid w:val="0034602F"/>
    <w:rsid w:val="0034625D"/>
    <w:rsid w:val="00346397"/>
    <w:rsid w:val="0034642F"/>
    <w:rsid w:val="00346507"/>
    <w:rsid w:val="00346AB1"/>
    <w:rsid w:val="00346EB4"/>
    <w:rsid w:val="00347400"/>
    <w:rsid w:val="0034755A"/>
    <w:rsid w:val="00347623"/>
    <w:rsid w:val="003476E1"/>
    <w:rsid w:val="003478A1"/>
    <w:rsid w:val="0034791E"/>
    <w:rsid w:val="003505BE"/>
    <w:rsid w:val="00350749"/>
    <w:rsid w:val="00350988"/>
    <w:rsid w:val="00350EC1"/>
    <w:rsid w:val="003510A0"/>
    <w:rsid w:val="00351372"/>
    <w:rsid w:val="00351B0A"/>
    <w:rsid w:val="00351B17"/>
    <w:rsid w:val="00351DDD"/>
    <w:rsid w:val="00351ECE"/>
    <w:rsid w:val="00352002"/>
    <w:rsid w:val="00352113"/>
    <w:rsid w:val="00352286"/>
    <w:rsid w:val="00352302"/>
    <w:rsid w:val="00352DD7"/>
    <w:rsid w:val="00352EF5"/>
    <w:rsid w:val="00352F56"/>
    <w:rsid w:val="0035360F"/>
    <w:rsid w:val="00353A53"/>
    <w:rsid w:val="00353AA2"/>
    <w:rsid w:val="00353C29"/>
    <w:rsid w:val="00353CA9"/>
    <w:rsid w:val="00354034"/>
    <w:rsid w:val="003541A2"/>
    <w:rsid w:val="003541AE"/>
    <w:rsid w:val="00354853"/>
    <w:rsid w:val="00354E2E"/>
    <w:rsid w:val="00354FD4"/>
    <w:rsid w:val="0035513D"/>
    <w:rsid w:val="00355381"/>
    <w:rsid w:val="0035550D"/>
    <w:rsid w:val="003558C0"/>
    <w:rsid w:val="00355B85"/>
    <w:rsid w:val="00355E0F"/>
    <w:rsid w:val="00356154"/>
    <w:rsid w:val="0035624F"/>
    <w:rsid w:val="003562C5"/>
    <w:rsid w:val="003562CA"/>
    <w:rsid w:val="003563A0"/>
    <w:rsid w:val="00356414"/>
    <w:rsid w:val="003567BC"/>
    <w:rsid w:val="003570D1"/>
    <w:rsid w:val="003571D9"/>
    <w:rsid w:val="0035725C"/>
    <w:rsid w:val="00357380"/>
    <w:rsid w:val="00357551"/>
    <w:rsid w:val="003575FB"/>
    <w:rsid w:val="003577A2"/>
    <w:rsid w:val="003577C6"/>
    <w:rsid w:val="003577FC"/>
    <w:rsid w:val="00357905"/>
    <w:rsid w:val="003579AF"/>
    <w:rsid w:val="00357B39"/>
    <w:rsid w:val="00357CC3"/>
    <w:rsid w:val="00357E82"/>
    <w:rsid w:val="00357F3B"/>
    <w:rsid w:val="003601A3"/>
    <w:rsid w:val="003601D4"/>
    <w:rsid w:val="003602E6"/>
    <w:rsid w:val="003609E9"/>
    <w:rsid w:val="00360E85"/>
    <w:rsid w:val="00360EC4"/>
    <w:rsid w:val="00360F6A"/>
    <w:rsid w:val="00360F7A"/>
    <w:rsid w:val="00361317"/>
    <w:rsid w:val="00361B78"/>
    <w:rsid w:val="003623F3"/>
    <w:rsid w:val="003626B2"/>
    <w:rsid w:val="003629CE"/>
    <w:rsid w:val="00362A78"/>
    <w:rsid w:val="00362D14"/>
    <w:rsid w:val="003638D6"/>
    <w:rsid w:val="00363B22"/>
    <w:rsid w:val="00363C3D"/>
    <w:rsid w:val="00363CB6"/>
    <w:rsid w:val="00363CD2"/>
    <w:rsid w:val="00364BD9"/>
    <w:rsid w:val="00364C83"/>
    <w:rsid w:val="003656AB"/>
    <w:rsid w:val="003656D5"/>
    <w:rsid w:val="003657BD"/>
    <w:rsid w:val="003659D4"/>
    <w:rsid w:val="00365BF9"/>
    <w:rsid w:val="00366458"/>
    <w:rsid w:val="003664E2"/>
    <w:rsid w:val="0036692D"/>
    <w:rsid w:val="00366C7E"/>
    <w:rsid w:val="00366E19"/>
    <w:rsid w:val="00366F51"/>
    <w:rsid w:val="00367715"/>
    <w:rsid w:val="00367CFE"/>
    <w:rsid w:val="00367EEA"/>
    <w:rsid w:val="00367FA3"/>
    <w:rsid w:val="00370190"/>
    <w:rsid w:val="003701DF"/>
    <w:rsid w:val="00370740"/>
    <w:rsid w:val="00370865"/>
    <w:rsid w:val="00370A1C"/>
    <w:rsid w:val="00370DD8"/>
    <w:rsid w:val="00370FAF"/>
    <w:rsid w:val="00371127"/>
    <w:rsid w:val="003713AB"/>
    <w:rsid w:val="003714BC"/>
    <w:rsid w:val="00371518"/>
    <w:rsid w:val="00371799"/>
    <w:rsid w:val="0037237D"/>
    <w:rsid w:val="003723FB"/>
    <w:rsid w:val="0037251C"/>
    <w:rsid w:val="003727F8"/>
    <w:rsid w:val="00372863"/>
    <w:rsid w:val="00372C96"/>
    <w:rsid w:val="00372DC4"/>
    <w:rsid w:val="00372E23"/>
    <w:rsid w:val="00372EB0"/>
    <w:rsid w:val="00373215"/>
    <w:rsid w:val="00373872"/>
    <w:rsid w:val="0037387E"/>
    <w:rsid w:val="00373911"/>
    <w:rsid w:val="00373920"/>
    <w:rsid w:val="00373D61"/>
    <w:rsid w:val="0037406B"/>
    <w:rsid w:val="00374218"/>
    <w:rsid w:val="0037462A"/>
    <w:rsid w:val="00374749"/>
    <w:rsid w:val="00374814"/>
    <w:rsid w:val="00374F1C"/>
    <w:rsid w:val="003750F3"/>
    <w:rsid w:val="00375147"/>
    <w:rsid w:val="00375A83"/>
    <w:rsid w:val="00375C28"/>
    <w:rsid w:val="00375F1D"/>
    <w:rsid w:val="00375FBB"/>
    <w:rsid w:val="00376162"/>
    <w:rsid w:val="003765C3"/>
    <w:rsid w:val="00376C1D"/>
    <w:rsid w:val="00377016"/>
    <w:rsid w:val="003775D7"/>
    <w:rsid w:val="00377C27"/>
    <w:rsid w:val="00380B10"/>
    <w:rsid w:val="00380BC8"/>
    <w:rsid w:val="00380E20"/>
    <w:rsid w:val="00380F48"/>
    <w:rsid w:val="003811B3"/>
    <w:rsid w:val="003818ED"/>
    <w:rsid w:val="00381E4A"/>
    <w:rsid w:val="00381FE9"/>
    <w:rsid w:val="00382033"/>
    <w:rsid w:val="00382210"/>
    <w:rsid w:val="00382298"/>
    <w:rsid w:val="003826A4"/>
    <w:rsid w:val="0038274E"/>
    <w:rsid w:val="003831AD"/>
    <w:rsid w:val="003838D6"/>
    <w:rsid w:val="00383A3C"/>
    <w:rsid w:val="00383A4A"/>
    <w:rsid w:val="00383B36"/>
    <w:rsid w:val="00383B7C"/>
    <w:rsid w:val="00383CF2"/>
    <w:rsid w:val="0038408B"/>
    <w:rsid w:val="00384112"/>
    <w:rsid w:val="003846A8"/>
    <w:rsid w:val="0038472F"/>
    <w:rsid w:val="00384B65"/>
    <w:rsid w:val="00384CC2"/>
    <w:rsid w:val="00385053"/>
    <w:rsid w:val="0038578E"/>
    <w:rsid w:val="00385C93"/>
    <w:rsid w:val="00385CC3"/>
    <w:rsid w:val="00385FC8"/>
    <w:rsid w:val="00386028"/>
    <w:rsid w:val="00386030"/>
    <w:rsid w:val="003864D7"/>
    <w:rsid w:val="003866E8"/>
    <w:rsid w:val="00386912"/>
    <w:rsid w:val="003873C6"/>
    <w:rsid w:val="003876B3"/>
    <w:rsid w:val="003877F8"/>
    <w:rsid w:val="00387AE7"/>
    <w:rsid w:val="00387C6F"/>
    <w:rsid w:val="00387D65"/>
    <w:rsid w:val="00387E36"/>
    <w:rsid w:val="00387EA3"/>
    <w:rsid w:val="00390564"/>
    <w:rsid w:val="00390587"/>
    <w:rsid w:val="0039058B"/>
    <w:rsid w:val="00390910"/>
    <w:rsid w:val="00390C4E"/>
    <w:rsid w:val="00390D48"/>
    <w:rsid w:val="003911CC"/>
    <w:rsid w:val="0039174F"/>
    <w:rsid w:val="00391AD7"/>
    <w:rsid w:val="00391D22"/>
    <w:rsid w:val="00392969"/>
    <w:rsid w:val="00392DB6"/>
    <w:rsid w:val="00392DBF"/>
    <w:rsid w:val="00393139"/>
    <w:rsid w:val="0039328F"/>
    <w:rsid w:val="00393407"/>
    <w:rsid w:val="00393579"/>
    <w:rsid w:val="00393C35"/>
    <w:rsid w:val="00394141"/>
    <w:rsid w:val="00394450"/>
    <w:rsid w:val="00394D5A"/>
    <w:rsid w:val="00395780"/>
    <w:rsid w:val="0039579B"/>
    <w:rsid w:val="00395824"/>
    <w:rsid w:val="00395F80"/>
    <w:rsid w:val="0039620C"/>
    <w:rsid w:val="003963D9"/>
    <w:rsid w:val="00396844"/>
    <w:rsid w:val="00396DD3"/>
    <w:rsid w:val="00396F34"/>
    <w:rsid w:val="00397206"/>
    <w:rsid w:val="0039721C"/>
    <w:rsid w:val="00397586"/>
    <w:rsid w:val="00397752"/>
    <w:rsid w:val="00397863"/>
    <w:rsid w:val="003979B4"/>
    <w:rsid w:val="00397A38"/>
    <w:rsid w:val="00397B62"/>
    <w:rsid w:val="00397E5E"/>
    <w:rsid w:val="003A0245"/>
    <w:rsid w:val="003A0576"/>
    <w:rsid w:val="003A0639"/>
    <w:rsid w:val="003A0D2F"/>
    <w:rsid w:val="003A0D62"/>
    <w:rsid w:val="003A166D"/>
    <w:rsid w:val="003A1CC8"/>
    <w:rsid w:val="003A269E"/>
    <w:rsid w:val="003A2901"/>
    <w:rsid w:val="003A2C7D"/>
    <w:rsid w:val="003A2F61"/>
    <w:rsid w:val="003A3023"/>
    <w:rsid w:val="003A30AF"/>
    <w:rsid w:val="003A32F1"/>
    <w:rsid w:val="003A363D"/>
    <w:rsid w:val="003A36C5"/>
    <w:rsid w:val="003A3AA2"/>
    <w:rsid w:val="003A3C7A"/>
    <w:rsid w:val="003A4066"/>
    <w:rsid w:val="003A4147"/>
    <w:rsid w:val="003A4337"/>
    <w:rsid w:val="003A4429"/>
    <w:rsid w:val="003A50E8"/>
    <w:rsid w:val="003A53E1"/>
    <w:rsid w:val="003A5585"/>
    <w:rsid w:val="003A569B"/>
    <w:rsid w:val="003A5820"/>
    <w:rsid w:val="003A593C"/>
    <w:rsid w:val="003A594E"/>
    <w:rsid w:val="003A5BC0"/>
    <w:rsid w:val="003A5CF9"/>
    <w:rsid w:val="003A5F46"/>
    <w:rsid w:val="003A60E0"/>
    <w:rsid w:val="003A6135"/>
    <w:rsid w:val="003A62BF"/>
    <w:rsid w:val="003A64D5"/>
    <w:rsid w:val="003A64E4"/>
    <w:rsid w:val="003A6BCA"/>
    <w:rsid w:val="003A6C2B"/>
    <w:rsid w:val="003A6FAA"/>
    <w:rsid w:val="003A7035"/>
    <w:rsid w:val="003A71C9"/>
    <w:rsid w:val="003A7369"/>
    <w:rsid w:val="003A73C2"/>
    <w:rsid w:val="003A750B"/>
    <w:rsid w:val="003A7564"/>
    <w:rsid w:val="003A758E"/>
    <w:rsid w:val="003A7612"/>
    <w:rsid w:val="003A7CF1"/>
    <w:rsid w:val="003A7F82"/>
    <w:rsid w:val="003A7F95"/>
    <w:rsid w:val="003B0284"/>
    <w:rsid w:val="003B0415"/>
    <w:rsid w:val="003B05CE"/>
    <w:rsid w:val="003B082E"/>
    <w:rsid w:val="003B0F29"/>
    <w:rsid w:val="003B14A6"/>
    <w:rsid w:val="003B1638"/>
    <w:rsid w:val="003B1D56"/>
    <w:rsid w:val="003B2023"/>
    <w:rsid w:val="003B21F7"/>
    <w:rsid w:val="003B270C"/>
    <w:rsid w:val="003B28F0"/>
    <w:rsid w:val="003B2BE2"/>
    <w:rsid w:val="003B2FB2"/>
    <w:rsid w:val="003B32DF"/>
    <w:rsid w:val="003B3711"/>
    <w:rsid w:val="003B39E5"/>
    <w:rsid w:val="003B3DD9"/>
    <w:rsid w:val="003B41F7"/>
    <w:rsid w:val="003B4332"/>
    <w:rsid w:val="003B4423"/>
    <w:rsid w:val="003B4693"/>
    <w:rsid w:val="003B48A4"/>
    <w:rsid w:val="003B490C"/>
    <w:rsid w:val="003B4D5F"/>
    <w:rsid w:val="003B504D"/>
    <w:rsid w:val="003B5752"/>
    <w:rsid w:val="003B5921"/>
    <w:rsid w:val="003B5A73"/>
    <w:rsid w:val="003B60E9"/>
    <w:rsid w:val="003B63D3"/>
    <w:rsid w:val="003B654F"/>
    <w:rsid w:val="003B65CC"/>
    <w:rsid w:val="003B66DC"/>
    <w:rsid w:val="003B6CED"/>
    <w:rsid w:val="003B70A6"/>
    <w:rsid w:val="003B7166"/>
    <w:rsid w:val="003B729C"/>
    <w:rsid w:val="003B72EC"/>
    <w:rsid w:val="003B7561"/>
    <w:rsid w:val="003B788D"/>
    <w:rsid w:val="003B7E6B"/>
    <w:rsid w:val="003C0092"/>
    <w:rsid w:val="003C034D"/>
    <w:rsid w:val="003C0769"/>
    <w:rsid w:val="003C1003"/>
    <w:rsid w:val="003C1797"/>
    <w:rsid w:val="003C1B82"/>
    <w:rsid w:val="003C2253"/>
    <w:rsid w:val="003C25A2"/>
    <w:rsid w:val="003C271E"/>
    <w:rsid w:val="003C28E6"/>
    <w:rsid w:val="003C2ED7"/>
    <w:rsid w:val="003C2F6A"/>
    <w:rsid w:val="003C3BA3"/>
    <w:rsid w:val="003C4098"/>
    <w:rsid w:val="003C443B"/>
    <w:rsid w:val="003C501B"/>
    <w:rsid w:val="003C5097"/>
    <w:rsid w:val="003C51F6"/>
    <w:rsid w:val="003C55EB"/>
    <w:rsid w:val="003C5954"/>
    <w:rsid w:val="003C5B43"/>
    <w:rsid w:val="003C5C0D"/>
    <w:rsid w:val="003C5C35"/>
    <w:rsid w:val="003C63DB"/>
    <w:rsid w:val="003C64B9"/>
    <w:rsid w:val="003C66F5"/>
    <w:rsid w:val="003C689E"/>
    <w:rsid w:val="003C68D8"/>
    <w:rsid w:val="003C6A25"/>
    <w:rsid w:val="003C6A54"/>
    <w:rsid w:val="003C6CB9"/>
    <w:rsid w:val="003C702D"/>
    <w:rsid w:val="003C70CC"/>
    <w:rsid w:val="003C72AC"/>
    <w:rsid w:val="003C74A0"/>
    <w:rsid w:val="003C7E79"/>
    <w:rsid w:val="003D057C"/>
    <w:rsid w:val="003D0638"/>
    <w:rsid w:val="003D1239"/>
    <w:rsid w:val="003D1317"/>
    <w:rsid w:val="003D145C"/>
    <w:rsid w:val="003D14F3"/>
    <w:rsid w:val="003D18C6"/>
    <w:rsid w:val="003D195C"/>
    <w:rsid w:val="003D1C28"/>
    <w:rsid w:val="003D23BE"/>
    <w:rsid w:val="003D2AAE"/>
    <w:rsid w:val="003D2BA8"/>
    <w:rsid w:val="003D2CCB"/>
    <w:rsid w:val="003D32E9"/>
    <w:rsid w:val="003D33ED"/>
    <w:rsid w:val="003D3415"/>
    <w:rsid w:val="003D3481"/>
    <w:rsid w:val="003D377E"/>
    <w:rsid w:val="003D37CE"/>
    <w:rsid w:val="003D3802"/>
    <w:rsid w:val="003D3961"/>
    <w:rsid w:val="003D3A97"/>
    <w:rsid w:val="003D3C24"/>
    <w:rsid w:val="003D4997"/>
    <w:rsid w:val="003D4D94"/>
    <w:rsid w:val="003D52C3"/>
    <w:rsid w:val="003D552C"/>
    <w:rsid w:val="003D58AB"/>
    <w:rsid w:val="003D5A2F"/>
    <w:rsid w:val="003D5AB7"/>
    <w:rsid w:val="003D5C49"/>
    <w:rsid w:val="003D5CC3"/>
    <w:rsid w:val="003D5EBD"/>
    <w:rsid w:val="003D5F19"/>
    <w:rsid w:val="003D63CF"/>
    <w:rsid w:val="003D67B8"/>
    <w:rsid w:val="003D7082"/>
    <w:rsid w:val="003D7090"/>
    <w:rsid w:val="003D76BE"/>
    <w:rsid w:val="003D7794"/>
    <w:rsid w:val="003D79FE"/>
    <w:rsid w:val="003D7EFC"/>
    <w:rsid w:val="003E0035"/>
    <w:rsid w:val="003E0469"/>
    <w:rsid w:val="003E0BE2"/>
    <w:rsid w:val="003E0E93"/>
    <w:rsid w:val="003E0F1F"/>
    <w:rsid w:val="003E118C"/>
    <w:rsid w:val="003E120D"/>
    <w:rsid w:val="003E1881"/>
    <w:rsid w:val="003E18D0"/>
    <w:rsid w:val="003E1C84"/>
    <w:rsid w:val="003E218F"/>
    <w:rsid w:val="003E2396"/>
    <w:rsid w:val="003E23C1"/>
    <w:rsid w:val="003E24E8"/>
    <w:rsid w:val="003E2DCB"/>
    <w:rsid w:val="003E3AB5"/>
    <w:rsid w:val="003E3CB1"/>
    <w:rsid w:val="003E4179"/>
    <w:rsid w:val="003E464B"/>
    <w:rsid w:val="003E4A6E"/>
    <w:rsid w:val="003E584E"/>
    <w:rsid w:val="003E5C8E"/>
    <w:rsid w:val="003E5E8D"/>
    <w:rsid w:val="003E6205"/>
    <w:rsid w:val="003E63B2"/>
    <w:rsid w:val="003E670F"/>
    <w:rsid w:val="003E6722"/>
    <w:rsid w:val="003E678F"/>
    <w:rsid w:val="003E6AE5"/>
    <w:rsid w:val="003E6BAD"/>
    <w:rsid w:val="003E6D7B"/>
    <w:rsid w:val="003E730B"/>
    <w:rsid w:val="003E7465"/>
    <w:rsid w:val="003E758A"/>
    <w:rsid w:val="003E7A00"/>
    <w:rsid w:val="003E7CF0"/>
    <w:rsid w:val="003E7DA2"/>
    <w:rsid w:val="003E7EFC"/>
    <w:rsid w:val="003E7F79"/>
    <w:rsid w:val="003F05DE"/>
    <w:rsid w:val="003F072A"/>
    <w:rsid w:val="003F0C8A"/>
    <w:rsid w:val="003F0EED"/>
    <w:rsid w:val="003F111B"/>
    <w:rsid w:val="003F13E9"/>
    <w:rsid w:val="003F1860"/>
    <w:rsid w:val="003F1B0A"/>
    <w:rsid w:val="003F1E9F"/>
    <w:rsid w:val="003F1F45"/>
    <w:rsid w:val="003F26A5"/>
    <w:rsid w:val="003F2A19"/>
    <w:rsid w:val="003F2A3A"/>
    <w:rsid w:val="003F3309"/>
    <w:rsid w:val="003F36EE"/>
    <w:rsid w:val="003F38C3"/>
    <w:rsid w:val="003F3AC7"/>
    <w:rsid w:val="003F3B78"/>
    <w:rsid w:val="003F3CC3"/>
    <w:rsid w:val="003F3CCA"/>
    <w:rsid w:val="003F3D2E"/>
    <w:rsid w:val="003F3D5A"/>
    <w:rsid w:val="003F3F50"/>
    <w:rsid w:val="003F3F93"/>
    <w:rsid w:val="003F4A5C"/>
    <w:rsid w:val="003F4C9A"/>
    <w:rsid w:val="003F4CD8"/>
    <w:rsid w:val="003F4EA6"/>
    <w:rsid w:val="003F510F"/>
    <w:rsid w:val="003F6351"/>
    <w:rsid w:val="003F6513"/>
    <w:rsid w:val="003F668F"/>
    <w:rsid w:val="003F691C"/>
    <w:rsid w:val="003F6999"/>
    <w:rsid w:val="003F6C35"/>
    <w:rsid w:val="003F6D44"/>
    <w:rsid w:val="003F71F0"/>
    <w:rsid w:val="003F721B"/>
    <w:rsid w:val="003F790E"/>
    <w:rsid w:val="003F7B7A"/>
    <w:rsid w:val="004004AD"/>
    <w:rsid w:val="004004DF"/>
    <w:rsid w:val="0040069E"/>
    <w:rsid w:val="004006E6"/>
    <w:rsid w:val="0040083C"/>
    <w:rsid w:val="00400CEB"/>
    <w:rsid w:val="00400E39"/>
    <w:rsid w:val="00401091"/>
    <w:rsid w:val="004013EB"/>
    <w:rsid w:val="004015B9"/>
    <w:rsid w:val="00401ED5"/>
    <w:rsid w:val="00401FEC"/>
    <w:rsid w:val="00402594"/>
    <w:rsid w:val="00402723"/>
    <w:rsid w:val="004028DF"/>
    <w:rsid w:val="00402B37"/>
    <w:rsid w:val="00402DEA"/>
    <w:rsid w:val="00402F51"/>
    <w:rsid w:val="004034DF"/>
    <w:rsid w:val="004039B4"/>
    <w:rsid w:val="00403B7F"/>
    <w:rsid w:val="00403C2A"/>
    <w:rsid w:val="00403CF1"/>
    <w:rsid w:val="00403D58"/>
    <w:rsid w:val="0040401C"/>
    <w:rsid w:val="00404326"/>
    <w:rsid w:val="00404360"/>
    <w:rsid w:val="004043D3"/>
    <w:rsid w:val="004047B5"/>
    <w:rsid w:val="00404A2D"/>
    <w:rsid w:val="00404E0D"/>
    <w:rsid w:val="00404EEE"/>
    <w:rsid w:val="00404F6A"/>
    <w:rsid w:val="00405335"/>
    <w:rsid w:val="00405B80"/>
    <w:rsid w:val="00405BBC"/>
    <w:rsid w:val="00405F23"/>
    <w:rsid w:val="00406098"/>
    <w:rsid w:val="00406362"/>
    <w:rsid w:val="00406368"/>
    <w:rsid w:val="004066D3"/>
    <w:rsid w:val="0040691E"/>
    <w:rsid w:val="00406C98"/>
    <w:rsid w:val="00406DDE"/>
    <w:rsid w:val="00406E17"/>
    <w:rsid w:val="00406E49"/>
    <w:rsid w:val="0040762D"/>
    <w:rsid w:val="0040768F"/>
    <w:rsid w:val="004076E2"/>
    <w:rsid w:val="00407A6A"/>
    <w:rsid w:val="00407AEA"/>
    <w:rsid w:val="00407C1B"/>
    <w:rsid w:val="0041037B"/>
    <w:rsid w:val="004106A9"/>
    <w:rsid w:val="0041084C"/>
    <w:rsid w:val="0041088E"/>
    <w:rsid w:val="00410BFD"/>
    <w:rsid w:val="004112D6"/>
    <w:rsid w:val="0041137B"/>
    <w:rsid w:val="004113BE"/>
    <w:rsid w:val="004114EB"/>
    <w:rsid w:val="004119F8"/>
    <w:rsid w:val="00411A6B"/>
    <w:rsid w:val="00411B77"/>
    <w:rsid w:val="00411D24"/>
    <w:rsid w:val="00411EAF"/>
    <w:rsid w:val="00411F85"/>
    <w:rsid w:val="00412049"/>
    <w:rsid w:val="00412098"/>
    <w:rsid w:val="00412832"/>
    <w:rsid w:val="00413412"/>
    <w:rsid w:val="0041385F"/>
    <w:rsid w:val="00413B96"/>
    <w:rsid w:val="00413F6F"/>
    <w:rsid w:val="0041408B"/>
    <w:rsid w:val="00414187"/>
    <w:rsid w:val="00414F20"/>
    <w:rsid w:val="004150CF"/>
    <w:rsid w:val="004154A3"/>
    <w:rsid w:val="004156A4"/>
    <w:rsid w:val="004158FA"/>
    <w:rsid w:val="00415AA9"/>
    <w:rsid w:val="00415DA6"/>
    <w:rsid w:val="00415DC2"/>
    <w:rsid w:val="004164A0"/>
    <w:rsid w:val="00416D74"/>
    <w:rsid w:val="00416F02"/>
    <w:rsid w:val="00416F93"/>
    <w:rsid w:val="00417186"/>
    <w:rsid w:val="004174C8"/>
    <w:rsid w:val="00417794"/>
    <w:rsid w:val="00417B26"/>
    <w:rsid w:val="00417C9E"/>
    <w:rsid w:val="00417E27"/>
    <w:rsid w:val="004200B4"/>
    <w:rsid w:val="004205AD"/>
    <w:rsid w:val="00420717"/>
    <w:rsid w:val="0042087D"/>
    <w:rsid w:val="004208A0"/>
    <w:rsid w:val="00420936"/>
    <w:rsid w:val="00420BBA"/>
    <w:rsid w:val="00420C3C"/>
    <w:rsid w:val="00420C7A"/>
    <w:rsid w:val="00420D26"/>
    <w:rsid w:val="00420DA3"/>
    <w:rsid w:val="00420E85"/>
    <w:rsid w:val="0042127E"/>
    <w:rsid w:val="00421AAA"/>
    <w:rsid w:val="00421F22"/>
    <w:rsid w:val="0042231B"/>
    <w:rsid w:val="0042241F"/>
    <w:rsid w:val="00422803"/>
    <w:rsid w:val="00422B16"/>
    <w:rsid w:val="00422CAB"/>
    <w:rsid w:val="00422F62"/>
    <w:rsid w:val="0042301D"/>
    <w:rsid w:val="004230AF"/>
    <w:rsid w:val="00423147"/>
    <w:rsid w:val="0042350F"/>
    <w:rsid w:val="00423985"/>
    <w:rsid w:val="00423D66"/>
    <w:rsid w:val="00423EDE"/>
    <w:rsid w:val="00424339"/>
    <w:rsid w:val="004247F6"/>
    <w:rsid w:val="0042492C"/>
    <w:rsid w:val="00424A13"/>
    <w:rsid w:val="004252A1"/>
    <w:rsid w:val="004255A5"/>
    <w:rsid w:val="00425B24"/>
    <w:rsid w:val="00425CA0"/>
    <w:rsid w:val="00425CBA"/>
    <w:rsid w:val="004260AC"/>
    <w:rsid w:val="004265AB"/>
    <w:rsid w:val="004268D1"/>
    <w:rsid w:val="00426D6C"/>
    <w:rsid w:val="0042743A"/>
    <w:rsid w:val="004275B7"/>
    <w:rsid w:val="004276AC"/>
    <w:rsid w:val="00427858"/>
    <w:rsid w:val="00427E53"/>
    <w:rsid w:val="00427FDC"/>
    <w:rsid w:val="00430386"/>
    <w:rsid w:val="00430B99"/>
    <w:rsid w:val="00430C4D"/>
    <w:rsid w:val="00430CFA"/>
    <w:rsid w:val="00430E6A"/>
    <w:rsid w:val="00430F18"/>
    <w:rsid w:val="00431F38"/>
    <w:rsid w:val="0043260E"/>
    <w:rsid w:val="00432D1D"/>
    <w:rsid w:val="00432EAF"/>
    <w:rsid w:val="004333D7"/>
    <w:rsid w:val="004337CD"/>
    <w:rsid w:val="00433A3C"/>
    <w:rsid w:val="00433A8C"/>
    <w:rsid w:val="00433E06"/>
    <w:rsid w:val="00433FFE"/>
    <w:rsid w:val="00434011"/>
    <w:rsid w:val="0043410B"/>
    <w:rsid w:val="00434B1D"/>
    <w:rsid w:val="0043551D"/>
    <w:rsid w:val="00435A61"/>
    <w:rsid w:val="00435E99"/>
    <w:rsid w:val="004360F6"/>
    <w:rsid w:val="004361DC"/>
    <w:rsid w:val="004363B4"/>
    <w:rsid w:val="004364AF"/>
    <w:rsid w:val="00436653"/>
    <w:rsid w:val="004368C9"/>
    <w:rsid w:val="00436EDD"/>
    <w:rsid w:val="0043720F"/>
    <w:rsid w:val="0043755B"/>
    <w:rsid w:val="00437643"/>
    <w:rsid w:val="00440259"/>
    <w:rsid w:val="0044039C"/>
    <w:rsid w:val="004403B4"/>
    <w:rsid w:val="00440644"/>
    <w:rsid w:val="004406AC"/>
    <w:rsid w:val="0044070D"/>
    <w:rsid w:val="00440855"/>
    <w:rsid w:val="00440966"/>
    <w:rsid w:val="00440B09"/>
    <w:rsid w:val="00440D8A"/>
    <w:rsid w:val="00440F1A"/>
    <w:rsid w:val="0044102B"/>
    <w:rsid w:val="00441516"/>
    <w:rsid w:val="00441598"/>
    <w:rsid w:val="00441891"/>
    <w:rsid w:val="00441B0C"/>
    <w:rsid w:val="00441D50"/>
    <w:rsid w:val="00441F0F"/>
    <w:rsid w:val="00442249"/>
    <w:rsid w:val="004425ED"/>
    <w:rsid w:val="0044277F"/>
    <w:rsid w:val="004428C5"/>
    <w:rsid w:val="00442CAB"/>
    <w:rsid w:val="00442EC3"/>
    <w:rsid w:val="004434F2"/>
    <w:rsid w:val="00443686"/>
    <w:rsid w:val="004436D9"/>
    <w:rsid w:val="0044389E"/>
    <w:rsid w:val="00443A8E"/>
    <w:rsid w:val="00443B0E"/>
    <w:rsid w:val="00443B6E"/>
    <w:rsid w:val="00444306"/>
    <w:rsid w:val="004443B5"/>
    <w:rsid w:val="0044441C"/>
    <w:rsid w:val="00444874"/>
    <w:rsid w:val="004448B0"/>
    <w:rsid w:val="00444B5E"/>
    <w:rsid w:val="00444CE3"/>
    <w:rsid w:val="00444F82"/>
    <w:rsid w:val="004451F7"/>
    <w:rsid w:val="0044558B"/>
    <w:rsid w:val="00445A9F"/>
    <w:rsid w:val="00446775"/>
    <w:rsid w:val="00446B90"/>
    <w:rsid w:val="00446BF7"/>
    <w:rsid w:val="004470F3"/>
    <w:rsid w:val="00447386"/>
    <w:rsid w:val="00447860"/>
    <w:rsid w:val="00447AFE"/>
    <w:rsid w:val="00447E47"/>
    <w:rsid w:val="00450114"/>
    <w:rsid w:val="0045014E"/>
    <w:rsid w:val="004503A0"/>
    <w:rsid w:val="0045041D"/>
    <w:rsid w:val="00450476"/>
    <w:rsid w:val="00450DA9"/>
    <w:rsid w:val="004512BF"/>
    <w:rsid w:val="0045174B"/>
    <w:rsid w:val="00451A49"/>
    <w:rsid w:val="00452176"/>
    <w:rsid w:val="004522F2"/>
    <w:rsid w:val="0045278E"/>
    <w:rsid w:val="00452927"/>
    <w:rsid w:val="00452F20"/>
    <w:rsid w:val="00453034"/>
    <w:rsid w:val="00453269"/>
    <w:rsid w:val="00453714"/>
    <w:rsid w:val="00454344"/>
    <w:rsid w:val="0045442B"/>
    <w:rsid w:val="00454547"/>
    <w:rsid w:val="004545A8"/>
    <w:rsid w:val="00454891"/>
    <w:rsid w:val="00454A07"/>
    <w:rsid w:val="00454C96"/>
    <w:rsid w:val="004555EB"/>
    <w:rsid w:val="00455648"/>
    <w:rsid w:val="00455704"/>
    <w:rsid w:val="004557B5"/>
    <w:rsid w:val="00455926"/>
    <w:rsid w:val="004559E7"/>
    <w:rsid w:val="00455C1E"/>
    <w:rsid w:val="00455D2D"/>
    <w:rsid w:val="00455EBC"/>
    <w:rsid w:val="004565B9"/>
    <w:rsid w:val="00456970"/>
    <w:rsid w:val="00456CD7"/>
    <w:rsid w:val="00456D3C"/>
    <w:rsid w:val="00456E8A"/>
    <w:rsid w:val="0045721C"/>
    <w:rsid w:val="004574D7"/>
    <w:rsid w:val="004576A4"/>
    <w:rsid w:val="00457736"/>
    <w:rsid w:val="00457AF9"/>
    <w:rsid w:val="00457EAD"/>
    <w:rsid w:val="00457FB8"/>
    <w:rsid w:val="00460052"/>
    <w:rsid w:val="00460349"/>
    <w:rsid w:val="004604D8"/>
    <w:rsid w:val="004605F7"/>
    <w:rsid w:val="004606DF"/>
    <w:rsid w:val="0046074E"/>
    <w:rsid w:val="00460777"/>
    <w:rsid w:val="0046084F"/>
    <w:rsid w:val="0046091C"/>
    <w:rsid w:val="004609F5"/>
    <w:rsid w:val="00460BF0"/>
    <w:rsid w:val="004610B5"/>
    <w:rsid w:val="004616FF"/>
    <w:rsid w:val="00461860"/>
    <w:rsid w:val="00461A27"/>
    <w:rsid w:val="00461DF8"/>
    <w:rsid w:val="00461EF8"/>
    <w:rsid w:val="004621EA"/>
    <w:rsid w:val="00462802"/>
    <w:rsid w:val="00462822"/>
    <w:rsid w:val="004628F1"/>
    <w:rsid w:val="00462971"/>
    <w:rsid w:val="00462BC2"/>
    <w:rsid w:val="00462D6A"/>
    <w:rsid w:val="00462D73"/>
    <w:rsid w:val="0046306D"/>
    <w:rsid w:val="00463126"/>
    <w:rsid w:val="00463780"/>
    <w:rsid w:val="0046392C"/>
    <w:rsid w:val="00463973"/>
    <w:rsid w:val="00463BEB"/>
    <w:rsid w:val="00463DE6"/>
    <w:rsid w:val="00463E1C"/>
    <w:rsid w:val="00463FAF"/>
    <w:rsid w:val="00464796"/>
    <w:rsid w:val="004649B1"/>
    <w:rsid w:val="00464A49"/>
    <w:rsid w:val="00464D1D"/>
    <w:rsid w:val="00464D76"/>
    <w:rsid w:val="00464D9C"/>
    <w:rsid w:val="00464DC6"/>
    <w:rsid w:val="00465149"/>
    <w:rsid w:val="00465190"/>
    <w:rsid w:val="00465219"/>
    <w:rsid w:val="00465240"/>
    <w:rsid w:val="004654B4"/>
    <w:rsid w:val="00465516"/>
    <w:rsid w:val="00465636"/>
    <w:rsid w:val="00465764"/>
    <w:rsid w:val="00465C87"/>
    <w:rsid w:val="004662CD"/>
    <w:rsid w:val="004669EB"/>
    <w:rsid w:val="00466A4D"/>
    <w:rsid w:val="00466B27"/>
    <w:rsid w:val="00466BC3"/>
    <w:rsid w:val="00466D1A"/>
    <w:rsid w:val="00467173"/>
    <w:rsid w:val="004674B4"/>
    <w:rsid w:val="004675B9"/>
    <w:rsid w:val="00467649"/>
    <w:rsid w:val="00467A16"/>
    <w:rsid w:val="00467B5F"/>
    <w:rsid w:val="00467BDF"/>
    <w:rsid w:val="00467C57"/>
    <w:rsid w:val="00470090"/>
    <w:rsid w:val="00470257"/>
    <w:rsid w:val="00470442"/>
    <w:rsid w:val="00470628"/>
    <w:rsid w:val="00470809"/>
    <w:rsid w:val="00470BED"/>
    <w:rsid w:val="00470C24"/>
    <w:rsid w:val="00471D70"/>
    <w:rsid w:val="004722E8"/>
    <w:rsid w:val="00472412"/>
    <w:rsid w:val="00472EFE"/>
    <w:rsid w:val="00473498"/>
    <w:rsid w:val="00473742"/>
    <w:rsid w:val="00473D03"/>
    <w:rsid w:val="00473FEC"/>
    <w:rsid w:val="00474154"/>
    <w:rsid w:val="00474313"/>
    <w:rsid w:val="004745F5"/>
    <w:rsid w:val="004749E4"/>
    <w:rsid w:val="004752E2"/>
    <w:rsid w:val="004753A6"/>
    <w:rsid w:val="004753AA"/>
    <w:rsid w:val="004757C0"/>
    <w:rsid w:val="00475BDB"/>
    <w:rsid w:val="00475DA3"/>
    <w:rsid w:val="004760BE"/>
    <w:rsid w:val="004769B9"/>
    <w:rsid w:val="00476BDE"/>
    <w:rsid w:val="00476D22"/>
    <w:rsid w:val="004773A5"/>
    <w:rsid w:val="004773FC"/>
    <w:rsid w:val="00477A5F"/>
    <w:rsid w:val="00480185"/>
    <w:rsid w:val="004808DE"/>
    <w:rsid w:val="004808EB"/>
    <w:rsid w:val="00480CF9"/>
    <w:rsid w:val="00480E3A"/>
    <w:rsid w:val="00480FF0"/>
    <w:rsid w:val="004812D2"/>
    <w:rsid w:val="00481895"/>
    <w:rsid w:val="00481AAE"/>
    <w:rsid w:val="00481C79"/>
    <w:rsid w:val="00481D22"/>
    <w:rsid w:val="00482275"/>
    <w:rsid w:val="00482435"/>
    <w:rsid w:val="0048247D"/>
    <w:rsid w:val="0048269A"/>
    <w:rsid w:val="00482A5D"/>
    <w:rsid w:val="004835DB"/>
    <w:rsid w:val="0048371C"/>
    <w:rsid w:val="004837D6"/>
    <w:rsid w:val="004839F7"/>
    <w:rsid w:val="00483AFE"/>
    <w:rsid w:val="00483B05"/>
    <w:rsid w:val="00483C95"/>
    <w:rsid w:val="00483FAF"/>
    <w:rsid w:val="00484480"/>
    <w:rsid w:val="004844C2"/>
    <w:rsid w:val="004844E9"/>
    <w:rsid w:val="00484526"/>
    <w:rsid w:val="004848B2"/>
    <w:rsid w:val="00484D76"/>
    <w:rsid w:val="0048526B"/>
    <w:rsid w:val="004852ED"/>
    <w:rsid w:val="004854C3"/>
    <w:rsid w:val="004854C6"/>
    <w:rsid w:val="004854DA"/>
    <w:rsid w:val="0048590F"/>
    <w:rsid w:val="004859D9"/>
    <w:rsid w:val="00485AE3"/>
    <w:rsid w:val="00485C8C"/>
    <w:rsid w:val="00485EC3"/>
    <w:rsid w:val="00485FF6"/>
    <w:rsid w:val="00486103"/>
    <w:rsid w:val="004861E6"/>
    <w:rsid w:val="00486595"/>
    <w:rsid w:val="0048679B"/>
    <w:rsid w:val="00486895"/>
    <w:rsid w:val="00486BB1"/>
    <w:rsid w:val="0048746D"/>
    <w:rsid w:val="0048762A"/>
    <w:rsid w:val="00487B43"/>
    <w:rsid w:val="00487B4F"/>
    <w:rsid w:val="00487BA6"/>
    <w:rsid w:val="0049015A"/>
    <w:rsid w:val="00490782"/>
    <w:rsid w:val="004909F6"/>
    <w:rsid w:val="00490A9C"/>
    <w:rsid w:val="00490C39"/>
    <w:rsid w:val="00490F68"/>
    <w:rsid w:val="00490F7F"/>
    <w:rsid w:val="00491096"/>
    <w:rsid w:val="00491355"/>
    <w:rsid w:val="0049184F"/>
    <w:rsid w:val="00491A32"/>
    <w:rsid w:val="00491CCA"/>
    <w:rsid w:val="00491FF3"/>
    <w:rsid w:val="00492A28"/>
    <w:rsid w:val="00492A74"/>
    <w:rsid w:val="00492C12"/>
    <w:rsid w:val="00492C8C"/>
    <w:rsid w:val="00492F22"/>
    <w:rsid w:val="00493235"/>
    <w:rsid w:val="004933F2"/>
    <w:rsid w:val="004938AF"/>
    <w:rsid w:val="00494146"/>
    <w:rsid w:val="0049437D"/>
    <w:rsid w:val="00494566"/>
    <w:rsid w:val="00494ABB"/>
    <w:rsid w:val="00495086"/>
    <w:rsid w:val="00495234"/>
    <w:rsid w:val="0049569C"/>
    <w:rsid w:val="00495913"/>
    <w:rsid w:val="004959A9"/>
    <w:rsid w:val="00495F14"/>
    <w:rsid w:val="0049629F"/>
    <w:rsid w:val="004964C1"/>
    <w:rsid w:val="004965B5"/>
    <w:rsid w:val="00496D0B"/>
    <w:rsid w:val="0049752F"/>
    <w:rsid w:val="004A0D99"/>
    <w:rsid w:val="004A0E3D"/>
    <w:rsid w:val="004A0FC2"/>
    <w:rsid w:val="004A1136"/>
    <w:rsid w:val="004A141F"/>
    <w:rsid w:val="004A1705"/>
    <w:rsid w:val="004A231E"/>
    <w:rsid w:val="004A23E0"/>
    <w:rsid w:val="004A2793"/>
    <w:rsid w:val="004A2D56"/>
    <w:rsid w:val="004A327D"/>
    <w:rsid w:val="004A3551"/>
    <w:rsid w:val="004A35F1"/>
    <w:rsid w:val="004A3640"/>
    <w:rsid w:val="004A3E4A"/>
    <w:rsid w:val="004A3F1D"/>
    <w:rsid w:val="004A45EA"/>
    <w:rsid w:val="004A4D3B"/>
    <w:rsid w:val="004A541C"/>
    <w:rsid w:val="004A5C09"/>
    <w:rsid w:val="004A63C7"/>
    <w:rsid w:val="004A63DE"/>
    <w:rsid w:val="004A6419"/>
    <w:rsid w:val="004A6664"/>
    <w:rsid w:val="004A674F"/>
    <w:rsid w:val="004A6948"/>
    <w:rsid w:val="004A6950"/>
    <w:rsid w:val="004A6F39"/>
    <w:rsid w:val="004A7140"/>
    <w:rsid w:val="004A731E"/>
    <w:rsid w:val="004A77FC"/>
    <w:rsid w:val="004A7A56"/>
    <w:rsid w:val="004A7B2C"/>
    <w:rsid w:val="004A7D84"/>
    <w:rsid w:val="004B023B"/>
    <w:rsid w:val="004B0320"/>
    <w:rsid w:val="004B0647"/>
    <w:rsid w:val="004B0877"/>
    <w:rsid w:val="004B08A2"/>
    <w:rsid w:val="004B12BA"/>
    <w:rsid w:val="004B15D2"/>
    <w:rsid w:val="004B167B"/>
    <w:rsid w:val="004B1C72"/>
    <w:rsid w:val="004B2A75"/>
    <w:rsid w:val="004B2B68"/>
    <w:rsid w:val="004B34B0"/>
    <w:rsid w:val="004B3F47"/>
    <w:rsid w:val="004B40B4"/>
    <w:rsid w:val="004B42C6"/>
    <w:rsid w:val="004B43B6"/>
    <w:rsid w:val="004B4704"/>
    <w:rsid w:val="004B477A"/>
    <w:rsid w:val="004B4D36"/>
    <w:rsid w:val="004B5525"/>
    <w:rsid w:val="004B569D"/>
    <w:rsid w:val="004B59BF"/>
    <w:rsid w:val="004B5A70"/>
    <w:rsid w:val="004B5B31"/>
    <w:rsid w:val="004B5E4E"/>
    <w:rsid w:val="004B5ECF"/>
    <w:rsid w:val="004B5ED1"/>
    <w:rsid w:val="004B62CC"/>
    <w:rsid w:val="004B66B0"/>
    <w:rsid w:val="004B693A"/>
    <w:rsid w:val="004B6CC3"/>
    <w:rsid w:val="004B6DAE"/>
    <w:rsid w:val="004B7153"/>
    <w:rsid w:val="004B71EA"/>
    <w:rsid w:val="004B72EB"/>
    <w:rsid w:val="004B7529"/>
    <w:rsid w:val="004B76E4"/>
    <w:rsid w:val="004B7993"/>
    <w:rsid w:val="004B7D91"/>
    <w:rsid w:val="004C053E"/>
    <w:rsid w:val="004C0777"/>
    <w:rsid w:val="004C0B89"/>
    <w:rsid w:val="004C109E"/>
    <w:rsid w:val="004C16D5"/>
    <w:rsid w:val="004C1A72"/>
    <w:rsid w:val="004C1C09"/>
    <w:rsid w:val="004C20D0"/>
    <w:rsid w:val="004C31BD"/>
    <w:rsid w:val="004C328E"/>
    <w:rsid w:val="004C332F"/>
    <w:rsid w:val="004C3C96"/>
    <w:rsid w:val="004C3EF3"/>
    <w:rsid w:val="004C401B"/>
    <w:rsid w:val="004C4160"/>
    <w:rsid w:val="004C440E"/>
    <w:rsid w:val="004C44C8"/>
    <w:rsid w:val="004C4D31"/>
    <w:rsid w:val="004C4DB6"/>
    <w:rsid w:val="004C5260"/>
    <w:rsid w:val="004C5878"/>
    <w:rsid w:val="004C587D"/>
    <w:rsid w:val="004C5969"/>
    <w:rsid w:val="004C5C73"/>
    <w:rsid w:val="004C6898"/>
    <w:rsid w:val="004C6BEF"/>
    <w:rsid w:val="004C6C5C"/>
    <w:rsid w:val="004C6E58"/>
    <w:rsid w:val="004C7047"/>
    <w:rsid w:val="004C75DE"/>
    <w:rsid w:val="004C7B32"/>
    <w:rsid w:val="004D009F"/>
    <w:rsid w:val="004D0286"/>
    <w:rsid w:val="004D05E7"/>
    <w:rsid w:val="004D08E0"/>
    <w:rsid w:val="004D0C94"/>
    <w:rsid w:val="004D0CE2"/>
    <w:rsid w:val="004D0D62"/>
    <w:rsid w:val="004D11EE"/>
    <w:rsid w:val="004D1801"/>
    <w:rsid w:val="004D1996"/>
    <w:rsid w:val="004D1B2D"/>
    <w:rsid w:val="004D1D2D"/>
    <w:rsid w:val="004D2320"/>
    <w:rsid w:val="004D25E7"/>
    <w:rsid w:val="004D27C2"/>
    <w:rsid w:val="004D2B07"/>
    <w:rsid w:val="004D32A8"/>
    <w:rsid w:val="004D32B2"/>
    <w:rsid w:val="004D36CF"/>
    <w:rsid w:val="004D371A"/>
    <w:rsid w:val="004D3ABC"/>
    <w:rsid w:val="004D3FAB"/>
    <w:rsid w:val="004D4246"/>
    <w:rsid w:val="004D4368"/>
    <w:rsid w:val="004D44E6"/>
    <w:rsid w:val="004D465F"/>
    <w:rsid w:val="004D4ED4"/>
    <w:rsid w:val="004D5198"/>
    <w:rsid w:val="004D52DB"/>
    <w:rsid w:val="004D5978"/>
    <w:rsid w:val="004D5AAA"/>
    <w:rsid w:val="004D5CCA"/>
    <w:rsid w:val="004D5D4C"/>
    <w:rsid w:val="004D5DD6"/>
    <w:rsid w:val="004D60D7"/>
    <w:rsid w:val="004D60FD"/>
    <w:rsid w:val="004D636C"/>
    <w:rsid w:val="004D666B"/>
    <w:rsid w:val="004D67F9"/>
    <w:rsid w:val="004D6F71"/>
    <w:rsid w:val="004D7394"/>
    <w:rsid w:val="004D73FA"/>
    <w:rsid w:val="004D7794"/>
    <w:rsid w:val="004D77BB"/>
    <w:rsid w:val="004D782A"/>
    <w:rsid w:val="004D78B7"/>
    <w:rsid w:val="004D79A9"/>
    <w:rsid w:val="004D7D40"/>
    <w:rsid w:val="004D7E2C"/>
    <w:rsid w:val="004E0149"/>
    <w:rsid w:val="004E0436"/>
    <w:rsid w:val="004E0832"/>
    <w:rsid w:val="004E08EC"/>
    <w:rsid w:val="004E0A8C"/>
    <w:rsid w:val="004E0BE0"/>
    <w:rsid w:val="004E0FC4"/>
    <w:rsid w:val="004E1B59"/>
    <w:rsid w:val="004E22B6"/>
    <w:rsid w:val="004E26B4"/>
    <w:rsid w:val="004E27A3"/>
    <w:rsid w:val="004E2A8A"/>
    <w:rsid w:val="004E2AFD"/>
    <w:rsid w:val="004E2B5D"/>
    <w:rsid w:val="004E2E85"/>
    <w:rsid w:val="004E3343"/>
    <w:rsid w:val="004E34DA"/>
    <w:rsid w:val="004E3529"/>
    <w:rsid w:val="004E3739"/>
    <w:rsid w:val="004E3963"/>
    <w:rsid w:val="004E3DD9"/>
    <w:rsid w:val="004E4352"/>
    <w:rsid w:val="004E5316"/>
    <w:rsid w:val="004E5BA2"/>
    <w:rsid w:val="004E5C22"/>
    <w:rsid w:val="004E5C27"/>
    <w:rsid w:val="004E5E3F"/>
    <w:rsid w:val="004E5F4D"/>
    <w:rsid w:val="004E6011"/>
    <w:rsid w:val="004E6292"/>
    <w:rsid w:val="004E6696"/>
    <w:rsid w:val="004E67A5"/>
    <w:rsid w:val="004E67EB"/>
    <w:rsid w:val="004E6D9A"/>
    <w:rsid w:val="004E7806"/>
    <w:rsid w:val="004E78C3"/>
    <w:rsid w:val="004E7B26"/>
    <w:rsid w:val="004F0305"/>
    <w:rsid w:val="004F081F"/>
    <w:rsid w:val="004F09E1"/>
    <w:rsid w:val="004F0A83"/>
    <w:rsid w:val="004F0C3E"/>
    <w:rsid w:val="004F12ED"/>
    <w:rsid w:val="004F164F"/>
    <w:rsid w:val="004F17C4"/>
    <w:rsid w:val="004F18F9"/>
    <w:rsid w:val="004F1958"/>
    <w:rsid w:val="004F1D86"/>
    <w:rsid w:val="004F1F99"/>
    <w:rsid w:val="004F21FA"/>
    <w:rsid w:val="004F23CD"/>
    <w:rsid w:val="004F25CB"/>
    <w:rsid w:val="004F281A"/>
    <w:rsid w:val="004F2958"/>
    <w:rsid w:val="004F2D69"/>
    <w:rsid w:val="004F338C"/>
    <w:rsid w:val="004F3749"/>
    <w:rsid w:val="004F398A"/>
    <w:rsid w:val="004F3AC0"/>
    <w:rsid w:val="004F3B13"/>
    <w:rsid w:val="004F3BA4"/>
    <w:rsid w:val="004F3E17"/>
    <w:rsid w:val="004F3F31"/>
    <w:rsid w:val="004F40D9"/>
    <w:rsid w:val="004F45D7"/>
    <w:rsid w:val="004F46BB"/>
    <w:rsid w:val="004F4889"/>
    <w:rsid w:val="004F50E7"/>
    <w:rsid w:val="004F52A9"/>
    <w:rsid w:val="004F54F9"/>
    <w:rsid w:val="004F55DE"/>
    <w:rsid w:val="004F5FCF"/>
    <w:rsid w:val="004F63F1"/>
    <w:rsid w:val="004F6845"/>
    <w:rsid w:val="004F6B85"/>
    <w:rsid w:val="004F6C95"/>
    <w:rsid w:val="004F7204"/>
    <w:rsid w:val="004F7261"/>
    <w:rsid w:val="004F7395"/>
    <w:rsid w:val="004F73B5"/>
    <w:rsid w:val="004F7439"/>
    <w:rsid w:val="004F748C"/>
    <w:rsid w:val="004F7766"/>
    <w:rsid w:val="004F7D6C"/>
    <w:rsid w:val="004F7E40"/>
    <w:rsid w:val="00500111"/>
    <w:rsid w:val="00500364"/>
    <w:rsid w:val="00500630"/>
    <w:rsid w:val="005007A2"/>
    <w:rsid w:val="0050099E"/>
    <w:rsid w:val="00500A26"/>
    <w:rsid w:val="00500C22"/>
    <w:rsid w:val="005010CC"/>
    <w:rsid w:val="005012B3"/>
    <w:rsid w:val="00501579"/>
    <w:rsid w:val="00501B18"/>
    <w:rsid w:val="0050202D"/>
    <w:rsid w:val="005020D3"/>
    <w:rsid w:val="0050223B"/>
    <w:rsid w:val="0050247A"/>
    <w:rsid w:val="00502838"/>
    <w:rsid w:val="0050289C"/>
    <w:rsid w:val="00502B19"/>
    <w:rsid w:val="00502BA5"/>
    <w:rsid w:val="00502ECC"/>
    <w:rsid w:val="0050316C"/>
    <w:rsid w:val="005031AD"/>
    <w:rsid w:val="005036BA"/>
    <w:rsid w:val="00503A92"/>
    <w:rsid w:val="00503E93"/>
    <w:rsid w:val="00503F3F"/>
    <w:rsid w:val="00504394"/>
    <w:rsid w:val="00504589"/>
    <w:rsid w:val="005048DB"/>
    <w:rsid w:val="005049B9"/>
    <w:rsid w:val="005050CC"/>
    <w:rsid w:val="00505838"/>
    <w:rsid w:val="00505A07"/>
    <w:rsid w:val="00505FF2"/>
    <w:rsid w:val="0050615A"/>
    <w:rsid w:val="00506350"/>
    <w:rsid w:val="00506589"/>
    <w:rsid w:val="0050692A"/>
    <w:rsid w:val="00506BF6"/>
    <w:rsid w:val="00507030"/>
    <w:rsid w:val="005071C2"/>
    <w:rsid w:val="005076EA"/>
    <w:rsid w:val="00507C73"/>
    <w:rsid w:val="00507D32"/>
    <w:rsid w:val="005100A6"/>
    <w:rsid w:val="00510154"/>
    <w:rsid w:val="005101F8"/>
    <w:rsid w:val="0051024F"/>
    <w:rsid w:val="0051026D"/>
    <w:rsid w:val="005103BF"/>
    <w:rsid w:val="005104F5"/>
    <w:rsid w:val="005106CA"/>
    <w:rsid w:val="005106CB"/>
    <w:rsid w:val="0051151E"/>
    <w:rsid w:val="00511873"/>
    <w:rsid w:val="00511CDC"/>
    <w:rsid w:val="00511EA1"/>
    <w:rsid w:val="00512064"/>
    <w:rsid w:val="00512093"/>
    <w:rsid w:val="00512A25"/>
    <w:rsid w:val="00512B83"/>
    <w:rsid w:val="00512FD2"/>
    <w:rsid w:val="005134A5"/>
    <w:rsid w:val="005134FF"/>
    <w:rsid w:val="00513A87"/>
    <w:rsid w:val="00513B51"/>
    <w:rsid w:val="00513CE4"/>
    <w:rsid w:val="00514274"/>
    <w:rsid w:val="00514AC0"/>
    <w:rsid w:val="00514B68"/>
    <w:rsid w:val="00514FEF"/>
    <w:rsid w:val="0051537D"/>
    <w:rsid w:val="0051546D"/>
    <w:rsid w:val="005156F6"/>
    <w:rsid w:val="0051571C"/>
    <w:rsid w:val="0051585A"/>
    <w:rsid w:val="00515944"/>
    <w:rsid w:val="00515DBB"/>
    <w:rsid w:val="005160D8"/>
    <w:rsid w:val="0051643F"/>
    <w:rsid w:val="005164E6"/>
    <w:rsid w:val="00516509"/>
    <w:rsid w:val="005167F3"/>
    <w:rsid w:val="00516D72"/>
    <w:rsid w:val="00517204"/>
    <w:rsid w:val="0051778F"/>
    <w:rsid w:val="00517801"/>
    <w:rsid w:val="00517CF3"/>
    <w:rsid w:val="00517ED0"/>
    <w:rsid w:val="005200A2"/>
    <w:rsid w:val="005201B1"/>
    <w:rsid w:val="005201FE"/>
    <w:rsid w:val="0052048C"/>
    <w:rsid w:val="00520508"/>
    <w:rsid w:val="00520A01"/>
    <w:rsid w:val="00521055"/>
    <w:rsid w:val="00521214"/>
    <w:rsid w:val="0052159B"/>
    <w:rsid w:val="00521847"/>
    <w:rsid w:val="00521865"/>
    <w:rsid w:val="005218F6"/>
    <w:rsid w:val="00521C11"/>
    <w:rsid w:val="00521F44"/>
    <w:rsid w:val="0052214A"/>
    <w:rsid w:val="0052256A"/>
    <w:rsid w:val="00522632"/>
    <w:rsid w:val="00522915"/>
    <w:rsid w:val="00522B6E"/>
    <w:rsid w:val="00523190"/>
    <w:rsid w:val="00523C3E"/>
    <w:rsid w:val="00523F8E"/>
    <w:rsid w:val="0052455E"/>
    <w:rsid w:val="005245C8"/>
    <w:rsid w:val="005245F0"/>
    <w:rsid w:val="0052470B"/>
    <w:rsid w:val="00524AC3"/>
    <w:rsid w:val="00524C63"/>
    <w:rsid w:val="00524D87"/>
    <w:rsid w:val="00524E33"/>
    <w:rsid w:val="00525358"/>
    <w:rsid w:val="00525B65"/>
    <w:rsid w:val="00525BD8"/>
    <w:rsid w:val="00525BDE"/>
    <w:rsid w:val="00525F40"/>
    <w:rsid w:val="00526485"/>
    <w:rsid w:val="005268A8"/>
    <w:rsid w:val="005270DA"/>
    <w:rsid w:val="005274E8"/>
    <w:rsid w:val="00527568"/>
    <w:rsid w:val="0052757F"/>
    <w:rsid w:val="0052788A"/>
    <w:rsid w:val="00527AEC"/>
    <w:rsid w:val="00527F06"/>
    <w:rsid w:val="00530043"/>
    <w:rsid w:val="00530A2B"/>
    <w:rsid w:val="00530BD0"/>
    <w:rsid w:val="00530C1C"/>
    <w:rsid w:val="00530F37"/>
    <w:rsid w:val="00531438"/>
    <w:rsid w:val="005317D7"/>
    <w:rsid w:val="00531FDB"/>
    <w:rsid w:val="0053203E"/>
    <w:rsid w:val="0053213D"/>
    <w:rsid w:val="00532325"/>
    <w:rsid w:val="00532346"/>
    <w:rsid w:val="00532407"/>
    <w:rsid w:val="0053270E"/>
    <w:rsid w:val="00532BD6"/>
    <w:rsid w:val="00533015"/>
    <w:rsid w:val="0053306B"/>
    <w:rsid w:val="00533108"/>
    <w:rsid w:val="005331A3"/>
    <w:rsid w:val="00533250"/>
    <w:rsid w:val="005332C1"/>
    <w:rsid w:val="00533647"/>
    <w:rsid w:val="00533EAF"/>
    <w:rsid w:val="005343D9"/>
    <w:rsid w:val="00534671"/>
    <w:rsid w:val="0053475D"/>
    <w:rsid w:val="00534A7C"/>
    <w:rsid w:val="00534D49"/>
    <w:rsid w:val="005356C2"/>
    <w:rsid w:val="0053592F"/>
    <w:rsid w:val="005359B9"/>
    <w:rsid w:val="00536177"/>
    <w:rsid w:val="005362E7"/>
    <w:rsid w:val="00536821"/>
    <w:rsid w:val="005369CB"/>
    <w:rsid w:val="00536A93"/>
    <w:rsid w:val="00536B05"/>
    <w:rsid w:val="00536B25"/>
    <w:rsid w:val="00536CEE"/>
    <w:rsid w:val="00536E8E"/>
    <w:rsid w:val="00536F75"/>
    <w:rsid w:val="00537377"/>
    <w:rsid w:val="005375A8"/>
    <w:rsid w:val="005375AE"/>
    <w:rsid w:val="005375E2"/>
    <w:rsid w:val="005375EE"/>
    <w:rsid w:val="00537A8C"/>
    <w:rsid w:val="0054002E"/>
    <w:rsid w:val="00540845"/>
    <w:rsid w:val="0054087C"/>
    <w:rsid w:val="00540A6E"/>
    <w:rsid w:val="005410A6"/>
    <w:rsid w:val="00541186"/>
    <w:rsid w:val="005413BC"/>
    <w:rsid w:val="00541678"/>
    <w:rsid w:val="005420A6"/>
    <w:rsid w:val="00542223"/>
    <w:rsid w:val="00542603"/>
    <w:rsid w:val="005427A2"/>
    <w:rsid w:val="005428E4"/>
    <w:rsid w:val="005429F0"/>
    <w:rsid w:val="00542DC5"/>
    <w:rsid w:val="00542E3D"/>
    <w:rsid w:val="0054321D"/>
    <w:rsid w:val="005434C1"/>
    <w:rsid w:val="00543917"/>
    <w:rsid w:val="00543A6B"/>
    <w:rsid w:val="00543AB6"/>
    <w:rsid w:val="00543B2B"/>
    <w:rsid w:val="005440AA"/>
    <w:rsid w:val="005442D9"/>
    <w:rsid w:val="0054447A"/>
    <w:rsid w:val="005444A7"/>
    <w:rsid w:val="0054479B"/>
    <w:rsid w:val="0054491E"/>
    <w:rsid w:val="005449C9"/>
    <w:rsid w:val="00544BF0"/>
    <w:rsid w:val="00544CA4"/>
    <w:rsid w:val="00544CF8"/>
    <w:rsid w:val="005451C1"/>
    <w:rsid w:val="005453CF"/>
    <w:rsid w:val="005453D2"/>
    <w:rsid w:val="00545761"/>
    <w:rsid w:val="005459D0"/>
    <w:rsid w:val="00545D61"/>
    <w:rsid w:val="00545E34"/>
    <w:rsid w:val="00545F7B"/>
    <w:rsid w:val="00546322"/>
    <w:rsid w:val="00546420"/>
    <w:rsid w:val="0054661B"/>
    <w:rsid w:val="00546622"/>
    <w:rsid w:val="00546644"/>
    <w:rsid w:val="005468CD"/>
    <w:rsid w:val="005475DE"/>
    <w:rsid w:val="00550289"/>
    <w:rsid w:val="00550644"/>
    <w:rsid w:val="00550663"/>
    <w:rsid w:val="00550696"/>
    <w:rsid w:val="005508BE"/>
    <w:rsid w:val="00550B74"/>
    <w:rsid w:val="005510B2"/>
    <w:rsid w:val="005513A8"/>
    <w:rsid w:val="00551546"/>
    <w:rsid w:val="00551B03"/>
    <w:rsid w:val="00551CA3"/>
    <w:rsid w:val="00551E6E"/>
    <w:rsid w:val="0055228B"/>
    <w:rsid w:val="0055259E"/>
    <w:rsid w:val="0055269A"/>
    <w:rsid w:val="00552839"/>
    <w:rsid w:val="00552BB7"/>
    <w:rsid w:val="00553395"/>
    <w:rsid w:val="00553436"/>
    <w:rsid w:val="005538C7"/>
    <w:rsid w:val="00553C7B"/>
    <w:rsid w:val="00553E4B"/>
    <w:rsid w:val="00554258"/>
    <w:rsid w:val="005546D3"/>
    <w:rsid w:val="00554C09"/>
    <w:rsid w:val="00554CAC"/>
    <w:rsid w:val="00554D44"/>
    <w:rsid w:val="0055571F"/>
    <w:rsid w:val="0055591C"/>
    <w:rsid w:val="0055597B"/>
    <w:rsid w:val="00555A7F"/>
    <w:rsid w:val="00555DF2"/>
    <w:rsid w:val="00555ED0"/>
    <w:rsid w:val="00555FC5"/>
    <w:rsid w:val="005564FA"/>
    <w:rsid w:val="0055658A"/>
    <w:rsid w:val="00556A5A"/>
    <w:rsid w:val="00556E1E"/>
    <w:rsid w:val="005576C1"/>
    <w:rsid w:val="00557B29"/>
    <w:rsid w:val="00557ED7"/>
    <w:rsid w:val="005603E4"/>
    <w:rsid w:val="005609D0"/>
    <w:rsid w:val="005609F4"/>
    <w:rsid w:val="00560F26"/>
    <w:rsid w:val="00561082"/>
    <w:rsid w:val="005621C7"/>
    <w:rsid w:val="005621CF"/>
    <w:rsid w:val="005624A0"/>
    <w:rsid w:val="005627BC"/>
    <w:rsid w:val="00562A7C"/>
    <w:rsid w:val="00562ABC"/>
    <w:rsid w:val="00562B5A"/>
    <w:rsid w:val="00562C3D"/>
    <w:rsid w:val="005633CE"/>
    <w:rsid w:val="005634A7"/>
    <w:rsid w:val="00563B46"/>
    <w:rsid w:val="00563DC6"/>
    <w:rsid w:val="00563F7E"/>
    <w:rsid w:val="00564115"/>
    <w:rsid w:val="0056458D"/>
    <w:rsid w:val="005645B1"/>
    <w:rsid w:val="005648FC"/>
    <w:rsid w:val="00564FEF"/>
    <w:rsid w:val="0056511B"/>
    <w:rsid w:val="00565285"/>
    <w:rsid w:val="0056531B"/>
    <w:rsid w:val="0056536E"/>
    <w:rsid w:val="00565411"/>
    <w:rsid w:val="00565661"/>
    <w:rsid w:val="005657D3"/>
    <w:rsid w:val="005658DF"/>
    <w:rsid w:val="00565BB9"/>
    <w:rsid w:val="00565C7B"/>
    <w:rsid w:val="00565D93"/>
    <w:rsid w:val="005661A1"/>
    <w:rsid w:val="005662F8"/>
    <w:rsid w:val="005667A2"/>
    <w:rsid w:val="00566932"/>
    <w:rsid w:val="00566999"/>
    <w:rsid w:val="00566B73"/>
    <w:rsid w:val="00566DD3"/>
    <w:rsid w:val="00566EC9"/>
    <w:rsid w:val="00567389"/>
    <w:rsid w:val="00567A13"/>
    <w:rsid w:val="00567B21"/>
    <w:rsid w:val="00567F54"/>
    <w:rsid w:val="00570156"/>
    <w:rsid w:val="00570345"/>
    <w:rsid w:val="00570E76"/>
    <w:rsid w:val="00571087"/>
    <w:rsid w:val="005710A8"/>
    <w:rsid w:val="005710B5"/>
    <w:rsid w:val="0057116C"/>
    <w:rsid w:val="0057120D"/>
    <w:rsid w:val="0057128A"/>
    <w:rsid w:val="00571662"/>
    <w:rsid w:val="005718FC"/>
    <w:rsid w:val="005719F2"/>
    <w:rsid w:val="00571A5E"/>
    <w:rsid w:val="00571BC6"/>
    <w:rsid w:val="00572DB7"/>
    <w:rsid w:val="00572E32"/>
    <w:rsid w:val="00572E97"/>
    <w:rsid w:val="00572FE8"/>
    <w:rsid w:val="00573205"/>
    <w:rsid w:val="0057320D"/>
    <w:rsid w:val="00573211"/>
    <w:rsid w:val="0057350A"/>
    <w:rsid w:val="0057389C"/>
    <w:rsid w:val="00573A4C"/>
    <w:rsid w:val="00573B23"/>
    <w:rsid w:val="00573C62"/>
    <w:rsid w:val="00573EE5"/>
    <w:rsid w:val="005741E6"/>
    <w:rsid w:val="005742D6"/>
    <w:rsid w:val="00574560"/>
    <w:rsid w:val="00574784"/>
    <w:rsid w:val="00574A51"/>
    <w:rsid w:val="00574BD6"/>
    <w:rsid w:val="00574CA6"/>
    <w:rsid w:val="00574E96"/>
    <w:rsid w:val="00574F0B"/>
    <w:rsid w:val="00575172"/>
    <w:rsid w:val="0057528D"/>
    <w:rsid w:val="00575788"/>
    <w:rsid w:val="00575CDE"/>
    <w:rsid w:val="005762CA"/>
    <w:rsid w:val="00576401"/>
    <w:rsid w:val="005767FF"/>
    <w:rsid w:val="0057682D"/>
    <w:rsid w:val="00576CAF"/>
    <w:rsid w:val="00576F12"/>
    <w:rsid w:val="00576F13"/>
    <w:rsid w:val="00576F88"/>
    <w:rsid w:val="005773D0"/>
    <w:rsid w:val="0057746D"/>
    <w:rsid w:val="00580034"/>
    <w:rsid w:val="005801CC"/>
    <w:rsid w:val="00580622"/>
    <w:rsid w:val="00580A63"/>
    <w:rsid w:val="00580F82"/>
    <w:rsid w:val="005811B2"/>
    <w:rsid w:val="00581320"/>
    <w:rsid w:val="005814D5"/>
    <w:rsid w:val="0058172B"/>
    <w:rsid w:val="00581FCD"/>
    <w:rsid w:val="005820F9"/>
    <w:rsid w:val="00582282"/>
    <w:rsid w:val="00582395"/>
    <w:rsid w:val="00582C3E"/>
    <w:rsid w:val="00582CCC"/>
    <w:rsid w:val="00582FF4"/>
    <w:rsid w:val="005833F6"/>
    <w:rsid w:val="005833F9"/>
    <w:rsid w:val="0058372C"/>
    <w:rsid w:val="00583832"/>
    <w:rsid w:val="00583B31"/>
    <w:rsid w:val="00583B3C"/>
    <w:rsid w:val="00583B7A"/>
    <w:rsid w:val="00583C78"/>
    <w:rsid w:val="00583C97"/>
    <w:rsid w:val="00583DD6"/>
    <w:rsid w:val="00584894"/>
    <w:rsid w:val="00584A9C"/>
    <w:rsid w:val="00584BF1"/>
    <w:rsid w:val="00584CDA"/>
    <w:rsid w:val="00584F8D"/>
    <w:rsid w:val="00584FD5"/>
    <w:rsid w:val="005851DB"/>
    <w:rsid w:val="00585783"/>
    <w:rsid w:val="00585E5A"/>
    <w:rsid w:val="00585E72"/>
    <w:rsid w:val="00586030"/>
    <w:rsid w:val="0058616F"/>
    <w:rsid w:val="00586264"/>
    <w:rsid w:val="005862E0"/>
    <w:rsid w:val="005862EF"/>
    <w:rsid w:val="0058666F"/>
    <w:rsid w:val="00586909"/>
    <w:rsid w:val="00586C1E"/>
    <w:rsid w:val="00587943"/>
    <w:rsid w:val="00587A0C"/>
    <w:rsid w:val="00587AB4"/>
    <w:rsid w:val="00587B36"/>
    <w:rsid w:val="00587B82"/>
    <w:rsid w:val="00587CDC"/>
    <w:rsid w:val="00587E56"/>
    <w:rsid w:val="00587FD2"/>
    <w:rsid w:val="00590028"/>
    <w:rsid w:val="005901D2"/>
    <w:rsid w:val="0059072C"/>
    <w:rsid w:val="00590EEA"/>
    <w:rsid w:val="005910B7"/>
    <w:rsid w:val="00591415"/>
    <w:rsid w:val="00591443"/>
    <w:rsid w:val="005918CB"/>
    <w:rsid w:val="005919C8"/>
    <w:rsid w:val="00591DA2"/>
    <w:rsid w:val="005921D3"/>
    <w:rsid w:val="00592921"/>
    <w:rsid w:val="005929D5"/>
    <w:rsid w:val="00592C9B"/>
    <w:rsid w:val="00592E68"/>
    <w:rsid w:val="00593038"/>
    <w:rsid w:val="00593178"/>
    <w:rsid w:val="0059333C"/>
    <w:rsid w:val="00593661"/>
    <w:rsid w:val="00593B64"/>
    <w:rsid w:val="0059416F"/>
    <w:rsid w:val="005941B3"/>
    <w:rsid w:val="005943AA"/>
    <w:rsid w:val="00594420"/>
    <w:rsid w:val="00594433"/>
    <w:rsid w:val="00594964"/>
    <w:rsid w:val="00594A85"/>
    <w:rsid w:val="00594C15"/>
    <w:rsid w:val="00594E0F"/>
    <w:rsid w:val="00594FE1"/>
    <w:rsid w:val="00595050"/>
    <w:rsid w:val="0059532A"/>
    <w:rsid w:val="005959E3"/>
    <w:rsid w:val="00595BFD"/>
    <w:rsid w:val="00595C32"/>
    <w:rsid w:val="00595CA0"/>
    <w:rsid w:val="0059615C"/>
    <w:rsid w:val="00596195"/>
    <w:rsid w:val="005962D9"/>
    <w:rsid w:val="005963C9"/>
    <w:rsid w:val="005967F2"/>
    <w:rsid w:val="0059697E"/>
    <w:rsid w:val="00596E68"/>
    <w:rsid w:val="00596FCD"/>
    <w:rsid w:val="005971E8"/>
    <w:rsid w:val="0059757E"/>
    <w:rsid w:val="00597982"/>
    <w:rsid w:val="00597C4C"/>
    <w:rsid w:val="00597F89"/>
    <w:rsid w:val="005A00CF"/>
    <w:rsid w:val="005A01AE"/>
    <w:rsid w:val="005A03FF"/>
    <w:rsid w:val="005A04FD"/>
    <w:rsid w:val="005A06DB"/>
    <w:rsid w:val="005A0AF7"/>
    <w:rsid w:val="005A0B95"/>
    <w:rsid w:val="005A0CC6"/>
    <w:rsid w:val="005A0FAC"/>
    <w:rsid w:val="005A104B"/>
    <w:rsid w:val="005A11FF"/>
    <w:rsid w:val="005A12DF"/>
    <w:rsid w:val="005A1A92"/>
    <w:rsid w:val="005A1E77"/>
    <w:rsid w:val="005A1F5C"/>
    <w:rsid w:val="005A2237"/>
    <w:rsid w:val="005A22E4"/>
    <w:rsid w:val="005A2830"/>
    <w:rsid w:val="005A2AF6"/>
    <w:rsid w:val="005A2D2A"/>
    <w:rsid w:val="005A31F6"/>
    <w:rsid w:val="005A31F9"/>
    <w:rsid w:val="005A3280"/>
    <w:rsid w:val="005A4015"/>
    <w:rsid w:val="005A404D"/>
    <w:rsid w:val="005A43C7"/>
    <w:rsid w:val="005A43F8"/>
    <w:rsid w:val="005A4678"/>
    <w:rsid w:val="005A4769"/>
    <w:rsid w:val="005A47CE"/>
    <w:rsid w:val="005A4FB1"/>
    <w:rsid w:val="005A6BDA"/>
    <w:rsid w:val="005A6F59"/>
    <w:rsid w:val="005A7BC6"/>
    <w:rsid w:val="005A7E71"/>
    <w:rsid w:val="005B02FD"/>
    <w:rsid w:val="005B03BD"/>
    <w:rsid w:val="005B08B9"/>
    <w:rsid w:val="005B0CD5"/>
    <w:rsid w:val="005B0ED6"/>
    <w:rsid w:val="005B0FDA"/>
    <w:rsid w:val="005B10D2"/>
    <w:rsid w:val="005B10FB"/>
    <w:rsid w:val="005B11DA"/>
    <w:rsid w:val="005B155E"/>
    <w:rsid w:val="005B200D"/>
    <w:rsid w:val="005B2029"/>
    <w:rsid w:val="005B232F"/>
    <w:rsid w:val="005B274B"/>
    <w:rsid w:val="005B27DD"/>
    <w:rsid w:val="005B2911"/>
    <w:rsid w:val="005B2D4F"/>
    <w:rsid w:val="005B31A7"/>
    <w:rsid w:val="005B34FB"/>
    <w:rsid w:val="005B3594"/>
    <w:rsid w:val="005B35C5"/>
    <w:rsid w:val="005B3A23"/>
    <w:rsid w:val="005B3C4C"/>
    <w:rsid w:val="005B3D37"/>
    <w:rsid w:val="005B4098"/>
    <w:rsid w:val="005B41D4"/>
    <w:rsid w:val="005B46A2"/>
    <w:rsid w:val="005B4D0F"/>
    <w:rsid w:val="005B4D2A"/>
    <w:rsid w:val="005B4EB7"/>
    <w:rsid w:val="005B4EEC"/>
    <w:rsid w:val="005B500A"/>
    <w:rsid w:val="005B538A"/>
    <w:rsid w:val="005B5A85"/>
    <w:rsid w:val="005B5DF9"/>
    <w:rsid w:val="005B5EF6"/>
    <w:rsid w:val="005B5F20"/>
    <w:rsid w:val="005B6107"/>
    <w:rsid w:val="005B63CA"/>
    <w:rsid w:val="005B63E1"/>
    <w:rsid w:val="005B6520"/>
    <w:rsid w:val="005B674A"/>
    <w:rsid w:val="005B68AE"/>
    <w:rsid w:val="005B6922"/>
    <w:rsid w:val="005B69A1"/>
    <w:rsid w:val="005B6EFE"/>
    <w:rsid w:val="005B752C"/>
    <w:rsid w:val="005B76F1"/>
    <w:rsid w:val="005B7A88"/>
    <w:rsid w:val="005B7BBD"/>
    <w:rsid w:val="005B7CED"/>
    <w:rsid w:val="005B7E65"/>
    <w:rsid w:val="005B7E8B"/>
    <w:rsid w:val="005C012F"/>
    <w:rsid w:val="005C0315"/>
    <w:rsid w:val="005C03F2"/>
    <w:rsid w:val="005C0FDC"/>
    <w:rsid w:val="005C1048"/>
    <w:rsid w:val="005C1250"/>
    <w:rsid w:val="005C1289"/>
    <w:rsid w:val="005C16A4"/>
    <w:rsid w:val="005C1730"/>
    <w:rsid w:val="005C17FA"/>
    <w:rsid w:val="005C1CC3"/>
    <w:rsid w:val="005C1D64"/>
    <w:rsid w:val="005C2186"/>
    <w:rsid w:val="005C243B"/>
    <w:rsid w:val="005C252F"/>
    <w:rsid w:val="005C270D"/>
    <w:rsid w:val="005C2784"/>
    <w:rsid w:val="005C2907"/>
    <w:rsid w:val="005C2BAC"/>
    <w:rsid w:val="005C2DF4"/>
    <w:rsid w:val="005C3026"/>
    <w:rsid w:val="005C31E0"/>
    <w:rsid w:val="005C39C8"/>
    <w:rsid w:val="005C3F46"/>
    <w:rsid w:val="005C4256"/>
    <w:rsid w:val="005C4487"/>
    <w:rsid w:val="005C455E"/>
    <w:rsid w:val="005C45E4"/>
    <w:rsid w:val="005C59FB"/>
    <w:rsid w:val="005C5B4A"/>
    <w:rsid w:val="005C5CD0"/>
    <w:rsid w:val="005C5DF3"/>
    <w:rsid w:val="005C63D5"/>
    <w:rsid w:val="005C63DB"/>
    <w:rsid w:val="005C64F7"/>
    <w:rsid w:val="005C6860"/>
    <w:rsid w:val="005C6C77"/>
    <w:rsid w:val="005C6DA1"/>
    <w:rsid w:val="005C7060"/>
    <w:rsid w:val="005C751F"/>
    <w:rsid w:val="005C75CA"/>
    <w:rsid w:val="005C7BD2"/>
    <w:rsid w:val="005C7CE0"/>
    <w:rsid w:val="005C7D81"/>
    <w:rsid w:val="005D0173"/>
    <w:rsid w:val="005D03EF"/>
    <w:rsid w:val="005D064E"/>
    <w:rsid w:val="005D07EA"/>
    <w:rsid w:val="005D0985"/>
    <w:rsid w:val="005D09E5"/>
    <w:rsid w:val="005D0A64"/>
    <w:rsid w:val="005D0DBF"/>
    <w:rsid w:val="005D1509"/>
    <w:rsid w:val="005D161E"/>
    <w:rsid w:val="005D16C7"/>
    <w:rsid w:val="005D1917"/>
    <w:rsid w:val="005D1980"/>
    <w:rsid w:val="005D1EB7"/>
    <w:rsid w:val="005D2006"/>
    <w:rsid w:val="005D2007"/>
    <w:rsid w:val="005D2031"/>
    <w:rsid w:val="005D21D5"/>
    <w:rsid w:val="005D2660"/>
    <w:rsid w:val="005D2AF0"/>
    <w:rsid w:val="005D2B42"/>
    <w:rsid w:val="005D2C3E"/>
    <w:rsid w:val="005D2CD7"/>
    <w:rsid w:val="005D2D09"/>
    <w:rsid w:val="005D2EDF"/>
    <w:rsid w:val="005D372E"/>
    <w:rsid w:val="005D3835"/>
    <w:rsid w:val="005D4056"/>
    <w:rsid w:val="005D408F"/>
    <w:rsid w:val="005D414A"/>
    <w:rsid w:val="005D436B"/>
    <w:rsid w:val="005D4442"/>
    <w:rsid w:val="005D4853"/>
    <w:rsid w:val="005D4A3B"/>
    <w:rsid w:val="005D5182"/>
    <w:rsid w:val="005D523F"/>
    <w:rsid w:val="005D525E"/>
    <w:rsid w:val="005D5673"/>
    <w:rsid w:val="005D592B"/>
    <w:rsid w:val="005D5DA8"/>
    <w:rsid w:val="005D5FD9"/>
    <w:rsid w:val="005D618E"/>
    <w:rsid w:val="005D6495"/>
    <w:rsid w:val="005D67B5"/>
    <w:rsid w:val="005D6A9F"/>
    <w:rsid w:val="005D7081"/>
    <w:rsid w:val="005D722F"/>
    <w:rsid w:val="005D7319"/>
    <w:rsid w:val="005D742D"/>
    <w:rsid w:val="005D775F"/>
    <w:rsid w:val="005D7DB0"/>
    <w:rsid w:val="005D7E1B"/>
    <w:rsid w:val="005E006C"/>
    <w:rsid w:val="005E084B"/>
    <w:rsid w:val="005E0C92"/>
    <w:rsid w:val="005E13E6"/>
    <w:rsid w:val="005E1B75"/>
    <w:rsid w:val="005E1C37"/>
    <w:rsid w:val="005E2084"/>
    <w:rsid w:val="005E240F"/>
    <w:rsid w:val="005E26AD"/>
    <w:rsid w:val="005E2A9F"/>
    <w:rsid w:val="005E2B61"/>
    <w:rsid w:val="005E3176"/>
    <w:rsid w:val="005E34D6"/>
    <w:rsid w:val="005E351F"/>
    <w:rsid w:val="005E358F"/>
    <w:rsid w:val="005E3656"/>
    <w:rsid w:val="005E39BA"/>
    <w:rsid w:val="005E4717"/>
    <w:rsid w:val="005E4722"/>
    <w:rsid w:val="005E4C66"/>
    <w:rsid w:val="005E4F7F"/>
    <w:rsid w:val="005E50E8"/>
    <w:rsid w:val="005E5276"/>
    <w:rsid w:val="005E543B"/>
    <w:rsid w:val="005E54F7"/>
    <w:rsid w:val="005E5B8A"/>
    <w:rsid w:val="005E618B"/>
    <w:rsid w:val="005E6B52"/>
    <w:rsid w:val="005E6CEC"/>
    <w:rsid w:val="005E6DB2"/>
    <w:rsid w:val="005E77D1"/>
    <w:rsid w:val="005E7B75"/>
    <w:rsid w:val="005E7C36"/>
    <w:rsid w:val="005E7EF6"/>
    <w:rsid w:val="005F0193"/>
    <w:rsid w:val="005F0372"/>
    <w:rsid w:val="005F070F"/>
    <w:rsid w:val="005F09EE"/>
    <w:rsid w:val="005F0D94"/>
    <w:rsid w:val="005F0EC1"/>
    <w:rsid w:val="005F0ECD"/>
    <w:rsid w:val="005F1338"/>
    <w:rsid w:val="005F168D"/>
    <w:rsid w:val="005F1762"/>
    <w:rsid w:val="005F18D5"/>
    <w:rsid w:val="005F1A8C"/>
    <w:rsid w:val="005F1B90"/>
    <w:rsid w:val="005F2386"/>
    <w:rsid w:val="005F26E4"/>
    <w:rsid w:val="005F27DB"/>
    <w:rsid w:val="005F2A23"/>
    <w:rsid w:val="005F2BD5"/>
    <w:rsid w:val="005F2E43"/>
    <w:rsid w:val="005F367A"/>
    <w:rsid w:val="005F37EA"/>
    <w:rsid w:val="005F3B84"/>
    <w:rsid w:val="005F3BA9"/>
    <w:rsid w:val="005F3C84"/>
    <w:rsid w:val="005F3E73"/>
    <w:rsid w:val="005F3EA5"/>
    <w:rsid w:val="005F45CB"/>
    <w:rsid w:val="005F4966"/>
    <w:rsid w:val="005F4AC5"/>
    <w:rsid w:val="005F5398"/>
    <w:rsid w:val="005F5401"/>
    <w:rsid w:val="005F588F"/>
    <w:rsid w:val="005F58CB"/>
    <w:rsid w:val="005F5BD7"/>
    <w:rsid w:val="005F5CB9"/>
    <w:rsid w:val="005F64B0"/>
    <w:rsid w:val="005F6601"/>
    <w:rsid w:val="005F680A"/>
    <w:rsid w:val="005F70A2"/>
    <w:rsid w:val="005F76F4"/>
    <w:rsid w:val="005F7743"/>
    <w:rsid w:val="005F77E0"/>
    <w:rsid w:val="005F7ABB"/>
    <w:rsid w:val="005F7B64"/>
    <w:rsid w:val="005F7B65"/>
    <w:rsid w:val="005F7C38"/>
    <w:rsid w:val="005F7C8E"/>
    <w:rsid w:val="005F7EF5"/>
    <w:rsid w:val="00600156"/>
    <w:rsid w:val="006001BF"/>
    <w:rsid w:val="00600202"/>
    <w:rsid w:val="00600394"/>
    <w:rsid w:val="006009DD"/>
    <w:rsid w:val="00600A19"/>
    <w:rsid w:val="00601824"/>
    <w:rsid w:val="006019E5"/>
    <w:rsid w:val="006020A7"/>
    <w:rsid w:val="0060230B"/>
    <w:rsid w:val="00602352"/>
    <w:rsid w:val="006027FD"/>
    <w:rsid w:val="0060285A"/>
    <w:rsid w:val="00602A57"/>
    <w:rsid w:val="00602ABA"/>
    <w:rsid w:val="00602D1A"/>
    <w:rsid w:val="00602DAF"/>
    <w:rsid w:val="00602EA5"/>
    <w:rsid w:val="00603088"/>
    <w:rsid w:val="006036A6"/>
    <w:rsid w:val="006037F0"/>
    <w:rsid w:val="00603987"/>
    <w:rsid w:val="00603BD5"/>
    <w:rsid w:val="00603E50"/>
    <w:rsid w:val="006042EB"/>
    <w:rsid w:val="00604440"/>
    <w:rsid w:val="0060446D"/>
    <w:rsid w:val="00604E22"/>
    <w:rsid w:val="0060504B"/>
    <w:rsid w:val="006051DF"/>
    <w:rsid w:val="0060521D"/>
    <w:rsid w:val="006054C2"/>
    <w:rsid w:val="0060553D"/>
    <w:rsid w:val="00605543"/>
    <w:rsid w:val="0060581E"/>
    <w:rsid w:val="00605F8F"/>
    <w:rsid w:val="00606282"/>
    <w:rsid w:val="006062FB"/>
    <w:rsid w:val="006068E8"/>
    <w:rsid w:val="00606B55"/>
    <w:rsid w:val="00606C14"/>
    <w:rsid w:val="00606FA8"/>
    <w:rsid w:val="006072F1"/>
    <w:rsid w:val="00607396"/>
    <w:rsid w:val="0060780B"/>
    <w:rsid w:val="00607E60"/>
    <w:rsid w:val="00607F0C"/>
    <w:rsid w:val="00610041"/>
    <w:rsid w:val="006101E3"/>
    <w:rsid w:val="00610322"/>
    <w:rsid w:val="00610915"/>
    <w:rsid w:val="00610B86"/>
    <w:rsid w:val="00611A29"/>
    <w:rsid w:val="00611D94"/>
    <w:rsid w:val="00611DFA"/>
    <w:rsid w:val="00612174"/>
    <w:rsid w:val="006125B5"/>
    <w:rsid w:val="00612738"/>
    <w:rsid w:val="006128FB"/>
    <w:rsid w:val="00612A40"/>
    <w:rsid w:val="00612B92"/>
    <w:rsid w:val="00612F64"/>
    <w:rsid w:val="00613064"/>
    <w:rsid w:val="006132DB"/>
    <w:rsid w:val="006139AE"/>
    <w:rsid w:val="00613F00"/>
    <w:rsid w:val="00614221"/>
    <w:rsid w:val="00614BC6"/>
    <w:rsid w:val="00614C75"/>
    <w:rsid w:val="00614E0E"/>
    <w:rsid w:val="006150E6"/>
    <w:rsid w:val="006156CE"/>
    <w:rsid w:val="0061596B"/>
    <w:rsid w:val="00615B79"/>
    <w:rsid w:val="00615C81"/>
    <w:rsid w:val="00615CA7"/>
    <w:rsid w:val="0061605E"/>
    <w:rsid w:val="00616219"/>
    <w:rsid w:val="0061662C"/>
    <w:rsid w:val="00616BF1"/>
    <w:rsid w:val="00616DE2"/>
    <w:rsid w:val="00616DE5"/>
    <w:rsid w:val="00616EB5"/>
    <w:rsid w:val="006171CA"/>
    <w:rsid w:val="006173C2"/>
    <w:rsid w:val="00620113"/>
    <w:rsid w:val="00620239"/>
    <w:rsid w:val="006207FC"/>
    <w:rsid w:val="00620993"/>
    <w:rsid w:val="00620B34"/>
    <w:rsid w:val="00620BDB"/>
    <w:rsid w:val="00620BF2"/>
    <w:rsid w:val="00620C06"/>
    <w:rsid w:val="00620E57"/>
    <w:rsid w:val="00620EBF"/>
    <w:rsid w:val="0062105E"/>
    <w:rsid w:val="006210F9"/>
    <w:rsid w:val="00621120"/>
    <w:rsid w:val="0062114F"/>
    <w:rsid w:val="006213DA"/>
    <w:rsid w:val="00621C73"/>
    <w:rsid w:val="00621C79"/>
    <w:rsid w:val="00621EB9"/>
    <w:rsid w:val="006220B9"/>
    <w:rsid w:val="0062257E"/>
    <w:rsid w:val="0062296B"/>
    <w:rsid w:val="00622AEF"/>
    <w:rsid w:val="00622E8B"/>
    <w:rsid w:val="00623059"/>
    <w:rsid w:val="006232E1"/>
    <w:rsid w:val="00623495"/>
    <w:rsid w:val="00623548"/>
    <w:rsid w:val="006236AA"/>
    <w:rsid w:val="00623A9E"/>
    <w:rsid w:val="00623E53"/>
    <w:rsid w:val="00623E92"/>
    <w:rsid w:val="0062433F"/>
    <w:rsid w:val="006247E1"/>
    <w:rsid w:val="00624916"/>
    <w:rsid w:val="00624CBF"/>
    <w:rsid w:val="00625130"/>
    <w:rsid w:val="006252BA"/>
    <w:rsid w:val="00625344"/>
    <w:rsid w:val="006253F0"/>
    <w:rsid w:val="006254C8"/>
    <w:rsid w:val="006254DB"/>
    <w:rsid w:val="00625518"/>
    <w:rsid w:val="00625546"/>
    <w:rsid w:val="00625561"/>
    <w:rsid w:val="00625A70"/>
    <w:rsid w:val="00625C3C"/>
    <w:rsid w:val="00625ECA"/>
    <w:rsid w:val="0062654A"/>
    <w:rsid w:val="00626662"/>
    <w:rsid w:val="00626761"/>
    <w:rsid w:val="006268C8"/>
    <w:rsid w:val="00626A44"/>
    <w:rsid w:val="00626C51"/>
    <w:rsid w:val="00626E28"/>
    <w:rsid w:val="00626F0B"/>
    <w:rsid w:val="00626F53"/>
    <w:rsid w:val="00627EC4"/>
    <w:rsid w:val="006300A8"/>
    <w:rsid w:val="006302E4"/>
    <w:rsid w:val="006302F9"/>
    <w:rsid w:val="00630A9B"/>
    <w:rsid w:val="00630C56"/>
    <w:rsid w:val="00630E1A"/>
    <w:rsid w:val="00631211"/>
    <w:rsid w:val="0063167E"/>
    <w:rsid w:val="00631698"/>
    <w:rsid w:val="006318D1"/>
    <w:rsid w:val="00631BAD"/>
    <w:rsid w:val="00631DC7"/>
    <w:rsid w:val="00632284"/>
    <w:rsid w:val="006329A1"/>
    <w:rsid w:val="00632B53"/>
    <w:rsid w:val="00632E88"/>
    <w:rsid w:val="00632FEF"/>
    <w:rsid w:val="006330A2"/>
    <w:rsid w:val="00633429"/>
    <w:rsid w:val="00633FA0"/>
    <w:rsid w:val="00634085"/>
    <w:rsid w:val="0063431F"/>
    <w:rsid w:val="00634892"/>
    <w:rsid w:val="0063500B"/>
    <w:rsid w:val="00635116"/>
    <w:rsid w:val="00635367"/>
    <w:rsid w:val="006354FB"/>
    <w:rsid w:val="0063573E"/>
    <w:rsid w:val="006368AF"/>
    <w:rsid w:val="00636D7A"/>
    <w:rsid w:val="00636F8C"/>
    <w:rsid w:val="00636FDC"/>
    <w:rsid w:val="0063765D"/>
    <w:rsid w:val="00637A40"/>
    <w:rsid w:val="00637B57"/>
    <w:rsid w:val="00637BC7"/>
    <w:rsid w:val="00637FB8"/>
    <w:rsid w:val="00640CF6"/>
    <w:rsid w:val="00640F2C"/>
    <w:rsid w:val="00641299"/>
    <w:rsid w:val="0064181F"/>
    <w:rsid w:val="00641A68"/>
    <w:rsid w:val="00641C17"/>
    <w:rsid w:val="00641D2C"/>
    <w:rsid w:val="00641D3B"/>
    <w:rsid w:val="00641E29"/>
    <w:rsid w:val="00642167"/>
    <w:rsid w:val="00642411"/>
    <w:rsid w:val="006425DB"/>
    <w:rsid w:val="006426B4"/>
    <w:rsid w:val="006428CF"/>
    <w:rsid w:val="0064291B"/>
    <w:rsid w:val="006437A2"/>
    <w:rsid w:val="00643912"/>
    <w:rsid w:val="00643C74"/>
    <w:rsid w:val="00644536"/>
    <w:rsid w:val="0064465B"/>
    <w:rsid w:val="00644E54"/>
    <w:rsid w:val="00645193"/>
    <w:rsid w:val="0064540C"/>
    <w:rsid w:val="006457D8"/>
    <w:rsid w:val="00645BCE"/>
    <w:rsid w:val="00645E83"/>
    <w:rsid w:val="00645EAA"/>
    <w:rsid w:val="00646504"/>
    <w:rsid w:val="00646714"/>
    <w:rsid w:val="00646B5A"/>
    <w:rsid w:val="00646B93"/>
    <w:rsid w:val="00646BA3"/>
    <w:rsid w:val="00647961"/>
    <w:rsid w:val="00647F1C"/>
    <w:rsid w:val="00647FC9"/>
    <w:rsid w:val="00650A8B"/>
    <w:rsid w:val="00650D8C"/>
    <w:rsid w:val="00650F71"/>
    <w:rsid w:val="006510BC"/>
    <w:rsid w:val="006513FC"/>
    <w:rsid w:val="0065141B"/>
    <w:rsid w:val="0065151F"/>
    <w:rsid w:val="00651B23"/>
    <w:rsid w:val="00651B2A"/>
    <w:rsid w:val="00651F4F"/>
    <w:rsid w:val="00651F85"/>
    <w:rsid w:val="00652881"/>
    <w:rsid w:val="00652966"/>
    <w:rsid w:val="00652ABA"/>
    <w:rsid w:val="00652D53"/>
    <w:rsid w:val="00652D81"/>
    <w:rsid w:val="006537FF"/>
    <w:rsid w:val="0065381B"/>
    <w:rsid w:val="0065384D"/>
    <w:rsid w:val="0065387B"/>
    <w:rsid w:val="006538CD"/>
    <w:rsid w:val="00653B54"/>
    <w:rsid w:val="00653ED8"/>
    <w:rsid w:val="0065405F"/>
    <w:rsid w:val="00654230"/>
    <w:rsid w:val="00654D2B"/>
    <w:rsid w:val="00655443"/>
    <w:rsid w:val="00655D48"/>
    <w:rsid w:val="00655FD3"/>
    <w:rsid w:val="0065691B"/>
    <w:rsid w:val="006570B8"/>
    <w:rsid w:val="006572C5"/>
    <w:rsid w:val="006572D8"/>
    <w:rsid w:val="006575A9"/>
    <w:rsid w:val="00657687"/>
    <w:rsid w:val="00657B48"/>
    <w:rsid w:val="00657DD7"/>
    <w:rsid w:val="0066003F"/>
    <w:rsid w:val="00660078"/>
    <w:rsid w:val="006603D4"/>
    <w:rsid w:val="00660770"/>
    <w:rsid w:val="0066114E"/>
    <w:rsid w:val="0066142D"/>
    <w:rsid w:val="0066183F"/>
    <w:rsid w:val="006618C1"/>
    <w:rsid w:val="00661922"/>
    <w:rsid w:val="00661CF9"/>
    <w:rsid w:val="00661F72"/>
    <w:rsid w:val="0066271B"/>
    <w:rsid w:val="00662942"/>
    <w:rsid w:val="00662C78"/>
    <w:rsid w:val="00662D2B"/>
    <w:rsid w:val="00663136"/>
    <w:rsid w:val="00663369"/>
    <w:rsid w:val="0066341C"/>
    <w:rsid w:val="00663AE0"/>
    <w:rsid w:val="0066401E"/>
    <w:rsid w:val="006641D4"/>
    <w:rsid w:val="0066425C"/>
    <w:rsid w:val="0066471D"/>
    <w:rsid w:val="006647AB"/>
    <w:rsid w:val="00664CA5"/>
    <w:rsid w:val="00664E5E"/>
    <w:rsid w:val="006652D7"/>
    <w:rsid w:val="006653B7"/>
    <w:rsid w:val="006653DF"/>
    <w:rsid w:val="00665705"/>
    <w:rsid w:val="00665874"/>
    <w:rsid w:val="00665E90"/>
    <w:rsid w:val="00665F93"/>
    <w:rsid w:val="00666081"/>
    <w:rsid w:val="00666087"/>
    <w:rsid w:val="00666A86"/>
    <w:rsid w:val="006673F7"/>
    <w:rsid w:val="0066779C"/>
    <w:rsid w:val="00667AB2"/>
    <w:rsid w:val="00667CF8"/>
    <w:rsid w:val="00667E70"/>
    <w:rsid w:val="00670B5F"/>
    <w:rsid w:val="00670DD3"/>
    <w:rsid w:val="006714B6"/>
    <w:rsid w:val="006717D1"/>
    <w:rsid w:val="0067202B"/>
    <w:rsid w:val="006721BA"/>
    <w:rsid w:val="0067270F"/>
    <w:rsid w:val="0067297E"/>
    <w:rsid w:val="00672FAA"/>
    <w:rsid w:val="00673157"/>
    <w:rsid w:val="00673C9E"/>
    <w:rsid w:val="00673EFB"/>
    <w:rsid w:val="00674555"/>
    <w:rsid w:val="006747A5"/>
    <w:rsid w:val="006748A2"/>
    <w:rsid w:val="00674B57"/>
    <w:rsid w:val="00674E6D"/>
    <w:rsid w:val="00674F19"/>
    <w:rsid w:val="006752D2"/>
    <w:rsid w:val="0067545E"/>
    <w:rsid w:val="00675832"/>
    <w:rsid w:val="00676037"/>
    <w:rsid w:val="0067630D"/>
    <w:rsid w:val="006768F2"/>
    <w:rsid w:val="00676D71"/>
    <w:rsid w:val="00676DE6"/>
    <w:rsid w:val="00676DFB"/>
    <w:rsid w:val="00676F28"/>
    <w:rsid w:val="00677610"/>
    <w:rsid w:val="006777A5"/>
    <w:rsid w:val="00677D13"/>
    <w:rsid w:val="006800FA"/>
    <w:rsid w:val="006801DD"/>
    <w:rsid w:val="0068039D"/>
    <w:rsid w:val="0068087C"/>
    <w:rsid w:val="00680C42"/>
    <w:rsid w:val="00680CE0"/>
    <w:rsid w:val="00681396"/>
    <w:rsid w:val="00681437"/>
    <w:rsid w:val="00681556"/>
    <w:rsid w:val="00681648"/>
    <w:rsid w:val="00681808"/>
    <w:rsid w:val="00681858"/>
    <w:rsid w:val="00681A52"/>
    <w:rsid w:val="00682024"/>
    <w:rsid w:val="0068222B"/>
    <w:rsid w:val="006824E4"/>
    <w:rsid w:val="0068288D"/>
    <w:rsid w:val="00682982"/>
    <w:rsid w:val="00682AFB"/>
    <w:rsid w:val="00682C24"/>
    <w:rsid w:val="00682C91"/>
    <w:rsid w:val="006830E2"/>
    <w:rsid w:val="0068434D"/>
    <w:rsid w:val="00684468"/>
    <w:rsid w:val="0068447D"/>
    <w:rsid w:val="00684E3D"/>
    <w:rsid w:val="006850D7"/>
    <w:rsid w:val="00685138"/>
    <w:rsid w:val="0068596E"/>
    <w:rsid w:val="00685BB1"/>
    <w:rsid w:val="00685E01"/>
    <w:rsid w:val="00685ED4"/>
    <w:rsid w:val="00685FF9"/>
    <w:rsid w:val="00686134"/>
    <w:rsid w:val="006861A5"/>
    <w:rsid w:val="0068628F"/>
    <w:rsid w:val="0068671A"/>
    <w:rsid w:val="0068676D"/>
    <w:rsid w:val="00686773"/>
    <w:rsid w:val="006867B8"/>
    <w:rsid w:val="0068680A"/>
    <w:rsid w:val="006868A7"/>
    <w:rsid w:val="0068693A"/>
    <w:rsid w:val="00686B6A"/>
    <w:rsid w:val="00686F54"/>
    <w:rsid w:val="00687102"/>
    <w:rsid w:val="00687295"/>
    <w:rsid w:val="00687562"/>
    <w:rsid w:val="006877AA"/>
    <w:rsid w:val="00687875"/>
    <w:rsid w:val="00687A36"/>
    <w:rsid w:val="00687A37"/>
    <w:rsid w:val="00687A88"/>
    <w:rsid w:val="00687AB5"/>
    <w:rsid w:val="00687CAA"/>
    <w:rsid w:val="00687E46"/>
    <w:rsid w:val="006902D6"/>
    <w:rsid w:val="00690412"/>
    <w:rsid w:val="00690B5E"/>
    <w:rsid w:val="00691185"/>
    <w:rsid w:val="006911DA"/>
    <w:rsid w:val="006916BB"/>
    <w:rsid w:val="00691E7D"/>
    <w:rsid w:val="00691FE6"/>
    <w:rsid w:val="00692416"/>
    <w:rsid w:val="00692495"/>
    <w:rsid w:val="0069275A"/>
    <w:rsid w:val="00692775"/>
    <w:rsid w:val="00692AC7"/>
    <w:rsid w:val="00692EDE"/>
    <w:rsid w:val="00693039"/>
    <w:rsid w:val="0069343C"/>
    <w:rsid w:val="00693554"/>
    <w:rsid w:val="00693745"/>
    <w:rsid w:val="00693A12"/>
    <w:rsid w:val="00693ADB"/>
    <w:rsid w:val="00693C66"/>
    <w:rsid w:val="00693D59"/>
    <w:rsid w:val="00693F96"/>
    <w:rsid w:val="00693FD3"/>
    <w:rsid w:val="006940B7"/>
    <w:rsid w:val="0069434A"/>
    <w:rsid w:val="00694697"/>
    <w:rsid w:val="006946C3"/>
    <w:rsid w:val="006948FC"/>
    <w:rsid w:val="00694BAA"/>
    <w:rsid w:val="00694EDB"/>
    <w:rsid w:val="0069526A"/>
    <w:rsid w:val="00695364"/>
    <w:rsid w:val="00695DFF"/>
    <w:rsid w:val="00695F3B"/>
    <w:rsid w:val="00695FA1"/>
    <w:rsid w:val="00696093"/>
    <w:rsid w:val="00696592"/>
    <w:rsid w:val="006968D9"/>
    <w:rsid w:val="00696D79"/>
    <w:rsid w:val="00696E6F"/>
    <w:rsid w:val="0069736F"/>
    <w:rsid w:val="006974D4"/>
    <w:rsid w:val="006975CE"/>
    <w:rsid w:val="00697806"/>
    <w:rsid w:val="00697BAF"/>
    <w:rsid w:val="00697CAD"/>
    <w:rsid w:val="00697D85"/>
    <w:rsid w:val="00697EEC"/>
    <w:rsid w:val="006A0251"/>
    <w:rsid w:val="006A02BA"/>
    <w:rsid w:val="006A0452"/>
    <w:rsid w:val="006A0D4E"/>
    <w:rsid w:val="006A0DD3"/>
    <w:rsid w:val="006A1459"/>
    <w:rsid w:val="006A1613"/>
    <w:rsid w:val="006A191C"/>
    <w:rsid w:val="006A19F5"/>
    <w:rsid w:val="006A1A42"/>
    <w:rsid w:val="006A1E14"/>
    <w:rsid w:val="006A1F6E"/>
    <w:rsid w:val="006A239C"/>
    <w:rsid w:val="006A27AD"/>
    <w:rsid w:val="006A2ADE"/>
    <w:rsid w:val="006A2B96"/>
    <w:rsid w:val="006A2C5A"/>
    <w:rsid w:val="006A2EAE"/>
    <w:rsid w:val="006A3411"/>
    <w:rsid w:val="006A363E"/>
    <w:rsid w:val="006A3DBB"/>
    <w:rsid w:val="006A3E0C"/>
    <w:rsid w:val="006A3F00"/>
    <w:rsid w:val="006A3F29"/>
    <w:rsid w:val="006A41EC"/>
    <w:rsid w:val="006A43D3"/>
    <w:rsid w:val="006A4501"/>
    <w:rsid w:val="006A458E"/>
    <w:rsid w:val="006A4600"/>
    <w:rsid w:val="006A46D6"/>
    <w:rsid w:val="006A4A91"/>
    <w:rsid w:val="006A4AF8"/>
    <w:rsid w:val="006A4DF8"/>
    <w:rsid w:val="006A4EA3"/>
    <w:rsid w:val="006A528D"/>
    <w:rsid w:val="006A5C30"/>
    <w:rsid w:val="006A5CFD"/>
    <w:rsid w:val="006A5EE3"/>
    <w:rsid w:val="006A6108"/>
    <w:rsid w:val="006A6452"/>
    <w:rsid w:val="006A6A1F"/>
    <w:rsid w:val="006A73CB"/>
    <w:rsid w:val="006A7567"/>
    <w:rsid w:val="006A767E"/>
    <w:rsid w:val="006A78E2"/>
    <w:rsid w:val="006A7EDC"/>
    <w:rsid w:val="006A7F6D"/>
    <w:rsid w:val="006B05C7"/>
    <w:rsid w:val="006B05D9"/>
    <w:rsid w:val="006B0882"/>
    <w:rsid w:val="006B0AE4"/>
    <w:rsid w:val="006B0B6A"/>
    <w:rsid w:val="006B1379"/>
    <w:rsid w:val="006B1380"/>
    <w:rsid w:val="006B1636"/>
    <w:rsid w:val="006B1B26"/>
    <w:rsid w:val="006B1D11"/>
    <w:rsid w:val="006B1D1D"/>
    <w:rsid w:val="006B1FDF"/>
    <w:rsid w:val="006B2340"/>
    <w:rsid w:val="006B248E"/>
    <w:rsid w:val="006B25F7"/>
    <w:rsid w:val="006B25FF"/>
    <w:rsid w:val="006B27FA"/>
    <w:rsid w:val="006B2CDA"/>
    <w:rsid w:val="006B2E9B"/>
    <w:rsid w:val="006B3335"/>
    <w:rsid w:val="006B3728"/>
    <w:rsid w:val="006B3F2A"/>
    <w:rsid w:val="006B429F"/>
    <w:rsid w:val="006B451E"/>
    <w:rsid w:val="006B4829"/>
    <w:rsid w:val="006B49B2"/>
    <w:rsid w:val="006B4A56"/>
    <w:rsid w:val="006B4ABB"/>
    <w:rsid w:val="006B4B78"/>
    <w:rsid w:val="006B4D3E"/>
    <w:rsid w:val="006B4DEF"/>
    <w:rsid w:val="006B4E07"/>
    <w:rsid w:val="006B4F3C"/>
    <w:rsid w:val="006B5718"/>
    <w:rsid w:val="006B5817"/>
    <w:rsid w:val="006B5C93"/>
    <w:rsid w:val="006B5CAA"/>
    <w:rsid w:val="006B5D18"/>
    <w:rsid w:val="006B5E8A"/>
    <w:rsid w:val="006B605D"/>
    <w:rsid w:val="006B6419"/>
    <w:rsid w:val="006B662F"/>
    <w:rsid w:val="006B6652"/>
    <w:rsid w:val="006B6C2B"/>
    <w:rsid w:val="006B7271"/>
    <w:rsid w:val="006B72D7"/>
    <w:rsid w:val="006B7CC2"/>
    <w:rsid w:val="006B7D3A"/>
    <w:rsid w:val="006B7D72"/>
    <w:rsid w:val="006C0283"/>
    <w:rsid w:val="006C055B"/>
    <w:rsid w:val="006C084A"/>
    <w:rsid w:val="006C0E96"/>
    <w:rsid w:val="006C0FA1"/>
    <w:rsid w:val="006C1069"/>
    <w:rsid w:val="006C1074"/>
    <w:rsid w:val="006C1391"/>
    <w:rsid w:val="006C1A35"/>
    <w:rsid w:val="006C1D2C"/>
    <w:rsid w:val="006C2241"/>
    <w:rsid w:val="006C256C"/>
    <w:rsid w:val="006C26EA"/>
    <w:rsid w:val="006C35D5"/>
    <w:rsid w:val="006C3E60"/>
    <w:rsid w:val="006C3F2F"/>
    <w:rsid w:val="006C41E0"/>
    <w:rsid w:val="006C453B"/>
    <w:rsid w:val="006C48AD"/>
    <w:rsid w:val="006C4B7C"/>
    <w:rsid w:val="006C5349"/>
    <w:rsid w:val="006C55A6"/>
    <w:rsid w:val="006C5696"/>
    <w:rsid w:val="006C5AFF"/>
    <w:rsid w:val="006C5B57"/>
    <w:rsid w:val="006C5C02"/>
    <w:rsid w:val="006C5C36"/>
    <w:rsid w:val="006C5E18"/>
    <w:rsid w:val="006C5ED0"/>
    <w:rsid w:val="006C5F7C"/>
    <w:rsid w:val="006C61BA"/>
    <w:rsid w:val="006C6239"/>
    <w:rsid w:val="006C6269"/>
    <w:rsid w:val="006C67D7"/>
    <w:rsid w:val="006C6FA8"/>
    <w:rsid w:val="006C7037"/>
    <w:rsid w:val="006C7732"/>
    <w:rsid w:val="006C7C67"/>
    <w:rsid w:val="006D001D"/>
    <w:rsid w:val="006D0032"/>
    <w:rsid w:val="006D0041"/>
    <w:rsid w:val="006D04A5"/>
    <w:rsid w:val="006D09BB"/>
    <w:rsid w:val="006D1C71"/>
    <w:rsid w:val="006D1D4A"/>
    <w:rsid w:val="006D1DE0"/>
    <w:rsid w:val="006D1DF0"/>
    <w:rsid w:val="006D2010"/>
    <w:rsid w:val="006D24AF"/>
    <w:rsid w:val="006D2F77"/>
    <w:rsid w:val="006D314D"/>
    <w:rsid w:val="006D32FF"/>
    <w:rsid w:val="006D3625"/>
    <w:rsid w:val="006D389D"/>
    <w:rsid w:val="006D3D44"/>
    <w:rsid w:val="006D3F3C"/>
    <w:rsid w:val="006D42E7"/>
    <w:rsid w:val="006D42EC"/>
    <w:rsid w:val="006D46A3"/>
    <w:rsid w:val="006D4D3A"/>
    <w:rsid w:val="006D4EBB"/>
    <w:rsid w:val="006D5968"/>
    <w:rsid w:val="006D64CE"/>
    <w:rsid w:val="006D67C8"/>
    <w:rsid w:val="006D67D2"/>
    <w:rsid w:val="006D69E8"/>
    <w:rsid w:val="006D6C41"/>
    <w:rsid w:val="006D6D34"/>
    <w:rsid w:val="006D704A"/>
    <w:rsid w:val="006D748E"/>
    <w:rsid w:val="006D75D6"/>
    <w:rsid w:val="006D78A4"/>
    <w:rsid w:val="006D7A06"/>
    <w:rsid w:val="006D7D9C"/>
    <w:rsid w:val="006D7F3D"/>
    <w:rsid w:val="006E0753"/>
    <w:rsid w:val="006E07B7"/>
    <w:rsid w:val="006E0A6C"/>
    <w:rsid w:val="006E0ACC"/>
    <w:rsid w:val="006E0D1D"/>
    <w:rsid w:val="006E0DCF"/>
    <w:rsid w:val="006E13AC"/>
    <w:rsid w:val="006E1592"/>
    <w:rsid w:val="006E16B2"/>
    <w:rsid w:val="006E175F"/>
    <w:rsid w:val="006E1BCA"/>
    <w:rsid w:val="006E1D98"/>
    <w:rsid w:val="006E1DC8"/>
    <w:rsid w:val="006E236B"/>
    <w:rsid w:val="006E2474"/>
    <w:rsid w:val="006E25F1"/>
    <w:rsid w:val="006E2655"/>
    <w:rsid w:val="006E2A4D"/>
    <w:rsid w:val="006E3B99"/>
    <w:rsid w:val="006E410F"/>
    <w:rsid w:val="006E475F"/>
    <w:rsid w:val="006E4D5C"/>
    <w:rsid w:val="006E4EB4"/>
    <w:rsid w:val="006E50A1"/>
    <w:rsid w:val="006E55E5"/>
    <w:rsid w:val="006E56D0"/>
    <w:rsid w:val="006E5A1A"/>
    <w:rsid w:val="006E5A24"/>
    <w:rsid w:val="006E5FCF"/>
    <w:rsid w:val="006E60AA"/>
    <w:rsid w:val="006E6105"/>
    <w:rsid w:val="006E6119"/>
    <w:rsid w:val="006E624E"/>
    <w:rsid w:val="006E6630"/>
    <w:rsid w:val="006E6874"/>
    <w:rsid w:val="006E6A80"/>
    <w:rsid w:val="006E6C82"/>
    <w:rsid w:val="006E7286"/>
    <w:rsid w:val="006E7390"/>
    <w:rsid w:val="006E7455"/>
    <w:rsid w:val="006E7A33"/>
    <w:rsid w:val="006F0215"/>
    <w:rsid w:val="006F02B1"/>
    <w:rsid w:val="006F032A"/>
    <w:rsid w:val="006F06D1"/>
    <w:rsid w:val="006F07BC"/>
    <w:rsid w:val="006F07FD"/>
    <w:rsid w:val="006F09F5"/>
    <w:rsid w:val="006F0D86"/>
    <w:rsid w:val="006F0E03"/>
    <w:rsid w:val="006F0F87"/>
    <w:rsid w:val="006F17F8"/>
    <w:rsid w:val="006F18B8"/>
    <w:rsid w:val="006F18FA"/>
    <w:rsid w:val="006F1B63"/>
    <w:rsid w:val="006F1C0D"/>
    <w:rsid w:val="006F2206"/>
    <w:rsid w:val="006F281A"/>
    <w:rsid w:val="006F2934"/>
    <w:rsid w:val="006F29CD"/>
    <w:rsid w:val="006F2A50"/>
    <w:rsid w:val="006F2DCC"/>
    <w:rsid w:val="006F2FF1"/>
    <w:rsid w:val="006F2FFA"/>
    <w:rsid w:val="006F313A"/>
    <w:rsid w:val="006F3144"/>
    <w:rsid w:val="006F340C"/>
    <w:rsid w:val="006F360E"/>
    <w:rsid w:val="006F3733"/>
    <w:rsid w:val="006F3DE2"/>
    <w:rsid w:val="006F3E79"/>
    <w:rsid w:val="006F4B6C"/>
    <w:rsid w:val="006F4BD2"/>
    <w:rsid w:val="006F4D4E"/>
    <w:rsid w:val="006F508B"/>
    <w:rsid w:val="006F5190"/>
    <w:rsid w:val="006F5268"/>
    <w:rsid w:val="006F552E"/>
    <w:rsid w:val="006F56B4"/>
    <w:rsid w:val="006F58F5"/>
    <w:rsid w:val="006F5B20"/>
    <w:rsid w:val="006F5BDC"/>
    <w:rsid w:val="006F5C27"/>
    <w:rsid w:val="006F6071"/>
    <w:rsid w:val="006F61BA"/>
    <w:rsid w:val="006F662C"/>
    <w:rsid w:val="006F663A"/>
    <w:rsid w:val="006F66C8"/>
    <w:rsid w:val="006F6F65"/>
    <w:rsid w:val="006F721C"/>
    <w:rsid w:val="006F72B3"/>
    <w:rsid w:val="006F7A1E"/>
    <w:rsid w:val="006F7C32"/>
    <w:rsid w:val="006F7C48"/>
    <w:rsid w:val="006F7C5F"/>
    <w:rsid w:val="007000D5"/>
    <w:rsid w:val="00700329"/>
    <w:rsid w:val="0070033A"/>
    <w:rsid w:val="007003B8"/>
    <w:rsid w:val="00700527"/>
    <w:rsid w:val="007008CA"/>
    <w:rsid w:val="00700A50"/>
    <w:rsid w:val="00700CE3"/>
    <w:rsid w:val="00700F03"/>
    <w:rsid w:val="00700F60"/>
    <w:rsid w:val="007011AB"/>
    <w:rsid w:val="0070126E"/>
    <w:rsid w:val="007012A0"/>
    <w:rsid w:val="00701389"/>
    <w:rsid w:val="00701426"/>
    <w:rsid w:val="007018AE"/>
    <w:rsid w:val="00701AC4"/>
    <w:rsid w:val="00701AE4"/>
    <w:rsid w:val="00701EDE"/>
    <w:rsid w:val="007020E0"/>
    <w:rsid w:val="00702642"/>
    <w:rsid w:val="00702D8F"/>
    <w:rsid w:val="00702DD4"/>
    <w:rsid w:val="00702E06"/>
    <w:rsid w:val="0070339D"/>
    <w:rsid w:val="00703823"/>
    <w:rsid w:val="00703857"/>
    <w:rsid w:val="0070395F"/>
    <w:rsid w:val="0070399D"/>
    <w:rsid w:val="007042CD"/>
    <w:rsid w:val="00704474"/>
    <w:rsid w:val="00704619"/>
    <w:rsid w:val="00704D82"/>
    <w:rsid w:val="00705062"/>
    <w:rsid w:val="007050F3"/>
    <w:rsid w:val="00705C14"/>
    <w:rsid w:val="00705E1F"/>
    <w:rsid w:val="00705F45"/>
    <w:rsid w:val="00706477"/>
    <w:rsid w:val="007065F0"/>
    <w:rsid w:val="0070687B"/>
    <w:rsid w:val="007068E1"/>
    <w:rsid w:val="00706920"/>
    <w:rsid w:val="00706B5D"/>
    <w:rsid w:val="0070739A"/>
    <w:rsid w:val="00707411"/>
    <w:rsid w:val="00707559"/>
    <w:rsid w:val="00707581"/>
    <w:rsid w:val="0070765E"/>
    <w:rsid w:val="007078DE"/>
    <w:rsid w:val="0071078D"/>
    <w:rsid w:val="00710836"/>
    <w:rsid w:val="00710B2C"/>
    <w:rsid w:val="00710D8B"/>
    <w:rsid w:val="00710EA8"/>
    <w:rsid w:val="00710F21"/>
    <w:rsid w:val="00710F7A"/>
    <w:rsid w:val="0071102C"/>
    <w:rsid w:val="0071121E"/>
    <w:rsid w:val="00711316"/>
    <w:rsid w:val="007114E2"/>
    <w:rsid w:val="00711870"/>
    <w:rsid w:val="007118AF"/>
    <w:rsid w:val="00711A04"/>
    <w:rsid w:val="00712310"/>
    <w:rsid w:val="007127BD"/>
    <w:rsid w:val="00712A03"/>
    <w:rsid w:val="00712CBC"/>
    <w:rsid w:val="0071314F"/>
    <w:rsid w:val="00713218"/>
    <w:rsid w:val="00713394"/>
    <w:rsid w:val="00713943"/>
    <w:rsid w:val="00713B7D"/>
    <w:rsid w:val="0071407A"/>
    <w:rsid w:val="0071463F"/>
    <w:rsid w:val="00714780"/>
    <w:rsid w:val="00714787"/>
    <w:rsid w:val="00714E51"/>
    <w:rsid w:val="0071589C"/>
    <w:rsid w:val="007158B9"/>
    <w:rsid w:val="00715985"/>
    <w:rsid w:val="00715997"/>
    <w:rsid w:val="00715B35"/>
    <w:rsid w:val="00715D78"/>
    <w:rsid w:val="00715E6C"/>
    <w:rsid w:val="0071606E"/>
    <w:rsid w:val="00716110"/>
    <w:rsid w:val="007168E5"/>
    <w:rsid w:val="007176D2"/>
    <w:rsid w:val="0071781D"/>
    <w:rsid w:val="00717893"/>
    <w:rsid w:val="007179B0"/>
    <w:rsid w:val="007202C7"/>
    <w:rsid w:val="007206E9"/>
    <w:rsid w:val="007208C0"/>
    <w:rsid w:val="0072091C"/>
    <w:rsid w:val="00720BA4"/>
    <w:rsid w:val="00720FBD"/>
    <w:rsid w:val="007211E8"/>
    <w:rsid w:val="00721231"/>
    <w:rsid w:val="00721339"/>
    <w:rsid w:val="007215B8"/>
    <w:rsid w:val="00721A25"/>
    <w:rsid w:val="007223B0"/>
    <w:rsid w:val="007223B6"/>
    <w:rsid w:val="00722414"/>
    <w:rsid w:val="0072255D"/>
    <w:rsid w:val="00722C9B"/>
    <w:rsid w:val="00722FCB"/>
    <w:rsid w:val="00722FDE"/>
    <w:rsid w:val="0072342C"/>
    <w:rsid w:val="007237AD"/>
    <w:rsid w:val="00723EF6"/>
    <w:rsid w:val="0072441E"/>
    <w:rsid w:val="00724DAE"/>
    <w:rsid w:val="00724E12"/>
    <w:rsid w:val="00724E9B"/>
    <w:rsid w:val="00724F51"/>
    <w:rsid w:val="00725381"/>
    <w:rsid w:val="007255A6"/>
    <w:rsid w:val="007257D9"/>
    <w:rsid w:val="00725ECC"/>
    <w:rsid w:val="00725F6B"/>
    <w:rsid w:val="00726964"/>
    <w:rsid w:val="007269B1"/>
    <w:rsid w:val="007273C8"/>
    <w:rsid w:val="007274AC"/>
    <w:rsid w:val="00727502"/>
    <w:rsid w:val="007276BA"/>
    <w:rsid w:val="0072775C"/>
    <w:rsid w:val="0072784B"/>
    <w:rsid w:val="00727A69"/>
    <w:rsid w:val="0073023F"/>
    <w:rsid w:val="00730446"/>
    <w:rsid w:val="00730C06"/>
    <w:rsid w:val="00730D20"/>
    <w:rsid w:val="00730E49"/>
    <w:rsid w:val="00730E75"/>
    <w:rsid w:val="0073112A"/>
    <w:rsid w:val="00731518"/>
    <w:rsid w:val="007317BB"/>
    <w:rsid w:val="00731BFD"/>
    <w:rsid w:val="00731DB8"/>
    <w:rsid w:val="00731E23"/>
    <w:rsid w:val="0073202C"/>
    <w:rsid w:val="007324F1"/>
    <w:rsid w:val="00732520"/>
    <w:rsid w:val="007326FA"/>
    <w:rsid w:val="00732AB4"/>
    <w:rsid w:val="00732C0F"/>
    <w:rsid w:val="00732EB8"/>
    <w:rsid w:val="007330AB"/>
    <w:rsid w:val="00733421"/>
    <w:rsid w:val="0073350F"/>
    <w:rsid w:val="007339C0"/>
    <w:rsid w:val="00733EAA"/>
    <w:rsid w:val="00733FDF"/>
    <w:rsid w:val="007342D5"/>
    <w:rsid w:val="007344B5"/>
    <w:rsid w:val="00734583"/>
    <w:rsid w:val="007345D9"/>
    <w:rsid w:val="0073462E"/>
    <w:rsid w:val="00734D9B"/>
    <w:rsid w:val="00734DA5"/>
    <w:rsid w:val="00734DF0"/>
    <w:rsid w:val="00735589"/>
    <w:rsid w:val="00735694"/>
    <w:rsid w:val="0073579A"/>
    <w:rsid w:val="0073585F"/>
    <w:rsid w:val="00735AB4"/>
    <w:rsid w:val="00735ABA"/>
    <w:rsid w:val="00735AE0"/>
    <w:rsid w:val="00735BA4"/>
    <w:rsid w:val="00736098"/>
    <w:rsid w:val="00736194"/>
    <w:rsid w:val="00736708"/>
    <w:rsid w:val="00736790"/>
    <w:rsid w:val="00736BA3"/>
    <w:rsid w:val="00736C37"/>
    <w:rsid w:val="00736D67"/>
    <w:rsid w:val="0073717A"/>
    <w:rsid w:val="00737452"/>
    <w:rsid w:val="0074006A"/>
    <w:rsid w:val="007401F7"/>
    <w:rsid w:val="007403D0"/>
    <w:rsid w:val="00740445"/>
    <w:rsid w:val="00740993"/>
    <w:rsid w:val="00740BC9"/>
    <w:rsid w:val="00740FB7"/>
    <w:rsid w:val="00741298"/>
    <w:rsid w:val="007413D5"/>
    <w:rsid w:val="007415E5"/>
    <w:rsid w:val="00741A89"/>
    <w:rsid w:val="00741C51"/>
    <w:rsid w:val="00741F91"/>
    <w:rsid w:val="007424A2"/>
    <w:rsid w:val="007425C2"/>
    <w:rsid w:val="0074268F"/>
    <w:rsid w:val="0074298D"/>
    <w:rsid w:val="00743166"/>
    <w:rsid w:val="00743190"/>
    <w:rsid w:val="007437DB"/>
    <w:rsid w:val="00743CB9"/>
    <w:rsid w:val="0074458E"/>
    <w:rsid w:val="0074488A"/>
    <w:rsid w:val="00744AD7"/>
    <w:rsid w:val="00744D79"/>
    <w:rsid w:val="00744E25"/>
    <w:rsid w:val="00745AE4"/>
    <w:rsid w:val="00745B39"/>
    <w:rsid w:val="00745BF3"/>
    <w:rsid w:val="00745C3B"/>
    <w:rsid w:val="00745DEB"/>
    <w:rsid w:val="00746475"/>
    <w:rsid w:val="00746502"/>
    <w:rsid w:val="00746581"/>
    <w:rsid w:val="007466E4"/>
    <w:rsid w:val="007466EF"/>
    <w:rsid w:val="00746769"/>
    <w:rsid w:val="00746841"/>
    <w:rsid w:val="007470BE"/>
    <w:rsid w:val="007472EF"/>
    <w:rsid w:val="007473B2"/>
    <w:rsid w:val="00747821"/>
    <w:rsid w:val="007479E1"/>
    <w:rsid w:val="00747B10"/>
    <w:rsid w:val="00747D00"/>
    <w:rsid w:val="00747E7F"/>
    <w:rsid w:val="007502DF"/>
    <w:rsid w:val="00750599"/>
    <w:rsid w:val="0075077C"/>
    <w:rsid w:val="00750E20"/>
    <w:rsid w:val="00750E9D"/>
    <w:rsid w:val="0075142F"/>
    <w:rsid w:val="007515A7"/>
    <w:rsid w:val="007515EE"/>
    <w:rsid w:val="00751B7D"/>
    <w:rsid w:val="00751E94"/>
    <w:rsid w:val="00751F81"/>
    <w:rsid w:val="00752370"/>
    <w:rsid w:val="00752401"/>
    <w:rsid w:val="007526D0"/>
    <w:rsid w:val="007528DB"/>
    <w:rsid w:val="0075297A"/>
    <w:rsid w:val="00752D5D"/>
    <w:rsid w:val="00752E0B"/>
    <w:rsid w:val="0075314E"/>
    <w:rsid w:val="00753225"/>
    <w:rsid w:val="0075381C"/>
    <w:rsid w:val="00753979"/>
    <w:rsid w:val="00753B80"/>
    <w:rsid w:val="00754137"/>
    <w:rsid w:val="00754347"/>
    <w:rsid w:val="00754CA2"/>
    <w:rsid w:val="00754CD5"/>
    <w:rsid w:val="00755136"/>
    <w:rsid w:val="00755559"/>
    <w:rsid w:val="007556C6"/>
    <w:rsid w:val="00755CD2"/>
    <w:rsid w:val="00755ED5"/>
    <w:rsid w:val="00755F77"/>
    <w:rsid w:val="007561AE"/>
    <w:rsid w:val="007561C9"/>
    <w:rsid w:val="00756337"/>
    <w:rsid w:val="00756938"/>
    <w:rsid w:val="00756B7A"/>
    <w:rsid w:val="0075702D"/>
    <w:rsid w:val="007571DC"/>
    <w:rsid w:val="007572F5"/>
    <w:rsid w:val="00757447"/>
    <w:rsid w:val="00757637"/>
    <w:rsid w:val="00757738"/>
    <w:rsid w:val="00757753"/>
    <w:rsid w:val="00757DFE"/>
    <w:rsid w:val="00760291"/>
    <w:rsid w:val="007602C2"/>
    <w:rsid w:val="00760FE1"/>
    <w:rsid w:val="007615E5"/>
    <w:rsid w:val="00761F16"/>
    <w:rsid w:val="00762349"/>
    <w:rsid w:val="0076242B"/>
    <w:rsid w:val="00762732"/>
    <w:rsid w:val="007628E1"/>
    <w:rsid w:val="00762912"/>
    <w:rsid w:val="00763305"/>
    <w:rsid w:val="0076389D"/>
    <w:rsid w:val="00763DF0"/>
    <w:rsid w:val="00763E48"/>
    <w:rsid w:val="00763F78"/>
    <w:rsid w:val="00764041"/>
    <w:rsid w:val="00764260"/>
    <w:rsid w:val="007643E3"/>
    <w:rsid w:val="0076458F"/>
    <w:rsid w:val="007645D0"/>
    <w:rsid w:val="00764610"/>
    <w:rsid w:val="007646B4"/>
    <w:rsid w:val="00764B12"/>
    <w:rsid w:val="00764E8A"/>
    <w:rsid w:val="00764FBA"/>
    <w:rsid w:val="007651D4"/>
    <w:rsid w:val="007652E2"/>
    <w:rsid w:val="007653F2"/>
    <w:rsid w:val="00765650"/>
    <w:rsid w:val="007657E6"/>
    <w:rsid w:val="00765B1F"/>
    <w:rsid w:val="00765D82"/>
    <w:rsid w:val="0076639A"/>
    <w:rsid w:val="00766598"/>
    <w:rsid w:val="00766924"/>
    <w:rsid w:val="00766A2D"/>
    <w:rsid w:val="00766D35"/>
    <w:rsid w:val="00766F73"/>
    <w:rsid w:val="007675CB"/>
    <w:rsid w:val="00767623"/>
    <w:rsid w:val="007678DB"/>
    <w:rsid w:val="007703A4"/>
    <w:rsid w:val="007703EA"/>
    <w:rsid w:val="00770512"/>
    <w:rsid w:val="007706AB"/>
    <w:rsid w:val="00770AAF"/>
    <w:rsid w:val="00770BAA"/>
    <w:rsid w:val="00770BFF"/>
    <w:rsid w:val="00770C4B"/>
    <w:rsid w:val="00770D3F"/>
    <w:rsid w:val="00770EEB"/>
    <w:rsid w:val="00771B0E"/>
    <w:rsid w:val="00771B1E"/>
    <w:rsid w:val="00771E3A"/>
    <w:rsid w:val="00772097"/>
    <w:rsid w:val="00772290"/>
    <w:rsid w:val="007722CD"/>
    <w:rsid w:val="007726A1"/>
    <w:rsid w:val="00772758"/>
    <w:rsid w:val="007728E5"/>
    <w:rsid w:val="00772A45"/>
    <w:rsid w:val="00772D12"/>
    <w:rsid w:val="00773161"/>
    <w:rsid w:val="00773836"/>
    <w:rsid w:val="0077385D"/>
    <w:rsid w:val="00773D69"/>
    <w:rsid w:val="0077452F"/>
    <w:rsid w:val="00774956"/>
    <w:rsid w:val="00774B88"/>
    <w:rsid w:val="00774D0B"/>
    <w:rsid w:val="00775011"/>
    <w:rsid w:val="00775758"/>
    <w:rsid w:val="0077581F"/>
    <w:rsid w:val="00775E3A"/>
    <w:rsid w:val="0077609E"/>
    <w:rsid w:val="007760E2"/>
    <w:rsid w:val="00776A05"/>
    <w:rsid w:val="00776BEA"/>
    <w:rsid w:val="00776D31"/>
    <w:rsid w:val="007773B2"/>
    <w:rsid w:val="007774CF"/>
    <w:rsid w:val="007777BF"/>
    <w:rsid w:val="0077784E"/>
    <w:rsid w:val="00777AB9"/>
    <w:rsid w:val="00777E35"/>
    <w:rsid w:val="0078003B"/>
    <w:rsid w:val="007801F3"/>
    <w:rsid w:val="00780439"/>
    <w:rsid w:val="00780499"/>
    <w:rsid w:val="0078067A"/>
    <w:rsid w:val="00781783"/>
    <w:rsid w:val="007818D8"/>
    <w:rsid w:val="00781A9D"/>
    <w:rsid w:val="00781DAD"/>
    <w:rsid w:val="0078237D"/>
    <w:rsid w:val="0078244B"/>
    <w:rsid w:val="007824D9"/>
    <w:rsid w:val="0078257F"/>
    <w:rsid w:val="00782AAB"/>
    <w:rsid w:val="0078315B"/>
    <w:rsid w:val="00783B2E"/>
    <w:rsid w:val="00783E70"/>
    <w:rsid w:val="00783F4B"/>
    <w:rsid w:val="007845D2"/>
    <w:rsid w:val="00784E00"/>
    <w:rsid w:val="00784F3A"/>
    <w:rsid w:val="00784F3C"/>
    <w:rsid w:val="00785199"/>
    <w:rsid w:val="0078525C"/>
    <w:rsid w:val="007854A4"/>
    <w:rsid w:val="00785A03"/>
    <w:rsid w:val="00785D62"/>
    <w:rsid w:val="00785EBB"/>
    <w:rsid w:val="0078630C"/>
    <w:rsid w:val="00786407"/>
    <w:rsid w:val="00786445"/>
    <w:rsid w:val="0078670A"/>
    <w:rsid w:val="0078681B"/>
    <w:rsid w:val="0078693F"/>
    <w:rsid w:val="00786EF4"/>
    <w:rsid w:val="00786F51"/>
    <w:rsid w:val="00786F71"/>
    <w:rsid w:val="00787288"/>
    <w:rsid w:val="00787400"/>
    <w:rsid w:val="0078744C"/>
    <w:rsid w:val="00790117"/>
    <w:rsid w:val="007902E0"/>
    <w:rsid w:val="007903A9"/>
    <w:rsid w:val="007903F8"/>
    <w:rsid w:val="0079048A"/>
    <w:rsid w:val="00790519"/>
    <w:rsid w:val="007909D7"/>
    <w:rsid w:val="00790A56"/>
    <w:rsid w:val="00790BDF"/>
    <w:rsid w:val="00790C7E"/>
    <w:rsid w:val="00790E01"/>
    <w:rsid w:val="00790ED0"/>
    <w:rsid w:val="00790EFC"/>
    <w:rsid w:val="00790FEF"/>
    <w:rsid w:val="00791493"/>
    <w:rsid w:val="00791C3C"/>
    <w:rsid w:val="00791E48"/>
    <w:rsid w:val="00791FA2"/>
    <w:rsid w:val="007922B5"/>
    <w:rsid w:val="007925EE"/>
    <w:rsid w:val="0079275F"/>
    <w:rsid w:val="0079306D"/>
    <w:rsid w:val="0079339A"/>
    <w:rsid w:val="007935CD"/>
    <w:rsid w:val="007937C3"/>
    <w:rsid w:val="00793CAE"/>
    <w:rsid w:val="00793F4C"/>
    <w:rsid w:val="00793F85"/>
    <w:rsid w:val="00794426"/>
    <w:rsid w:val="00794587"/>
    <w:rsid w:val="00794894"/>
    <w:rsid w:val="00794A1A"/>
    <w:rsid w:val="00794A7D"/>
    <w:rsid w:val="00794FA6"/>
    <w:rsid w:val="00795121"/>
    <w:rsid w:val="0079516D"/>
    <w:rsid w:val="007953A3"/>
    <w:rsid w:val="00795429"/>
    <w:rsid w:val="00795468"/>
    <w:rsid w:val="00795511"/>
    <w:rsid w:val="00795BA7"/>
    <w:rsid w:val="00795BD6"/>
    <w:rsid w:val="00795FF4"/>
    <w:rsid w:val="00796BA6"/>
    <w:rsid w:val="00796DD3"/>
    <w:rsid w:val="00796E10"/>
    <w:rsid w:val="00797A3A"/>
    <w:rsid w:val="00797C44"/>
    <w:rsid w:val="00797D7A"/>
    <w:rsid w:val="007A0176"/>
    <w:rsid w:val="007A02B4"/>
    <w:rsid w:val="007A0716"/>
    <w:rsid w:val="007A072F"/>
    <w:rsid w:val="007A0B03"/>
    <w:rsid w:val="007A13C0"/>
    <w:rsid w:val="007A1937"/>
    <w:rsid w:val="007A1C9F"/>
    <w:rsid w:val="007A2169"/>
    <w:rsid w:val="007A2742"/>
    <w:rsid w:val="007A28D1"/>
    <w:rsid w:val="007A29CD"/>
    <w:rsid w:val="007A29E2"/>
    <w:rsid w:val="007A2CFD"/>
    <w:rsid w:val="007A2F2A"/>
    <w:rsid w:val="007A33BC"/>
    <w:rsid w:val="007A347C"/>
    <w:rsid w:val="007A3676"/>
    <w:rsid w:val="007A389E"/>
    <w:rsid w:val="007A395B"/>
    <w:rsid w:val="007A3D48"/>
    <w:rsid w:val="007A3D6E"/>
    <w:rsid w:val="007A3F93"/>
    <w:rsid w:val="007A4196"/>
    <w:rsid w:val="007A45DD"/>
    <w:rsid w:val="007A4672"/>
    <w:rsid w:val="007A46CF"/>
    <w:rsid w:val="007A4942"/>
    <w:rsid w:val="007A4AB2"/>
    <w:rsid w:val="007A4AFE"/>
    <w:rsid w:val="007A4F57"/>
    <w:rsid w:val="007A5309"/>
    <w:rsid w:val="007A5407"/>
    <w:rsid w:val="007A5481"/>
    <w:rsid w:val="007A554E"/>
    <w:rsid w:val="007A5671"/>
    <w:rsid w:val="007A59D4"/>
    <w:rsid w:val="007A5BEE"/>
    <w:rsid w:val="007A5F3D"/>
    <w:rsid w:val="007A679F"/>
    <w:rsid w:val="007A6865"/>
    <w:rsid w:val="007A69EC"/>
    <w:rsid w:val="007A6FA3"/>
    <w:rsid w:val="007A7100"/>
    <w:rsid w:val="007A73CF"/>
    <w:rsid w:val="007A740E"/>
    <w:rsid w:val="007A7411"/>
    <w:rsid w:val="007A7558"/>
    <w:rsid w:val="007A789D"/>
    <w:rsid w:val="007A79DD"/>
    <w:rsid w:val="007A7BFC"/>
    <w:rsid w:val="007B009E"/>
    <w:rsid w:val="007B016D"/>
    <w:rsid w:val="007B019C"/>
    <w:rsid w:val="007B05DE"/>
    <w:rsid w:val="007B071E"/>
    <w:rsid w:val="007B08CD"/>
    <w:rsid w:val="007B0BA9"/>
    <w:rsid w:val="007B0C71"/>
    <w:rsid w:val="007B0C7F"/>
    <w:rsid w:val="007B0E71"/>
    <w:rsid w:val="007B14E5"/>
    <w:rsid w:val="007B1D76"/>
    <w:rsid w:val="007B1E42"/>
    <w:rsid w:val="007B24EC"/>
    <w:rsid w:val="007B28AC"/>
    <w:rsid w:val="007B2B36"/>
    <w:rsid w:val="007B2EBB"/>
    <w:rsid w:val="007B2FF7"/>
    <w:rsid w:val="007B30CA"/>
    <w:rsid w:val="007B351A"/>
    <w:rsid w:val="007B390D"/>
    <w:rsid w:val="007B3C1D"/>
    <w:rsid w:val="007B4464"/>
    <w:rsid w:val="007B490E"/>
    <w:rsid w:val="007B4BCB"/>
    <w:rsid w:val="007B4CE1"/>
    <w:rsid w:val="007B50C9"/>
    <w:rsid w:val="007B5177"/>
    <w:rsid w:val="007B6B5F"/>
    <w:rsid w:val="007B6D7C"/>
    <w:rsid w:val="007B7090"/>
    <w:rsid w:val="007B714A"/>
    <w:rsid w:val="007B7185"/>
    <w:rsid w:val="007B7441"/>
    <w:rsid w:val="007B7AD9"/>
    <w:rsid w:val="007B7E92"/>
    <w:rsid w:val="007B7F0D"/>
    <w:rsid w:val="007C044E"/>
    <w:rsid w:val="007C081E"/>
    <w:rsid w:val="007C088D"/>
    <w:rsid w:val="007C0C7E"/>
    <w:rsid w:val="007C0CDC"/>
    <w:rsid w:val="007C10D3"/>
    <w:rsid w:val="007C16D7"/>
    <w:rsid w:val="007C1D80"/>
    <w:rsid w:val="007C1D90"/>
    <w:rsid w:val="007C1E40"/>
    <w:rsid w:val="007C21AF"/>
    <w:rsid w:val="007C21D9"/>
    <w:rsid w:val="007C2474"/>
    <w:rsid w:val="007C2613"/>
    <w:rsid w:val="007C2ED8"/>
    <w:rsid w:val="007C3171"/>
    <w:rsid w:val="007C3193"/>
    <w:rsid w:val="007C360D"/>
    <w:rsid w:val="007C39D2"/>
    <w:rsid w:val="007C4124"/>
    <w:rsid w:val="007C444D"/>
    <w:rsid w:val="007C4DB0"/>
    <w:rsid w:val="007C5069"/>
    <w:rsid w:val="007C53CB"/>
    <w:rsid w:val="007C56A8"/>
    <w:rsid w:val="007C5B8C"/>
    <w:rsid w:val="007C5D4F"/>
    <w:rsid w:val="007C5FD3"/>
    <w:rsid w:val="007C660A"/>
    <w:rsid w:val="007C67E4"/>
    <w:rsid w:val="007C6930"/>
    <w:rsid w:val="007C6AA7"/>
    <w:rsid w:val="007C6F82"/>
    <w:rsid w:val="007D0032"/>
    <w:rsid w:val="007D00A1"/>
    <w:rsid w:val="007D00A8"/>
    <w:rsid w:val="007D010A"/>
    <w:rsid w:val="007D0A72"/>
    <w:rsid w:val="007D0BD2"/>
    <w:rsid w:val="007D15F0"/>
    <w:rsid w:val="007D1668"/>
    <w:rsid w:val="007D16FD"/>
    <w:rsid w:val="007D1B4D"/>
    <w:rsid w:val="007D1BF5"/>
    <w:rsid w:val="007D1F9B"/>
    <w:rsid w:val="007D2339"/>
    <w:rsid w:val="007D2422"/>
    <w:rsid w:val="007D242A"/>
    <w:rsid w:val="007D2514"/>
    <w:rsid w:val="007D2541"/>
    <w:rsid w:val="007D27BA"/>
    <w:rsid w:val="007D2BFC"/>
    <w:rsid w:val="007D2D00"/>
    <w:rsid w:val="007D2D11"/>
    <w:rsid w:val="007D37EC"/>
    <w:rsid w:val="007D383B"/>
    <w:rsid w:val="007D3DFF"/>
    <w:rsid w:val="007D41E5"/>
    <w:rsid w:val="007D43C1"/>
    <w:rsid w:val="007D43C9"/>
    <w:rsid w:val="007D44CB"/>
    <w:rsid w:val="007D4BDD"/>
    <w:rsid w:val="007D4C72"/>
    <w:rsid w:val="007D5211"/>
    <w:rsid w:val="007D53C0"/>
    <w:rsid w:val="007D53D5"/>
    <w:rsid w:val="007D54CB"/>
    <w:rsid w:val="007D5A10"/>
    <w:rsid w:val="007D5AA7"/>
    <w:rsid w:val="007D5BCC"/>
    <w:rsid w:val="007D62E4"/>
    <w:rsid w:val="007D63DB"/>
    <w:rsid w:val="007D65D8"/>
    <w:rsid w:val="007D6614"/>
    <w:rsid w:val="007D6B64"/>
    <w:rsid w:val="007D6C02"/>
    <w:rsid w:val="007D6CEF"/>
    <w:rsid w:val="007D6D98"/>
    <w:rsid w:val="007D70E9"/>
    <w:rsid w:val="007D726F"/>
    <w:rsid w:val="007D72DE"/>
    <w:rsid w:val="007D7B16"/>
    <w:rsid w:val="007D7EB1"/>
    <w:rsid w:val="007E0183"/>
    <w:rsid w:val="007E06BB"/>
    <w:rsid w:val="007E077A"/>
    <w:rsid w:val="007E09C3"/>
    <w:rsid w:val="007E09CD"/>
    <w:rsid w:val="007E155B"/>
    <w:rsid w:val="007E1711"/>
    <w:rsid w:val="007E17A2"/>
    <w:rsid w:val="007E17A6"/>
    <w:rsid w:val="007E1C19"/>
    <w:rsid w:val="007E2033"/>
    <w:rsid w:val="007E20A8"/>
    <w:rsid w:val="007E2288"/>
    <w:rsid w:val="007E23AE"/>
    <w:rsid w:val="007E24B6"/>
    <w:rsid w:val="007E28EA"/>
    <w:rsid w:val="007E33E5"/>
    <w:rsid w:val="007E3493"/>
    <w:rsid w:val="007E4108"/>
    <w:rsid w:val="007E4413"/>
    <w:rsid w:val="007E49F1"/>
    <w:rsid w:val="007E49F3"/>
    <w:rsid w:val="007E4A3F"/>
    <w:rsid w:val="007E4D3B"/>
    <w:rsid w:val="007E4E23"/>
    <w:rsid w:val="007E4E57"/>
    <w:rsid w:val="007E53BF"/>
    <w:rsid w:val="007E56E6"/>
    <w:rsid w:val="007E5906"/>
    <w:rsid w:val="007E5B66"/>
    <w:rsid w:val="007E5D84"/>
    <w:rsid w:val="007E5DCC"/>
    <w:rsid w:val="007E5EF1"/>
    <w:rsid w:val="007E6CAF"/>
    <w:rsid w:val="007E6F8C"/>
    <w:rsid w:val="007E74CA"/>
    <w:rsid w:val="007E77B1"/>
    <w:rsid w:val="007E78E6"/>
    <w:rsid w:val="007E7A43"/>
    <w:rsid w:val="007E7AB6"/>
    <w:rsid w:val="007E7D15"/>
    <w:rsid w:val="007E7D1B"/>
    <w:rsid w:val="007E7DE3"/>
    <w:rsid w:val="007E7EBA"/>
    <w:rsid w:val="007F00B3"/>
    <w:rsid w:val="007F0132"/>
    <w:rsid w:val="007F02F6"/>
    <w:rsid w:val="007F0522"/>
    <w:rsid w:val="007F0552"/>
    <w:rsid w:val="007F07D3"/>
    <w:rsid w:val="007F07D8"/>
    <w:rsid w:val="007F07FE"/>
    <w:rsid w:val="007F0AD5"/>
    <w:rsid w:val="007F0BE3"/>
    <w:rsid w:val="007F0D21"/>
    <w:rsid w:val="007F11FB"/>
    <w:rsid w:val="007F15C2"/>
    <w:rsid w:val="007F1A90"/>
    <w:rsid w:val="007F1B51"/>
    <w:rsid w:val="007F2115"/>
    <w:rsid w:val="007F2205"/>
    <w:rsid w:val="007F224C"/>
    <w:rsid w:val="007F266B"/>
    <w:rsid w:val="007F2D1D"/>
    <w:rsid w:val="007F2E29"/>
    <w:rsid w:val="007F2EC5"/>
    <w:rsid w:val="007F2EE0"/>
    <w:rsid w:val="007F313E"/>
    <w:rsid w:val="007F3657"/>
    <w:rsid w:val="007F367B"/>
    <w:rsid w:val="007F3FCE"/>
    <w:rsid w:val="007F40E5"/>
    <w:rsid w:val="007F423A"/>
    <w:rsid w:val="007F4379"/>
    <w:rsid w:val="007F45AF"/>
    <w:rsid w:val="007F4BD9"/>
    <w:rsid w:val="007F4CD1"/>
    <w:rsid w:val="007F4EBD"/>
    <w:rsid w:val="007F4FA2"/>
    <w:rsid w:val="007F4FB1"/>
    <w:rsid w:val="007F5340"/>
    <w:rsid w:val="007F54D7"/>
    <w:rsid w:val="007F573E"/>
    <w:rsid w:val="007F58E5"/>
    <w:rsid w:val="007F5FA2"/>
    <w:rsid w:val="007F6373"/>
    <w:rsid w:val="007F6743"/>
    <w:rsid w:val="007F67F9"/>
    <w:rsid w:val="007F6A23"/>
    <w:rsid w:val="007F6ABB"/>
    <w:rsid w:val="007F724D"/>
    <w:rsid w:val="007F7291"/>
    <w:rsid w:val="007F75B0"/>
    <w:rsid w:val="007F78AE"/>
    <w:rsid w:val="007F7A13"/>
    <w:rsid w:val="007F7AFF"/>
    <w:rsid w:val="007F7E4A"/>
    <w:rsid w:val="007F7F13"/>
    <w:rsid w:val="00800384"/>
    <w:rsid w:val="008005BF"/>
    <w:rsid w:val="00800ED1"/>
    <w:rsid w:val="00800F2B"/>
    <w:rsid w:val="00800F4B"/>
    <w:rsid w:val="00801057"/>
    <w:rsid w:val="0080120E"/>
    <w:rsid w:val="0080151E"/>
    <w:rsid w:val="008016D6"/>
    <w:rsid w:val="00801BBD"/>
    <w:rsid w:val="00801C02"/>
    <w:rsid w:val="008020C4"/>
    <w:rsid w:val="008021C9"/>
    <w:rsid w:val="0080237B"/>
    <w:rsid w:val="0080256A"/>
    <w:rsid w:val="0080266C"/>
    <w:rsid w:val="00802C63"/>
    <w:rsid w:val="00802E55"/>
    <w:rsid w:val="00803079"/>
    <w:rsid w:val="0080340E"/>
    <w:rsid w:val="00803B76"/>
    <w:rsid w:val="00803D6E"/>
    <w:rsid w:val="0080420D"/>
    <w:rsid w:val="00804359"/>
    <w:rsid w:val="0080442B"/>
    <w:rsid w:val="00804511"/>
    <w:rsid w:val="00804814"/>
    <w:rsid w:val="00804A27"/>
    <w:rsid w:val="00804B17"/>
    <w:rsid w:val="0080528E"/>
    <w:rsid w:val="00805A72"/>
    <w:rsid w:val="00805E48"/>
    <w:rsid w:val="00805F78"/>
    <w:rsid w:val="00806335"/>
    <w:rsid w:val="0080644A"/>
    <w:rsid w:val="00806471"/>
    <w:rsid w:val="00806974"/>
    <w:rsid w:val="00806DC9"/>
    <w:rsid w:val="00806F10"/>
    <w:rsid w:val="00807029"/>
    <w:rsid w:val="008074B1"/>
    <w:rsid w:val="008075A3"/>
    <w:rsid w:val="00807E61"/>
    <w:rsid w:val="0081045E"/>
    <w:rsid w:val="008104EA"/>
    <w:rsid w:val="008106C3"/>
    <w:rsid w:val="00810BB9"/>
    <w:rsid w:val="00810EBD"/>
    <w:rsid w:val="00810F3E"/>
    <w:rsid w:val="00810FE3"/>
    <w:rsid w:val="00810FE9"/>
    <w:rsid w:val="0081116F"/>
    <w:rsid w:val="0081134A"/>
    <w:rsid w:val="0081134D"/>
    <w:rsid w:val="008113F9"/>
    <w:rsid w:val="00811438"/>
    <w:rsid w:val="008114F6"/>
    <w:rsid w:val="008117F2"/>
    <w:rsid w:val="00811B22"/>
    <w:rsid w:val="00811DF5"/>
    <w:rsid w:val="00812240"/>
    <w:rsid w:val="0081228D"/>
    <w:rsid w:val="0081230A"/>
    <w:rsid w:val="008123AB"/>
    <w:rsid w:val="00812565"/>
    <w:rsid w:val="0081290D"/>
    <w:rsid w:val="008129FC"/>
    <w:rsid w:val="00812F3A"/>
    <w:rsid w:val="00812FB6"/>
    <w:rsid w:val="008130BB"/>
    <w:rsid w:val="0081331F"/>
    <w:rsid w:val="00813589"/>
    <w:rsid w:val="008137D1"/>
    <w:rsid w:val="00813928"/>
    <w:rsid w:val="00813B2F"/>
    <w:rsid w:val="00814448"/>
    <w:rsid w:val="008148DC"/>
    <w:rsid w:val="00814BE9"/>
    <w:rsid w:val="00814F56"/>
    <w:rsid w:val="00814FDD"/>
    <w:rsid w:val="008154AF"/>
    <w:rsid w:val="00815A08"/>
    <w:rsid w:val="00816322"/>
    <w:rsid w:val="00816368"/>
    <w:rsid w:val="0081663E"/>
    <w:rsid w:val="00816823"/>
    <w:rsid w:val="0081698C"/>
    <w:rsid w:val="0081785B"/>
    <w:rsid w:val="008179C5"/>
    <w:rsid w:val="00817B56"/>
    <w:rsid w:val="00817C84"/>
    <w:rsid w:val="00820488"/>
    <w:rsid w:val="00820752"/>
    <w:rsid w:val="008208D1"/>
    <w:rsid w:val="00820FD7"/>
    <w:rsid w:val="008212D5"/>
    <w:rsid w:val="0082154D"/>
    <w:rsid w:val="00821815"/>
    <w:rsid w:val="00822819"/>
    <w:rsid w:val="0082296A"/>
    <w:rsid w:val="00822B2A"/>
    <w:rsid w:val="00822F3D"/>
    <w:rsid w:val="00823082"/>
    <w:rsid w:val="0082328A"/>
    <w:rsid w:val="008236A6"/>
    <w:rsid w:val="008239A3"/>
    <w:rsid w:val="00823A36"/>
    <w:rsid w:val="00823ABC"/>
    <w:rsid w:val="008244D5"/>
    <w:rsid w:val="008248C1"/>
    <w:rsid w:val="00824F48"/>
    <w:rsid w:val="008251CC"/>
    <w:rsid w:val="00825613"/>
    <w:rsid w:val="0082584E"/>
    <w:rsid w:val="00826056"/>
    <w:rsid w:val="008263EF"/>
    <w:rsid w:val="008264A9"/>
    <w:rsid w:val="00826B25"/>
    <w:rsid w:val="00826EA9"/>
    <w:rsid w:val="0082729F"/>
    <w:rsid w:val="00827510"/>
    <w:rsid w:val="00827772"/>
    <w:rsid w:val="008279DA"/>
    <w:rsid w:val="00827A34"/>
    <w:rsid w:val="00827CED"/>
    <w:rsid w:val="00827DEE"/>
    <w:rsid w:val="00827E8C"/>
    <w:rsid w:val="0083035E"/>
    <w:rsid w:val="00830835"/>
    <w:rsid w:val="00830AE1"/>
    <w:rsid w:val="00830F9A"/>
    <w:rsid w:val="00831099"/>
    <w:rsid w:val="008312D6"/>
    <w:rsid w:val="008312D8"/>
    <w:rsid w:val="0083152C"/>
    <w:rsid w:val="00831609"/>
    <w:rsid w:val="0083184F"/>
    <w:rsid w:val="00831C1B"/>
    <w:rsid w:val="00831E29"/>
    <w:rsid w:val="00832175"/>
    <w:rsid w:val="008326E3"/>
    <w:rsid w:val="00833000"/>
    <w:rsid w:val="008330DC"/>
    <w:rsid w:val="008332CB"/>
    <w:rsid w:val="008333AC"/>
    <w:rsid w:val="00833491"/>
    <w:rsid w:val="008338EB"/>
    <w:rsid w:val="00833C05"/>
    <w:rsid w:val="00833CC0"/>
    <w:rsid w:val="0083403E"/>
    <w:rsid w:val="00834954"/>
    <w:rsid w:val="00834EE5"/>
    <w:rsid w:val="00834F3D"/>
    <w:rsid w:val="008350BE"/>
    <w:rsid w:val="008352AE"/>
    <w:rsid w:val="00835387"/>
    <w:rsid w:val="0083569F"/>
    <w:rsid w:val="00835971"/>
    <w:rsid w:val="008360CD"/>
    <w:rsid w:val="00836351"/>
    <w:rsid w:val="0083652D"/>
    <w:rsid w:val="00836871"/>
    <w:rsid w:val="008369DB"/>
    <w:rsid w:val="008371B0"/>
    <w:rsid w:val="00837782"/>
    <w:rsid w:val="008400A9"/>
    <w:rsid w:val="00840217"/>
    <w:rsid w:val="00840393"/>
    <w:rsid w:val="008404E0"/>
    <w:rsid w:val="008409DE"/>
    <w:rsid w:val="0084136D"/>
    <w:rsid w:val="00841C54"/>
    <w:rsid w:val="00841CCC"/>
    <w:rsid w:val="00842BAA"/>
    <w:rsid w:val="00842BF0"/>
    <w:rsid w:val="00842EC3"/>
    <w:rsid w:val="00843C5B"/>
    <w:rsid w:val="00843DC3"/>
    <w:rsid w:val="00844862"/>
    <w:rsid w:val="00844B98"/>
    <w:rsid w:val="00844C4D"/>
    <w:rsid w:val="00844F06"/>
    <w:rsid w:val="0084504D"/>
    <w:rsid w:val="00845226"/>
    <w:rsid w:val="00845794"/>
    <w:rsid w:val="0084580D"/>
    <w:rsid w:val="00845A7E"/>
    <w:rsid w:val="00845E7A"/>
    <w:rsid w:val="0084616E"/>
    <w:rsid w:val="00846534"/>
    <w:rsid w:val="0084666D"/>
    <w:rsid w:val="00846FE1"/>
    <w:rsid w:val="00847826"/>
    <w:rsid w:val="00847F1A"/>
    <w:rsid w:val="008502C3"/>
    <w:rsid w:val="00850CD7"/>
    <w:rsid w:val="00850CE5"/>
    <w:rsid w:val="00850F0D"/>
    <w:rsid w:val="00850FC5"/>
    <w:rsid w:val="00851129"/>
    <w:rsid w:val="0085114F"/>
    <w:rsid w:val="00851A54"/>
    <w:rsid w:val="00851D9D"/>
    <w:rsid w:val="008520D6"/>
    <w:rsid w:val="0085245F"/>
    <w:rsid w:val="0085251B"/>
    <w:rsid w:val="00852818"/>
    <w:rsid w:val="00852B54"/>
    <w:rsid w:val="00852BCA"/>
    <w:rsid w:val="00852C94"/>
    <w:rsid w:val="00852EAB"/>
    <w:rsid w:val="008534EC"/>
    <w:rsid w:val="00853AAC"/>
    <w:rsid w:val="00853AB8"/>
    <w:rsid w:val="00853FDE"/>
    <w:rsid w:val="00854227"/>
    <w:rsid w:val="00854297"/>
    <w:rsid w:val="008543A1"/>
    <w:rsid w:val="008548B1"/>
    <w:rsid w:val="00854BF0"/>
    <w:rsid w:val="00854D49"/>
    <w:rsid w:val="008554C5"/>
    <w:rsid w:val="00855872"/>
    <w:rsid w:val="00855ABC"/>
    <w:rsid w:val="00855C55"/>
    <w:rsid w:val="00855C5D"/>
    <w:rsid w:val="00855C60"/>
    <w:rsid w:val="008565C4"/>
    <w:rsid w:val="00856851"/>
    <w:rsid w:val="00856A5C"/>
    <w:rsid w:val="00857397"/>
    <w:rsid w:val="00857507"/>
    <w:rsid w:val="00857621"/>
    <w:rsid w:val="00857668"/>
    <w:rsid w:val="0085778D"/>
    <w:rsid w:val="00857858"/>
    <w:rsid w:val="00857D12"/>
    <w:rsid w:val="008600B0"/>
    <w:rsid w:val="0086051D"/>
    <w:rsid w:val="0086056B"/>
    <w:rsid w:val="00860659"/>
    <w:rsid w:val="008606F1"/>
    <w:rsid w:val="00860B82"/>
    <w:rsid w:val="00860B90"/>
    <w:rsid w:val="00860C27"/>
    <w:rsid w:val="00860C64"/>
    <w:rsid w:val="008611BF"/>
    <w:rsid w:val="008617B9"/>
    <w:rsid w:val="00861B92"/>
    <w:rsid w:val="00861E2A"/>
    <w:rsid w:val="00862BA4"/>
    <w:rsid w:val="00862C3E"/>
    <w:rsid w:val="00862D87"/>
    <w:rsid w:val="00862F52"/>
    <w:rsid w:val="00862F64"/>
    <w:rsid w:val="008631A3"/>
    <w:rsid w:val="0086321F"/>
    <w:rsid w:val="00863AA7"/>
    <w:rsid w:val="00863AE8"/>
    <w:rsid w:val="00863B49"/>
    <w:rsid w:val="00863C9C"/>
    <w:rsid w:val="00864191"/>
    <w:rsid w:val="00864283"/>
    <w:rsid w:val="0086485A"/>
    <w:rsid w:val="008648A6"/>
    <w:rsid w:val="00864A20"/>
    <w:rsid w:val="008652DB"/>
    <w:rsid w:val="00865855"/>
    <w:rsid w:val="00865E35"/>
    <w:rsid w:val="00865F26"/>
    <w:rsid w:val="00866240"/>
    <w:rsid w:val="00866799"/>
    <w:rsid w:val="00866A47"/>
    <w:rsid w:val="00866ADF"/>
    <w:rsid w:val="008675BA"/>
    <w:rsid w:val="008679BE"/>
    <w:rsid w:val="008679D7"/>
    <w:rsid w:val="00867DA5"/>
    <w:rsid w:val="00870338"/>
    <w:rsid w:val="00870B54"/>
    <w:rsid w:val="00870EB9"/>
    <w:rsid w:val="0087113C"/>
    <w:rsid w:val="00871144"/>
    <w:rsid w:val="0087133B"/>
    <w:rsid w:val="008715FC"/>
    <w:rsid w:val="0087164A"/>
    <w:rsid w:val="008716B2"/>
    <w:rsid w:val="00871842"/>
    <w:rsid w:val="00871A63"/>
    <w:rsid w:val="00871CD0"/>
    <w:rsid w:val="00871E3A"/>
    <w:rsid w:val="00871EBA"/>
    <w:rsid w:val="00872036"/>
    <w:rsid w:val="0087247A"/>
    <w:rsid w:val="00872809"/>
    <w:rsid w:val="00872882"/>
    <w:rsid w:val="00872C8F"/>
    <w:rsid w:val="00872DB6"/>
    <w:rsid w:val="0087342B"/>
    <w:rsid w:val="00873586"/>
    <w:rsid w:val="008737B9"/>
    <w:rsid w:val="00873846"/>
    <w:rsid w:val="00873A81"/>
    <w:rsid w:val="00873C01"/>
    <w:rsid w:val="00873C54"/>
    <w:rsid w:val="00874014"/>
    <w:rsid w:val="008742DE"/>
    <w:rsid w:val="00874459"/>
    <w:rsid w:val="008749BF"/>
    <w:rsid w:val="00874EEE"/>
    <w:rsid w:val="0087528D"/>
    <w:rsid w:val="0087577F"/>
    <w:rsid w:val="00875944"/>
    <w:rsid w:val="00875CAD"/>
    <w:rsid w:val="00876046"/>
    <w:rsid w:val="00876308"/>
    <w:rsid w:val="00876741"/>
    <w:rsid w:val="008768FB"/>
    <w:rsid w:val="00876969"/>
    <w:rsid w:val="008769F5"/>
    <w:rsid w:val="00876D0E"/>
    <w:rsid w:val="00876D48"/>
    <w:rsid w:val="00876F20"/>
    <w:rsid w:val="00877129"/>
    <w:rsid w:val="0087724A"/>
    <w:rsid w:val="00877459"/>
    <w:rsid w:val="00877484"/>
    <w:rsid w:val="00877698"/>
    <w:rsid w:val="00877BF4"/>
    <w:rsid w:val="00880075"/>
    <w:rsid w:val="00880158"/>
    <w:rsid w:val="00880569"/>
    <w:rsid w:val="008808DD"/>
    <w:rsid w:val="0088094E"/>
    <w:rsid w:val="00880BA5"/>
    <w:rsid w:val="00880C2B"/>
    <w:rsid w:val="00880C9E"/>
    <w:rsid w:val="00880CFF"/>
    <w:rsid w:val="00880D10"/>
    <w:rsid w:val="00880F5A"/>
    <w:rsid w:val="0088110E"/>
    <w:rsid w:val="00882340"/>
    <w:rsid w:val="00882D23"/>
    <w:rsid w:val="00882FCD"/>
    <w:rsid w:val="00883374"/>
    <w:rsid w:val="008834D7"/>
    <w:rsid w:val="0088376C"/>
    <w:rsid w:val="008838A6"/>
    <w:rsid w:val="008838AF"/>
    <w:rsid w:val="00883903"/>
    <w:rsid w:val="008839CC"/>
    <w:rsid w:val="00883A6A"/>
    <w:rsid w:val="008848A6"/>
    <w:rsid w:val="00884D81"/>
    <w:rsid w:val="00884E5B"/>
    <w:rsid w:val="00885246"/>
    <w:rsid w:val="008854DC"/>
    <w:rsid w:val="008856CC"/>
    <w:rsid w:val="008859A0"/>
    <w:rsid w:val="00885A58"/>
    <w:rsid w:val="00885C67"/>
    <w:rsid w:val="008869B8"/>
    <w:rsid w:val="00886F65"/>
    <w:rsid w:val="00887276"/>
    <w:rsid w:val="0088728C"/>
    <w:rsid w:val="008872B5"/>
    <w:rsid w:val="008875B8"/>
    <w:rsid w:val="00887AC0"/>
    <w:rsid w:val="00887C53"/>
    <w:rsid w:val="00887F8C"/>
    <w:rsid w:val="00887FC4"/>
    <w:rsid w:val="00890052"/>
    <w:rsid w:val="00890878"/>
    <w:rsid w:val="00890891"/>
    <w:rsid w:val="008908FD"/>
    <w:rsid w:val="00890C93"/>
    <w:rsid w:val="00890E00"/>
    <w:rsid w:val="0089116A"/>
    <w:rsid w:val="00891491"/>
    <w:rsid w:val="008915AB"/>
    <w:rsid w:val="008917A5"/>
    <w:rsid w:val="00891E9E"/>
    <w:rsid w:val="00891F71"/>
    <w:rsid w:val="00891FD3"/>
    <w:rsid w:val="00892233"/>
    <w:rsid w:val="00892236"/>
    <w:rsid w:val="008922DD"/>
    <w:rsid w:val="008925BD"/>
    <w:rsid w:val="008928A0"/>
    <w:rsid w:val="008934EB"/>
    <w:rsid w:val="00893720"/>
    <w:rsid w:val="008938BC"/>
    <w:rsid w:val="00893CC7"/>
    <w:rsid w:val="00893F9C"/>
    <w:rsid w:val="00893FE1"/>
    <w:rsid w:val="00894303"/>
    <w:rsid w:val="00894436"/>
    <w:rsid w:val="008946B9"/>
    <w:rsid w:val="008946DF"/>
    <w:rsid w:val="008946E9"/>
    <w:rsid w:val="00894EB6"/>
    <w:rsid w:val="00895439"/>
    <w:rsid w:val="0089568E"/>
    <w:rsid w:val="008956DD"/>
    <w:rsid w:val="00895904"/>
    <w:rsid w:val="0089674A"/>
    <w:rsid w:val="00896886"/>
    <w:rsid w:val="00896A85"/>
    <w:rsid w:val="00896B71"/>
    <w:rsid w:val="00896F36"/>
    <w:rsid w:val="00896FB7"/>
    <w:rsid w:val="00897174"/>
    <w:rsid w:val="00897212"/>
    <w:rsid w:val="0089736C"/>
    <w:rsid w:val="00897405"/>
    <w:rsid w:val="00897406"/>
    <w:rsid w:val="00897473"/>
    <w:rsid w:val="00897717"/>
    <w:rsid w:val="00897C06"/>
    <w:rsid w:val="00897D9E"/>
    <w:rsid w:val="00897F5A"/>
    <w:rsid w:val="00897F71"/>
    <w:rsid w:val="008A06D4"/>
    <w:rsid w:val="008A081C"/>
    <w:rsid w:val="008A10E3"/>
    <w:rsid w:val="008A13DE"/>
    <w:rsid w:val="008A13F0"/>
    <w:rsid w:val="008A1465"/>
    <w:rsid w:val="008A15BB"/>
    <w:rsid w:val="008A1817"/>
    <w:rsid w:val="008A18E6"/>
    <w:rsid w:val="008A1A35"/>
    <w:rsid w:val="008A1C3E"/>
    <w:rsid w:val="008A257A"/>
    <w:rsid w:val="008A271C"/>
    <w:rsid w:val="008A2D05"/>
    <w:rsid w:val="008A30CC"/>
    <w:rsid w:val="008A3297"/>
    <w:rsid w:val="008A34B6"/>
    <w:rsid w:val="008A3CE5"/>
    <w:rsid w:val="008A3F72"/>
    <w:rsid w:val="008A408D"/>
    <w:rsid w:val="008A43E8"/>
    <w:rsid w:val="008A45D3"/>
    <w:rsid w:val="008A50CE"/>
    <w:rsid w:val="008A5985"/>
    <w:rsid w:val="008A5C9A"/>
    <w:rsid w:val="008A5EA7"/>
    <w:rsid w:val="008A623A"/>
    <w:rsid w:val="008A69D9"/>
    <w:rsid w:val="008A6E32"/>
    <w:rsid w:val="008A754F"/>
    <w:rsid w:val="008A75B1"/>
    <w:rsid w:val="008A76BE"/>
    <w:rsid w:val="008A79FB"/>
    <w:rsid w:val="008A7A8F"/>
    <w:rsid w:val="008A7EA9"/>
    <w:rsid w:val="008A7EF1"/>
    <w:rsid w:val="008A7FCA"/>
    <w:rsid w:val="008B0164"/>
    <w:rsid w:val="008B0541"/>
    <w:rsid w:val="008B0615"/>
    <w:rsid w:val="008B085E"/>
    <w:rsid w:val="008B08C0"/>
    <w:rsid w:val="008B0E95"/>
    <w:rsid w:val="008B1203"/>
    <w:rsid w:val="008B1424"/>
    <w:rsid w:val="008B142A"/>
    <w:rsid w:val="008B1617"/>
    <w:rsid w:val="008B1B8A"/>
    <w:rsid w:val="008B2275"/>
    <w:rsid w:val="008B2962"/>
    <w:rsid w:val="008B2B4E"/>
    <w:rsid w:val="008B2CEA"/>
    <w:rsid w:val="008B3062"/>
    <w:rsid w:val="008B393D"/>
    <w:rsid w:val="008B3B80"/>
    <w:rsid w:val="008B3B8A"/>
    <w:rsid w:val="008B3E2F"/>
    <w:rsid w:val="008B3EC3"/>
    <w:rsid w:val="008B3F8A"/>
    <w:rsid w:val="008B4041"/>
    <w:rsid w:val="008B42F0"/>
    <w:rsid w:val="008B4343"/>
    <w:rsid w:val="008B4570"/>
    <w:rsid w:val="008B4749"/>
    <w:rsid w:val="008B4D04"/>
    <w:rsid w:val="008B4DBA"/>
    <w:rsid w:val="008B5626"/>
    <w:rsid w:val="008B5BC9"/>
    <w:rsid w:val="008B5DE8"/>
    <w:rsid w:val="008B5F35"/>
    <w:rsid w:val="008B5FB4"/>
    <w:rsid w:val="008B602F"/>
    <w:rsid w:val="008B6089"/>
    <w:rsid w:val="008B6455"/>
    <w:rsid w:val="008B64BB"/>
    <w:rsid w:val="008B654F"/>
    <w:rsid w:val="008B683C"/>
    <w:rsid w:val="008B6855"/>
    <w:rsid w:val="008B6B1F"/>
    <w:rsid w:val="008B6CEB"/>
    <w:rsid w:val="008B6FD2"/>
    <w:rsid w:val="008B7408"/>
    <w:rsid w:val="008B74BD"/>
    <w:rsid w:val="008B78C4"/>
    <w:rsid w:val="008B7AEA"/>
    <w:rsid w:val="008B7B65"/>
    <w:rsid w:val="008C01B9"/>
    <w:rsid w:val="008C01BC"/>
    <w:rsid w:val="008C030A"/>
    <w:rsid w:val="008C04E8"/>
    <w:rsid w:val="008C05BC"/>
    <w:rsid w:val="008C05F8"/>
    <w:rsid w:val="008C0972"/>
    <w:rsid w:val="008C1328"/>
    <w:rsid w:val="008C1342"/>
    <w:rsid w:val="008C17BF"/>
    <w:rsid w:val="008C188D"/>
    <w:rsid w:val="008C18C3"/>
    <w:rsid w:val="008C21D7"/>
    <w:rsid w:val="008C26D4"/>
    <w:rsid w:val="008C278F"/>
    <w:rsid w:val="008C2B8D"/>
    <w:rsid w:val="008C2BF5"/>
    <w:rsid w:val="008C2C5A"/>
    <w:rsid w:val="008C2D52"/>
    <w:rsid w:val="008C2E29"/>
    <w:rsid w:val="008C2EDF"/>
    <w:rsid w:val="008C3074"/>
    <w:rsid w:val="008C358E"/>
    <w:rsid w:val="008C36C5"/>
    <w:rsid w:val="008C3DE7"/>
    <w:rsid w:val="008C3F52"/>
    <w:rsid w:val="008C4371"/>
    <w:rsid w:val="008C45B9"/>
    <w:rsid w:val="008C4638"/>
    <w:rsid w:val="008C4714"/>
    <w:rsid w:val="008C476C"/>
    <w:rsid w:val="008C4992"/>
    <w:rsid w:val="008C5142"/>
    <w:rsid w:val="008C52ED"/>
    <w:rsid w:val="008C56C5"/>
    <w:rsid w:val="008C5A7C"/>
    <w:rsid w:val="008C5AA6"/>
    <w:rsid w:val="008C5D3F"/>
    <w:rsid w:val="008C5F81"/>
    <w:rsid w:val="008C5F9E"/>
    <w:rsid w:val="008C603D"/>
    <w:rsid w:val="008C641E"/>
    <w:rsid w:val="008C669C"/>
    <w:rsid w:val="008C6AAA"/>
    <w:rsid w:val="008C6BF4"/>
    <w:rsid w:val="008C6CF6"/>
    <w:rsid w:val="008C6E79"/>
    <w:rsid w:val="008C6E9E"/>
    <w:rsid w:val="008C78AF"/>
    <w:rsid w:val="008C799C"/>
    <w:rsid w:val="008C7BAB"/>
    <w:rsid w:val="008C7ED5"/>
    <w:rsid w:val="008D063F"/>
    <w:rsid w:val="008D0CC6"/>
    <w:rsid w:val="008D0F25"/>
    <w:rsid w:val="008D1262"/>
    <w:rsid w:val="008D13A8"/>
    <w:rsid w:val="008D13AF"/>
    <w:rsid w:val="008D1501"/>
    <w:rsid w:val="008D17FE"/>
    <w:rsid w:val="008D182A"/>
    <w:rsid w:val="008D18D6"/>
    <w:rsid w:val="008D1A62"/>
    <w:rsid w:val="008D1F01"/>
    <w:rsid w:val="008D248B"/>
    <w:rsid w:val="008D26F5"/>
    <w:rsid w:val="008D2A8B"/>
    <w:rsid w:val="008D2BAF"/>
    <w:rsid w:val="008D2CE2"/>
    <w:rsid w:val="008D2CF7"/>
    <w:rsid w:val="008D33EA"/>
    <w:rsid w:val="008D34C2"/>
    <w:rsid w:val="008D35D5"/>
    <w:rsid w:val="008D36A3"/>
    <w:rsid w:val="008D3C74"/>
    <w:rsid w:val="008D4498"/>
    <w:rsid w:val="008D4603"/>
    <w:rsid w:val="008D46AE"/>
    <w:rsid w:val="008D4FF1"/>
    <w:rsid w:val="008D51E0"/>
    <w:rsid w:val="008D5392"/>
    <w:rsid w:val="008D57F6"/>
    <w:rsid w:val="008D582E"/>
    <w:rsid w:val="008D5847"/>
    <w:rsid w:val="008D5AA0"/>
    <w:rsid w:val="008D5C42"/>
    <w:rsid w:val="008D5D24"/>
    <w:rsid w:val="008D610F"/>
    <w:rsid w:val="008D6390"/>
    <w:rsid w:val="008D64F0"/>
    <w:rsid w:val="008D664F"/>
    <w:rsid w:val="008D669C"/>
    <w:rsid w:val="008D68C8"/>
    <w:rsid w:val="008D69D2"/>
    <w:rsid w:val="008D70BC"/>
    <w:rsid w:val="008D7126"/>
    <w:rsid w:val="008D7ADD"/>
    <w:rsid w:val="008D7CCE"/>
    <w:rsid w:val="008E017A"/>
    <w:rsid w:val="008E03D9"/>
    <w:rsid w:val="008E0566"/>
    <w:rsid w:val="008E05BE"/>
    <w:rsid w:val="008E06F2"/>
    <w:rsid w:val="008E08DB"/>
    <w:rsid w:val="008E1113"/>
    <w:rsid w:val="008E15B1"/>
    <w:rsid w:val="008E199D"/>
    <w:rsid w:val="008E1ECB"/>
    <w:rsid w:val="008E233C"/>
    <w:rsid w:val="008E264B"/>
    <w:rsid w:val="008E27F8"/>
    <w:rsid w:val="008E2842"/>
    <w:rsid w:val="008E2A8E"/>
    <w:rsid w:val="008E2C22"/>
    <w:rsid w:val="008E2E41"/>
    <w:rsid w:val="008E354C"/>
    <w:rsid w:val="008E36BC"/>
    <w:rsid w:val="008E4BB0"/>
    <w:rsid w:val="008E5187"/>
    <w:rsid w:val="008E518D"/>
    <w:rsid w:val="008E5275"/>
    <w:rsid w:val="008E5280"/>
    <w:rsid w:val="008E540B"/>
    <w:rsid w:val="008E5517"/>
    <w:rsid w:val="008E5540"/>
    <w:rsid w:val="008E59B5"/>
    <w:rsid w:val="008E5A8B"/>
    <w:rsid w:val="008E6656"/>
    <w:rsid w:val="008E6800"/>
    <w:rsid w:val="008E6842"/>
    <w:rsid w:val="008E6F14"/>
    <w:rsid w:val="008E6FBA"/>
    <w:rsid w:val="008E7385"/>
    <w:rsid w:val="008E7BB8"/>
    <w:rsid w:val="008E7F12"/>
    <w:rsid w:val="008F0004"/>
    <w:rsid w:val="008F032A"/>
    <w:rsid w:val="008F08C4"/>
    <w:rsid w:val="008F0D6C"/>
    <w:rsid w:val="008F0EE0"/>
    <w:rsid w:val="008F1748"/>
    <w:rsid w:val="008F17A6"/>
    <w:rsid w:val="008F1953"/>
    <w:rsid w:val="008F1AED"/>
    <w:rsid w:val="008F1B4D"/>
    <w:rsid w:val="008F1CF0"/>
    <w:rsid w:val="008F1E2C"/>
    <w:rsid w:val="008F1ED7"/>
    <w:rsid w:val="008F1F34"/>
    <w:rsid w:val="008F200A"/>
    <w:rsid w:val="008F209E"/>
    <w:rsid w:val="008F228A"/>
    <w:rsid w:val="008F2815"/>
    <w:rsid w:val="008F2C3E"/>
    <w:rsid w:val="008F2CCA"/>
    <w:rsid w:val="008F2E68"/>
    <w:rsid w:val="008F340D"/>
    <w:rsid w:val="008F3C58"/>
    <w:rsid w:val="008F4434"/>
    <w:rsid w:val="008F4867"/>
    <w:rsid w:val="008F49E7"/>
    <w:rsid w:val="008F5B33"/>
    <w:rsid w:val="008F5CF2"/>
    <w:rsid w:val="008F5FA0"/>
    <w:rsid w:val="008F6508"/>
    <w:rsid w:val="008F6862"/>
    <w:rsid w:val="008F69FB"/>
    <w:rsid w:val="008F6DD3"/>
    <w:rsid w:val="008F73F7"/>
    <w:rsid w:val="008F74DE"/>
    <w:rsid w:val="008F7511"/>
    <w:rsid w:val="008F7538"/>
    <w:rsid w:val="008F78DA"/>
    <w:rsid w:val="008F78E9"/>
    <w:rsid w:val="008F7957"/>
    <w:rsid w:val="008F7BC2"/>
    <w:rsid w:val="008F7C89"/>
    <w:rsid w:val="00900018"/>
    <w:rsid w:val="0090035D"/>
    <w:rsid w:val="0090061C"/>
    <w:rsid w:val="0090061D"/>
    <w:rsid w:val="009006BB"/>
    <w:rsid w:val="0090096D"/>
    <w:rsid w:val="00901254"/>
    <w:rsid w:val="0090147A"/>
    <w:rsid w:val="009017D4"/>
    <w:rsid w:val="0090189D"/>
    <w:rsid w:val="00901AEB"/>
    <w:rsid w:val="009024C4"/>
    <w:rsid w:val="009026BA"/>
    <w:rsid w:val="00902964"/>
    <w:rsid w:val="00902AFA"/>
    <w:rsid w:val="00902C8D"/>
    <w:rsid w:val="00902D51"/>
    <w:rsid w:val="00902EDF"/>
    <w:rsid w:val="0090316E"/>
    <w:rsid w:val="0090318B"/>
    <w:rsid w:val="00903564"/>
    <w:rsid w:val="00903927"/>
    <w:rsid w:val="00903C2D"/>
    <w:rsid w:val="00903D68"/>
    <w:rsid w:val="00904015"/>
    <w:rsid w:val="0090427F"/>
    <w:rsid w:val="0090477C"/>
    <w:rsid w:val="0090495F"/>
    <w:rsid w:val="00904A72"/>
    <w:rsid w:val="00904F91"/>
    <w:rsid w:val="00904FCC"/>
    <w:rsid w:val="00905000"/>
    <w:rsid w:val="009053F9"/>
    <w:rsid w:val="009056BA"/>
    <w:rsid w:val="009057B6"/>
    <w:rsid w:val="00905836"/>
    <w:rsid w:val="00905ACC"/>
    <w:rsid w:val="00905D88"/>
    <w:rsid w:val="0090612C"/>
    <w:rsid w:val="00906DD8"/>
    <w:rsid w:val="009074DF"/>
    <w:rsid w:val="009075E9"/>
    <w:rsid w:val="0090771D"/>
    <w:rsid w:val="009102B6"/>
    <w:rsid w:val="00910B0A"/>
    <w:rsid w:val="00910EDC"/>
    <w:rsid w:val="009115E5"/>
    <w:rsid w:val="009117D7"/>
    <w:rsid w:val="00911862"/>
    <w:rsid w:val="009118F5"/>
    <w:rsid w:val="00911A8C"/>
    <w:rsid w:val="00911C0D"/>
    <w:rsid w:val="00911F60"/>
    <w:rsid w:val="009120B7"/>
    <w:rsid w:val="009127B7"/>
    <w:rsid w:val="00912928"/>
    <w:rsid w:val="00912CC1"/>
    <w:rsid w:val="00913106"/>
    <w:rsid w:val="0091318C"/>
    <w:rsid w:val="0091326C"/>
    <w:rsid w:val="009139BC"/>
    <w:rsid w:val="00914034"/>
    <w:rsid w:val="009142CD"/>
    <w:rsid w:val="0091475B"/>
    <w:rsid w:val="0091479F"/>
    <w:rsid w:val="00914B99"/>
    <w:rsid w:val="00914C22"/>
    <w:rsid w:val="00914F9C"/>
    <w:rsid w:val="0091526B"/>
    <w:rsid w:val="00915302"/>
    <w:rsid w:val="00915362"/>
    <w:rsid w:val="009157D7"/>
    <w:rsid w:val="009159F9"/>
    <w:rsid w:val="009160FC"/>
    <w:rsid w:val="009160FE"/>
    <w:rsid w:val="00916333"/>
    <w:rsid w:val="00916425"/>
    <w:rsid w:val="00916524"/>
    <w:rsid w:val="0091686B"/>
    <w:rsid w:val="00916A43"/>
    <w:rsid w:val="00916F20"/>
    <w:rsid w:val="009171C8"/>
    <w:rsid w:val="00917213"/>
    <w:rsid w:val="009172E0"/>
    <w:rsid w:val="0091748E"/>
    <w:rsid w:val="009175E3"/>
    <w:rsid w:val="00917A63"/>
    <w:rsid w:val="00917AEC"/>
    <w:rsid w:val="00917C1F"/>
    <w:rsid w:val="00917E3C"/>
    <w:rsid w:val="00920050"/>
    <w:rsid w:val="009200BF"/>
    <w:rsid w:val="009207DF"/>
    <w:rsid w:val="00920CF1"/>
    <w:rsid w:val="009212BB"/>
    <w:rsid w:val="009218A4"/>
    <w:rsid w:val="00921A79"/>
    <w:rsid w:val="00922016"/>
    <w:rsid w:val="009220E1"/>
    <w:rsid w:val="00922162"/>
    <w:rsid w:val="00922672"/>
    <w:rsid w:val="00922823"/>
    <w:rsid w:val="00922A08"/>
    <w:rsid w:val="00923003"/>
    <w:rsid w:val="00923309"/>
    <w:rsid w:val="00923383"/>
    <w:rsid w:val="00923D22"/>
    <w:rsid w:val="00923F46"/>
    <w:rsid w:val="0092400F"/>
    <w:rsid w:val="0092533C"/>
    <w:rsid w:val="00925505"/>
    <w:rsid w:val="00925532"/>
    <w:rsid w:val="00925FD3"/>
    <w:rsid w:val="00926016"/>
    <w:rsid w:val="00926134"/>
    <w:rsid w:val="0092661C"/>
    <w:rsid w:val="0092662E"/>
    <w:rsid w:val="00926633"/>
    <w:rsid w:val="00926677"/>
    <w:rsid w:val="00926768"/>
    <w:rsid w:val="00926FAD"/>
    <w:rsid w:val="00927827"/>
    <w:rsid w:val="00927D6F"/>
    <w:rsid w:val="00927E0F"/>
    <w:rsid w:val="00930827"/>
    <w:rsid w:val="00930CC2"/>
    <w:rsid w:val="00931253"/>
    <w:rsid w:val="0093134B"/>
    <w:rsid w:val="00932391"/>
    <w:rsid w:val="009325A9"/>
    <w:rsid w:val="009325C3"/>
    <w:rsid w:val="00932B37"/>
    <w:rsid w:val="00932BAB"/>
    <w:rsid w:val="00932DD3"/>
    <w:rsid w:val="00933146"/>
    <w:rsid w:val="009331D5"/>
    <w:rsid w:val="00933216"/>
    <w:rsid w:val="00933667"/>
    <w:rsid w:val="00934347"/>
    <w:rsid w:val="0093452C"/>
    <w:rsid w:val="009354C4"/>
    <w:rsid w:val="00935782"/>
    <w:rsid w:val="00935842"/>
    <w:rsid w:val="00935ECD"/>
    <w:rsid w:val="00936449"/>
    <w:rsid w:val="00936473"/>
    <w:rsid w:val="00936722"/>
    <w:rsid w:val="00936987"/>
    <w:rsid w:val="0093701A"/>
    <w:rsid w:val="009372DA"/>
    <w:rsid w:val="009373C9"/>
    <w:rsid w:val="00937686"/>
    <w:rsid w:val="0093778D"/>
    <w:rsid w:val="00940317"/>
    <w:rsid w:val="00940792"/>
    <w:rsid w:val="00940BFE"/>
    <w:rsid w:val="009414C7"/>
    <w:rsid w:val="00941F20"/>
    <w:rsid w:val="009424AF"/>
    <w:rsid w:val="0094282F"/>
    <w:rsid w:val="00942942"/>
    <w:rsid w:val="00942A36"/>
    <w:rsid w:val="00942C11"/>
    <w:rsid w:val="00942D77"/>
    <w:rsid w:val="0094339D"/>
    <w:rsid w:val="00943496"/>
    <w:rsid w:val="009436B2"/>
    <w:rsid w:val="00943909"/>
    <w:rsid w:val="009439BD"/>
    <w:rsid w:val="00943F23"/>
    <w:rsid w:val="00943FC8"/>
    <w:rsid w:val="009441A8"/>
    <w:rsid w:val="0094423C"/>
    <w:rsid w:val="00944454"/>
    <w:rsid w:val="0094462E"/>
    <w:rsid w:val="00944867"/>
    <w:rsid w:val="009448BF"/>
    <w:rsid w:val="00944AF2"/>
    <w:rsid w:val="00944B69"/>
    <w:rsid w:val="0094575C"/>
    <w:rsid w:val="00945B3E"/>
    <w:rsid w:val="00945CBB"/>
    <w:rsid w:val="00945EFA"/>
    <w:rsid w:val="00945F36"/>
    <w:rsid w:val="009460AF"/>
    <w:rsid w:val="0094708B"/>
    <w:rsid w:val="0094781E"/>
    <w:rsid w:val="00947B47"/>
    <w:rsid w:val="00947CE6"/>
    <w:rsid w:val="00947EB4"/>
    <w:rsid w:val="009500B9"/>
    <w:rsid w:val="009504D1"/>
    <w:rsid w:val="00950C0A"/>
    <w:rsid w:val="009511B5"/>
    <w:rsid w:val="0095125D"/>
    <w:rsid w:val="00951476"/>
    <w:rsid w:val="00951E96"/>
    <w:rsid w:val="00951F9E"/>
    <w:rsid w:val="00952002"/>
    <w:rsid w:val="00952752"/>
    <w:rsid w:val="00952A1D"/>
    <w:rsid w:val="00952A49"/>
    <w:rsid w:val="00952A6A"/>
    <w:rsid w:val="00953315"/>
    <w:rsid w:val="009533AD"/>
    <w:rsid w:val="00953810"/>
    <w:rsid w:val="00953D82"/>
    <w:rsid w:val="00953DAF"/>
    <w:rsid w:val="00953EB3"/>
    <w:rsid w:val="0095408E"/>
    <w:rsid w:val="009547D0"/>
    <w:rsid w:val="00954AB7"/>
    <w:rsid w:val="00954B4C"/>
    <w:rsid w:val="00954DCA"/>
    <w:rsid w:val="00954DCF"/>
    <w:rsid w:val="00954E24"/>
    <w:rsid w:val="00954E49"/>
    <w:rsid w:val="009552D1"/>
    <w:rsid w:val="00955313"/>
    <w:rsid w:val="0095568F"/>
    <w:rsid w:val="0095586E"/>
    <w:rsid w:val="009558E4"/>
    <w:rsid w:val="0095605C"/>
    <w:rsid w:val="0095605F"/>
    <w:rsid w:val="0095608F"/>
    <w:rsid w:val="00956122"/>
    <w:rsid w:val="00956392"/>
    <w:rsid w:val="009566A9"/>
    <w:rsid w:val="00956CBF"/>
    <w:rsid w:val="0095717C"/>
    <w:rsid w:val="0095734A"/>
    <w:rsid w:val="009574CE"/>
    <w:rsid w:val="009575C0"/>
    <w:rsid w:val="0095773D"/>
    <w:rsid w:val="00957876"/>
    <w:rsid w:val="009578B1"/>
    <w:rsid w:val="009578D8"/>
    <w:rsid w:val="00960729"/>
    <w:rsid w:val="00960C22"/>
    <w:rsid w:val="00960F9C"/>
    <w:rsid w:val="009611C4"/>
    <w:rsid w:val="0096138B"/>
    <w:rsid w:val="009613A8"/>
    <w:rsid w:val="0096163E"/>
    <w:rsid w:val="00961720"/>
    <w:rsid w:val="009619CD"/>
    <w:rsid w:val="009619F5"/>
    <w:rsid w:val="00961D41"/>
    <w:rsid w:val="00961E2C"/>
    <w:rsid w:val="00962049"/>
    <w:rsid w:val="00962150"/>
    <w:rsid w:val="009621F3"/>
    <w:rsid w:val="00962464"/>
    <w:rsid w:val="00962F5B"/>
    <w:rsid w:val="00962F60"/>
    <w:rsid w:val="009630F8"/>
    <w:rsid w:val="00963620"/>
    <w:rsid w:val="0096397B"/>
    <w:rsid w:val="00963DD4"/>
    <w:rsid w:val="009641CB"/>
    <w:rsid w:val="00964E68"/>
    <w:rsid w:val="00965138"/>
    <w:rsid w:val="0096523C"/>
    <w:rsid w:val="00965535"/>
    <w:rsid w:val="009657DF"/>
    <w:rsid w:val="00965817"/>
    <w:rsid w:val="00965903"/>
    <w:rsid w:val="00965950"/>
    <w:rsid w:val="00965C14"/>
    <w:rsid w:val="00965D4C"/>
    <w:rsid w:val="00965E78"/>
    <w:rsid w:val="009664A4"/>
    <w:rsid w:val="009665A2"/>
    <w:rsid w:val="00966B0D"/>
    <w:rsid w:val="00966D0B"/>
    <w:rsid w:val="00966F50"/>
    <w:rsid w:val="00967051"/>
    <w:rsid w:val="009670AF"/>
    <w:rsid w:val="0096726F"/>
    <w:rsid w:val="00967319"/>
    <w:rsid w:val="0096788A"/>
    <w:rsid w:val="00967AF7"/>
    <w:rsid w:val="00967B33"/>
    <w:rsid w:val="00967B51"/>
    <w:rsid w:val="00967DBC"/>
    <w:rsid w:val="00967E8E"/>
    <w:rsid w:val="00967F48"/>
    <w:rsid w:val="00967F49"/>
    <w:rsid w:val="00970144"/>
    <w:rsid w:val="009702C1"/>
    <w:rsid w:val="0097038B"/>
    <w:rsid w:val="009705EB"/>
    <w:rsid w:val="0097091D"/>
    <w:rsid w:val="00970B8C"/>
    <w:rsid w:val="00970F01"/>
    <w:rsid w:val="00970FF4"/>
    <w:rsid w:val="00971AC5"/>
    <w:rsid w:val="009728F7"/>
    <w:rsid w:val="009729A5"/>
    <w:rsid w:val="00972D54"/>
    <w:rsid w:val="00972E19"/>
    <w:rsid w:val="00973539"/>
    <w:rsid w:val="00973668"/>
    <w:rsid w:val="00973C54"/>
    <w:rsid w:val="00973DA3"/>
    <w:rsid w:val="00973F42"/>
    <w:rsid w:val="00974173"/>
    <w:rsid w:val="009741BC"/>
    <w:rsid w:val="00974290"/>
    <w:rsid w:val="00974639"/>
    <w:rsid w:val="0097480D"/>
    <w:rsid w:val="00974E19"/>
    <w:rsid w:val="0097579F"/>
    <w:rsid w:val="00975A99"/>
    <w:rsid w:val="00975DD7"/>
    <w:rsid w:val="00976257"/>
    <w:rsid w:val="009762E7"/>
    <w:rsid w:val="00976799"/>
    <w:rsid w:val="009769F4"/>
    <w:rsid w:val="00976C4E"/>
    <w:rsid w:val="00976E38"/>
    <w:rsid w:val="009770F5"/>
    <w:rsid w:val="00977396"/>
    <w:rsid w:val="00977583"/>
    <w:rsid w:val="00977AFD"/>
    <w:rsid w:val="00977B76"/>
    <w:rsid w:val="00980097"/>
    <w:rsid w:val="00980313"/>
    <w:rsid w:val="009806B8"/>
    <w:rsid w:val="00980755"/>
    <w:rsid w:val="00980B22"/>
    <w:rsid w:val="00980CE6"/>
    <w:rsid w:val="00981098"/>
    <w:rsid w:val="009810AA"/>
    <w:rsid w:val="009810FD"/>
    <w:rsid w:val="009814BC"/>
    <w:rsid w:val="0098155B"/>
    <w:rsid w:val="009815A4"/>
    <w:rsid w:val="009816F1"/>
    <w:rsid w:val="0098189C"/>
    <w:rsid w:val="00981C55"/>
    <w:rsid w:val="00981C64"/>
    <w:rsid w:val="00981D0C"/>
    <w:rsid w:val="00981D4B"/>
    <w:rsid w:val="00981D52"/>
    <w:rsid w:val="00981EDA"/>
    <w:rsid w:val="00981F1B"/>
    <w:rsid w:val="00981F9B"/>
    <w:rsid w:val="0098252F"/>
    <w:rsid w:val="00982877"/>
    <w:rsid w:val="009828D9"/>
    <w:rsid w:val="009829AD"/>
    <w:rsid w:val="0098309A"/>
    <w:rsid w:val="00983AF4"/>
    <w:rsid w:val="00984302"/>
    <w:rsid w:val="009845F4"/>
    <w:rsid w:val="00984668"/>
    <w:rsid w:val="0098488C"/>
    <w:rsid w:val="009848C5"/>
    <w:rsid w:val="00984E59"/>
    <w:rsid w:val="00984E66"/>
    <w:rsid w:val="00984FB6"/>
    <w:rsid w:val="009854F9"/>
    <w:rsid w:val="00985532"/>
    <w:rsid w:val="00985604"/>
    <w:rsid w:val="00985F15"/>
    <w:rsid w:val="009863A0"/>
    <w:rsid w:val="0098652B"/>
    <w:rsid w:val="00986A42"/>
    <w:rsid w:val="0098761C"/>
    <w:rsid w:val="00987822"/>
    <w:rsid w:val="00987844"/>
    <w:rsid w:val="0098787F"/>
    <w:rsid w:val="00987A2B"/>
    <w:rsid w:val="00987DDF"/>
    <w:rsid w:val="00987E3B"/>
    <w:rsid w:val="00987EB0"/>
    <w:rsid w:val="00987F8A"/>
    <w:rsid w:val="009909C8"/>
    <w:rsid w:val="00990CA0"/>
    <w:rsid w:val="00990EDB"/>
    <w:rsid w:val="009919DF"/>
    <w:rsid w:val="00991A9C"/>
    <w:rsid w:val="009923BE"/>
    <w:rsid w:val="009927D5"/>
    <w:rsid w:val="00992CA9"/>
    <w:rsid w:val="00992DFB"/>
    <w:rsid w:val="00992F1A"/>
    <w:rsid w:val="00993056"/>
    <w:rsid w:val="009932BB"/>
    <w:rsid w:val="0099367F"/>
    <w:rsid w:val="009936AE"/>
    <w:rsid w:val="009938F3"/>
    <w:rsid w:val="00993D18"/>
    <w:rsid w:val="009942D7"/>
    <w:rsid w:val="00994326"/>
    <w:rsid w:val="009945CA"/>
    <w:rsid w:val="00994EBB"/>
    <w:rsid w:val="00994F98"/>
    <w:rsid w:val="00995457"/>
    <w:rsid w:val="00995720"/>
    <w:rsid w:val="00995A5C"/>
    <w:rsid w:val="00995EE6"/>
    <w:rsid w:val="00996000"/>
    <w:rsid w:val="009961F6"/>
    <w:rsid w:val="00996271"/>
    <w:rsid w:val="00996310"/>
    <w:rsid w:val="00996C36"/>
    <w:rsid w:val="00996D6D"/>
    <w:rsid w:val="00996ED0"/>
    <w:rsid w:val="0099718C"/>
    <w:rsid w:val="009979EF"/>
    <w:rsid w:val="00997ACA"/>
    <w:rsid w:val="00997B5C"/>
    <w:rsid w:val="00997EF4"/>
    <w:rsid w:val="009A0085"/>
    <w:rsid w:val="009A05A2"/>
    <w:rsid w:val="009A0AA3"/>
    <w:rsid w:val="009A0B49"/>
    <w:rsid w:val="009A130F"/>
    <w:rsid w:val="009A168E"/>
    <w:rsid w:val="009A2305"/>
    <w:rsid w:val="009A2819"/>
    <w:rsid w:val="009A2D3A"/>
    <w:rsid w:val="009A2DFF"/>
    <w:rsid w:val="009A3052"/>
    <w:rsid w:val="009A32E6"/>
    <w:rsid w:val="009A337D"/>
    <w:rsid w:val="009A377D"/>
    <w:rsid w:val="009A37F8"/>
    <w:rsid w:val="009A3B02"/>
    <w:rsid w:val="009A3B2D"/>
    <w:rsid w:val="009A3CEC"/>
    <w:rsid w:val="009A3D56"/>
    <w:rsid w:val="009A4042"/>
    <w:rsid w:val="009A41F8"/>
    <w:rsid w:val="009A45F7"/>
    <w:rsid w:val="009A4602"/>
    <w:rsid w:val="009A468E"/>
    <w:rsid w:val="009A481D"/>
    <w:rsid w:val="009A4D13"/>
    <w:rsid w:val="009A4E9A"/>
    <w:rsid w:val="009A5699"/>
    <w:rsid w:val="009A587A"/>
    <w:rsid w:val="009A5B7C"/>
    <w:rsid w:val="009A6088"/>
    <w:rsid w:val="009A6162"/>
    <w:rsid w:val="009A61E9"/>
    <w:rsid w:val="009A652D"/>
    <w:rsid w:val="009A671F"/>
    <w:rsid w:val="009A697A"/>
    <w:rsid w:val="009A6A8C"/>
    <w:rsid w:val="009A6ADC"/>
    <w:rsid w:val="009A6CCA"/>
    <w:rsid w:val="009A6F42"/>
    <w:rsid w:val="009A743A"/>
    <w:rsid w:val="009A76ED"/>
    <w:rsid w:val="009A7B88"/>
    <w:rsid w:val="009A7DA4"/>
    <w:rsid w:val="009B0109"/>
    <w:rsid w:val="009B0497"/>
    <w:rsid w:val="009B05B9"/>
    <w:rsid w:val="009B0A21"/>
    <w:rsid w:val="009B0A29"/>
    <w:rsid w:val="009B0CF9"/>
    <w:rsid w:val="009B10A4"/>
    <w:rsid w:val="009B1AEB"/>
    <w:rsid w:val="009B1B01"/>
    <w:rsid w:val="009B1D5F"/>
    <w:rsid w:val="009B254E"/>
    <w:rsid w:val="009B27BC"/>
    <w:rsid w:val="009B2AC4"/>
    <w:rsid w:val="009B2BF4"/>
    <w:rsid w:val="009B2CC4"/>
    <w:rsid w:val="009B319C"/>
    <w:rsid w:val="009B31FD"/>
    <w:rsid w:val="009B328E"/>
    <w:rsid w:val="009B3586"/>
    <w:rsid w:val="009B366D"/>
    <w:rsid w:val="009B37DA"/>
    <w:rsid w:val="009B395A"/>
    <w:rsid w:val="009B40C8"/>
    <w:rsid w:val="009B4353"/>
    <w:rsid w:val="009B4718"/>
    <w:rsid w:val="009B4722"/>
    <w:rsid w:val="009B4A16"/>
    <w:rsid w:val="009B4CEE"/>
    <w:rsid w:val="009B5202"/>
    <w:rsid w:val="009B55B0"/>
    <w:rsid w:val="009B5D23"/>
    <w:rsid w:val="009B5DD7"/>
    <w:rsid w:val="009B6511"/>
    <w:rsid w:val="009B6DAA"/>
    <w:rsid w:val="009B6E6D"/>
    <w:rsid w:val="009B6E91"/>
    <w:rsid w:val="009B6F26"/>
    <w:rsid w:val="009B74F6"/>
    <w:rsid w:val="009B759B"/>
    <w:rsid w:val="009B7636"/>
    <w:rsid w:val="009B76B1"/>
    <w:rsid w:val="009B7747"/>
    <w:rsid w:val="009B7966"/>
    <w:rsid w:val="009B7980"/>
    <w:rsid w:val="009B7999"/>
    <w:rsid w:val="009B7FDF"/>
    <w:rsid w:val="009C0347"/>
    <w:rsid w:val="009C0570"/>
    <w:rsid w:val="009C05E0"/>
    <w:rsid w:val="009C063F"/>
    <w:rsid w:val="009C06B9"/>
    <w:rsid w:val="009C0B90"/>
    <w:rsid w:val="009C0C5B"/>
    <w:rsid w:val="009C0D3C"/>
    <w:rsid w:val="009C0DDD"/>
    <w:rsid w:val="009C13DB"/>
    <w:rsid w:val="009C19C9"/>
    <w:rsid w:val="009C19EC"/>
    <w:rsid w:val="009C1B9F"/>
    <w:rsid w:val="009C1F07"/>
    <w:rsid w:val="009C215C"/>
    <w:rsid w:val="009C257B"/>
    <w:rsid w:val="009C277D"/>
    <w:rsid w:val="009C27F1"/>
    <w:rsid w:val="009C2AAD"/>
    <w:rsid w:val="009C30B1"/>
    <w:rsid w:val="009C31A3"/>
    <w:rsid w:val="009C31B5"/>
    <w:rsid w:val="009C31DC"/>
    <w:rsid w:val="009C3230"/>
    <w:rsid w:val="009C341C"/>
    <w:rsid w:val="009C3910"/>
    <w:rsid w:val="009C3AFF"/>
    <w:rsid w:val="009C3D32"/>
    <w:rsid w:val="009C3E58"/>
    <w:rsid w:val="009C48BD"/>
    <w:rsid w:val="009C4925"/>
    <w:rsid w:val="009C4E4A"/>
    <w:rsid w:val="009C4F36"/>
    <w:rsid w:val="009C5709"/>
    <w:rsid w:val="009C586A"/>
    <w:rsid w:val="009C5981"/>
    <w:rsid w:val="009C59D3"/>
    <w:rsid w:val="009C5ACE"/>
    <w:rsid w:val="009C5B2A"/>
    <w:rsid w:val="009C5E6E"/>
    <w:rsid w:val="009C5EDC"/>
    <w:rsid w:val="009C63BE"/>
    <w:rsid w:val="009C6586"/>
    <w:rsid w:val="009C6707"/>
    <w:rsid w:val="009C697D"/>
    <w:rsid w:val="009C6A95"/>
    <w:rsid w:val="009C6AA5"/>
    <w:rsid w:val="009C6B99"/>
    <w:rsid w:val="009C6DD2"/>
    <w:rsid w:val="009C7253"/>
    <w:rsid w:val="009C7302"/>
    <w:rsid w:val="009C741D"/>
    <w:rsid w:val="009C7636"/>
    <w:rsid w:val="009C7640"/>
    <w:rsid w:val="009C7A30"/>
    <w:rsid w:val="009C7E3D"/>
    <w:rsid w:val="009D0178"/>
    <w:rsid w:val="009D0D7B"/>
    <w:rsid w:val="009D0FD9"/>
    <w:rsid w:val="009D119E"/>
    <w:rsid w:val="009D1269"/>
    <w:rsid w:val="009D133A"/>
    <w:rsid w:val="009D161E"/>
    <w:rsid w:val="009D1650"/>
    <w:rsid w:val="009D16AD"/>
    <w:rsid w:val="009D1B12"/>
    <w:rsid w:val="009D1FBD"/>
    <w:rsid w:val="009D1FE1"/>
    <w:rsid w:val="009D2079"/>
    <w:rsid w:val="009D2292"/>
    <w:rsid w:val="009D22E3"/>
    <w:rsid w:val="009D2806"/>
    <w:rsid w:val="009D2B0B"/>
    <w:rsid w:val="009D2B7C"/>
    <w:rsid w:val="009D2CFD"/>
    <w:rsid w:val="009D2E94"/>
    <w:rsid w:val="009D2F4B"/>
    <w:rsid w:val="009D3434"/>
    <w:rsid w:val="009D35C9"/>
    <w:rsid w:val="009D39B9"/>
    <w:rsid w:val="009D3C3C"/>
    <w:rsid w:val="009D3CB3"/>
    <w:rsid w:val="009D3E15"/>
    <w:rsid w:val="009D3FC2"/>
    <w:rsid w:val="009D4032"/>
    <w:rsid w:val="009D42E2"/>
    <w:rsid w:val="009D4C38"/>
    <w:rsid w:val="009D5070"/>
    <w:rsid w:val="009D5510"/>
    <w:rsid w:val="009D559E"/>
    <w:rsid w:val="009D569E"/>
    <w:rsid w:val="009D58E3"/>
    <w:rsid w:val="009D5962"/>
    <w:rsid w:val="009D624F"/>
    <w:rsid w:val="009D62C2"/>
    <w:rsid w:val="009D6359"/>
    <w:rsid w:val="009D6D1A"/>
    <w:rsid w:val="009D6E62"/>
    <w:rsid w:val="009D7222"/>
    <w:rsid w:val="009D7470"/>
    <w:rsid w:val="009D757D"/>
    <w:rsid w:val="009D7AE9"/>
    <w:rsid w:val="009D7F17"/>
    <w:rsid w:val="009E00EE"/>
    <w:rsid w:val="009E0358"/>
    <w:rsid w:val="009E04AC"/>
    <w:rsid w:val="009E0507"/>
    <w:rsid w:val="009E10C7"/>
    <w:rsid w:val="009E14F0"/>
    <w:rsid w:val="009E1699"/>
    <w:rsid w:val="009E2107"/>
    <w:rsid w:val="009E2466"/>
    <w:rsid w:val="009E253E"/>
    <w:rsid w:val="009E2561"/>
    <w:rsid w:val="009E2691"/>
    <w:rsid w:val="009E29F0"/>
    <w:rsid w:val="009E2AF9"/>
    <w:rsid w:val="009E2F27"/>
    <w:rsid w:val="009E3350"/>
    <w:rsid w:val="009E3557"/>
    <w:rsid w:val="009E3682"/>
    <w:rsid w:val="009E3A1B"/>
    <w:rsid w:val="009E3C06"/>
    <w:rsid w:val="009E3D6D"/>
    <w:rsid w:val="009E4138"/>
    <w:rsid w:val="009E4197"/>
    <w:rsid w:val="009E4484"/>
    <w:rsid w:val="009E461A"/>
    <w:rsid w:val="009E488D"/>
    <w:rsid w:val="009E4C74"/>
    <w:rsid w:val="009E512C"/>
    <w:rsid w:val="009E51B3"/>
    <w:rsid w:val="009E52F2"/>
    <w:rsid w:val="009E5381"/>
    <w:rsid w:val="009E53DE"/>
    <w:rsid w:val="009E572A"/>
    <w:rsid w:val="009E58B6"/>
    <w:rsid w:val="009E5A95"/>
    <w:rsid w:val="009E5D2F"/>
    <w:rsid w:val="009E5DEC"/>
    <w:rsid w:val="009E5F26"/>
    <w:rsid w:val="009E6000"/>
    <w:rsid w:val="009E606A"/>
    <w:rsid w:val="009E66C5"/>
    <w:rsid w:val="009E6AD9"/>
    <w:rsid w:val="009E7276"/>
    <w:rsid w:val="009E730A"/>
    <w:rsid w:val="009E73C3"/>
    <w:rsid w:val="009E7D31"/>
    <w:rsid w:val="009E7D89"/>
    <w:rsid w:val="009F0030"/>
    <w:rsid w:val="009F01CF"/>
    <w:rsid w:val="009F04C2"/>
    <w:rsid w:val="009F05CB"/>
    <w:rsid w:val="009F066B"/>
    <w:rsid w:val="009F0E7C"/>
    <w:rsid w:val="009F0F94"/>
    <w:rsid w:val="009F11CC"/>
    <w:rsid w:val="009F125B"/>
    <w:rsid w:val="009F126F"/>
    <w:rsid w:val="009F132E"/>
    <w:rsid w:val="009F194B"/>
    <w:rsid w:val="009F1997"/>
    <w:rsid w:val="009F1C45"/>
    <w:rsid w:val="009F1F9B"/>
    <w:rsid w:val="009F242B"/>
    <w:rsid w:val="009F27D7"/>
    <w:rsid w:val="009F28D6"/>
    <w:rsid w:val="009F2941"/>
    <w:rsid w:val="009F2BAA"/>
    <w:rsid w:val="009F3278"/>
    <w:rsid w:val="009F340C"/>
    <w:rsid w:val="009F366B"/>
    <w:rsid w:val="009F381B"/>
    <w:rsid w:val="009F40DE"/>
    <w:rsid w:val="009F4102"/>
    <w:rsid w:val="009F457C"/>
    <w:rsid w:val="009F45F3"/>
    <w:rsid w:val="009F4B64"/>
    <w:rsid w:val="009F4E41"/>
    <w:rsid w:val="009F4E74"/>
    <w:rsid w:val="009F509D"/>
    <w:rsid w:val="009F5113"/>
    <w:rsid w:val="009F54CC"/>
    <w:rsid w:val="009F5AC8"/>
    <w:rsid w:val="009F5B78"/>
    <w:rsid w:val="009F5CCD"/>
    <w:rsid w:val="009F5D5F"/>
    <w:rsid w:val="009F5DC2"/>
    <w:rsid w:val="009F5ED4"/>
    <w:rsid w:val="009F6656"/>
    <w:rsid w:val="009F69C8"/>
    <w:rsid w:val="009F69ED"/>
    <w:rsid w:val="009F6FDA"/>
    <w:rsid w:val="009F7174"/>
    <w:rsid w:val="009F752B"/>
    <w:rsid w:val="009F794C"/>
    <w:rsid w:val="009F7BFD"/>
    <w:rsid w:val="009F7CFA"/>
    <w:rsid w:val="009F7EB2"/>
    <w:rsid w:val="00A0013D"/>
    <w:rsid w:val="00A00564"/>
    <w:rsid w:val="00A00742"/>
    <w:rsid w:val="00A00771"/>
    <w:rsid w:val="00A0078E"/>
    <w:rsid w:val="00A009DD"/>
    <w:rsid w:val="00A00F07"/>
    <w:rsid w:val="00A010F5"/>
    <w:rsid w:val="00A01737"/>
    <w:rsid w:val="00A01B94"/>
    <w:rsid w:val="00A01C82"/>
    <w:rsid w:val="00A02019"/>
    <w:rsid w:val="00A02915"/>
    <w:rsid w:val="00A02B4D"/>
    <w:rsid w:val="00A02D67"/>
    <w:rsid w:val="00A0346F"/>
    <w:rsid w:val="00A0353E"/>
    <w:rsid w:val="00A03718"/>
    <w:rsid w:val="00A03A14"/>
    <w:rsid w:val="00A03A1D"/>
    <w:rsid w:val="00A03A84"/>
    <w:rsid w:val="00A03D4C"/>
    <w:rsid w:val="00A03EC7"/>
    <w:rsid w:val="00A03F46"/>
    <w:rsid w:val="00A03FF9"/>
    <w:rsid w:val="00A0480E"/>
    <w:rsid w:val="00A048B3"/>
    <w:rsid w:val="00A04C10"/>
    <w:rsid w:val="00A04CAC"/>
    <w:rsid w:val="00A04CB8"/>
    <w:rsid w:val="00A04CD1"/>
    <w:rsid w:val="00A04D6D"/>
    <w:rsid w:val="00A04F29"/>
    <w:rsid w:val="00A05141"/>
    <w:rsid w:val="00A0570B"/>
    <w:rsid w:val="00A0573E"/>
    <w:rsid w:val="00A0574A"/>
    <w:rsid w:val="00A0585D"/>
    <w:rsid w:val="00A05BC1"/>
    <w:rsid w:val="00A05C40"/>
    <w:rsid w:val="00A05C7F"/>
    <w:rsid w:val="00A05DA2"/>
    <w:rsid w:val="00A05E2D"/>
    <w:rsid w:val="00A06051"/>
    <w:rsid w:val="00A0664D"/>
    <w:rsid w:val="00A066A0"/>
    <w:rsid w:val="00A0670A"/>
    <w:rsid w:val="00A068E8"/>
    <w:rsid w:val="00A06C80"/>
    <w:rsid w:val="00A06D7D"/>
    <w:rsid w:val="00A06DEF"/>
    <w:rsid w:val="00A0761F"/>
    <w:rsid w:val="00A07943"/>
    <w:rsid w:val="00A07B86"/>
    <w:rsid w:val="00A07F80"/>
    <w:rsid w:val="00A07FA4"/>
    <w:rsid w:val="00A10301"/>
    <w:rsid w:val="00A10714"/>
    <w:rsid w:val="00A10812"/>
    <w:rsid w:val="00A10A27"/>
    <w:rsid w:val="00A10E4D"/>
    <w:rsid w:val="00A10E4F"/>
    <w:rsid w:val="00A10EAE"/>
    <w:rsid w:val="00A10FB9"/>
    <w:rsid w:val="00A11914"/>
    <w:rsid w:val="00A11B55"/>
    <w:rsid w:val="00A11C19"/>
    <w:rsid w:val="00A11EC9"/>
    <w:rsid w:val="00A11EF8"/>
    <w:rsid w:val="00A12049"/>
    <w:rsid w:val="00A12417"/>
    <w:rsid w:val="00A12A0A"/>
    <w:rsid w:val="00A12B55"/>
    <w:rsid w:val="00A12C4C"/>
    <w:rsid w:val="00A12EE3"/>
    <w:rsid w:val="00A13083"/>
    <w:rsid w:val="00A130D3"/>
    <w:rsid w:val="00A13177"/>
    <w:rsid w:val="00A13283"/>
    <w:rsid w:val="00A13296"/>
    <w:rsid w:val="00A1333A"/>
    <w:rsid w:val="00A13665"/>
    <w:rsid w:val="00A13886"/>
    <w:rsid w:val="00A13CE1"/>
    <w:rsid w:val="00A14010"/>
    <w:rsid w:val="00A14141"/>
    <w:rsid w:val="00A141E1"/>
    <w:rsid w:val="00A1435D"/>
    <w:rsid w:val="00A1443B"/>
    <w:rsid w:val="00A14574"/>
    <w:rsid w:val="00A148DB"/>
    <w:rsid w:val="00A14D51"/>
    <w:rsid w:val="00A14EF6"/>
    <w:rsid w:val="00A14FE4"/>
    <w:rsid w:val="00A15079"/>
    <w:rsid w:val="00A15AB7"/>
    <w:rsid w:val="00A15C20"/>
    <w:rsid w:val="00A16088"/>
    <w:rsid w:val="00A162D9"/>
    <w:rsid w:val="00A1652D"/>
    <w:rsid w:val="00A165F1"/>
    <w:rsid w:val="00A16683"/>
    <w:rsid w:val="00A16942"/>
    <w:rsid w:val="00A16B26"/>
    <w:rsid w:val="00A16B82"/>
    <w:rsid w:val="00A170B6"/>
    <w:rsid w:val="00A1755E"/>
    <w:rsid w:val="00A17848"/>
    <w:rsid w:val="00A17B27"/>
    <w:rsid w:val="00A17C51"/>
    <w:rsid w:val="00A20019"/>
    <w:rsid w:val="00A200C6"/>
    <w:rsid w:val="00A20281"/>
    <w:rsid w:val="00A204FD"/>
    <w:rsid w:val="00A2078E"/>
    <w:rsid w:val="00A20DCA"/>
    <w:rsid w:val="00A20F37"/>
    <w:rsid w:val="00A2145B"/>
    <w:rsid w:val="00A21675"/>
    <w:rsid w:val="00A21BCE"/>
    <w:rsid w:val="00A21F1C"/>
    <w:rsid w:val="00A2222D"/>
    <w:rsid w:val="00A22B52"/>
    <w:rsid w:val="00A22B92"/>
    <w:rsid w:val="00A22CB8"/>
    <w:rsid w:val="00A22D11"/>
    <w:rsid w:val="00A22FA5"/>
    <w:rsid w:val="00A23365"/>
    <w:rsid w:val="00A23A1D"/>
    <w:rsid w:val="00A23A87"/>
    <w:rsid w:val="00A240CA"/>
    <w:rsid w:val="00A2411F"/>
    <w:rsid w:val="00A2427C"/>
    <w:rsid w:val="00A242EC"/>
    <w:rsid w:val="00A2432D"/>
    <w:rsid w:val="00A24624"/>
    <w:rsid w:val="00A246DF"/>
    <w:rsid w:val="00A248C8"/>
    <w:rsid w:val="00A24B33"/>
    <w:rsid w:val="00A24FEA"/>
    <w:rsid w:val="00A25223"/>
    <w:rsid w:val="00A25587"/>
    <w:rsid w:val="00A259D1"/>
    <w:rsid w:val="00A25BDA"/>
    <w:rsid w:val="00A25C2A"/>
    <w:rsid w:val="00A25FEB"/>
    <w:rsid w:val="00A2607E"/>
    <w:rsid w:val="00A2608A"/>
    <w:rsid w:val="00A26848"/>
    <w:rsid w:val="00A26A2F"/>
    <w:rsid w:val="00A26A76"/>
    <w:rsid w:val="00A26C48"/>
    <w:rsid w:val="00A26E6A"/>
    <w:rsid w:val="00A270FA"/>
    <w:rsid w:val="00A271B2"/>
    <w:rsid w:val="00A27E03"/>
    <w:rsid w:val="00A30242"/>
    <w:rsid w:val="00A30299"/>
    <w:rsid w:val="00A306B5"/>
    <w:rsid w:val="00A30AA3"/>
    <w:rsid w:val="00A30C64"/>
    <w:rsid w:val="00A30E89"/>
    <w:rsid w:val="00A313AD"/>
    <w:rsid w:val="00A316CF"/>
    <w:rsid w:val="00A3185F"/>
    <w:rsid w:val="00A318C3"/>
    <w:rsid w:val="00A31951"/>
    <w:rsid w:val="00A31AD1"/>
    <w:rsid w:val="00A31AF7"/>
    <w:rsid w:val="00A321BD"/>
    <w:rsid w:val="00A32359"/>
    <w:rsid w:val="00A32625"/>
    <w:rsid w:val="00A327E3"/>
    <w:rsid w:val="00A32839"/>
    <w:rsid w:val="00A328DA"/>
    <w:rsid w:val="00A32990"/>
    <w:rsid w:val="00A32BA4"/>
    <w:rsid w:val="00A32C48"/>
    <w:rsid w:val="00A33120"/>
    <w:rsid w:val="00A33491"/>
    <w:rsid w:val="00A33696"/>
    <w:rsid w:val="00A33906"/>
    <w:rsid w:val="00A3391E"/>
    <w:rsid w:val="00A33F4D"/>
    <w:rsid w:val="00A3407D"/>
    <w:rsid w:val="00A3409A"/>
    <w:rsid w:val="00A34180"/>
    <w:rsid w:val="00A341EC"/>
    <w:rsid w:val="00A346E5"/>
    <w:rsid w:val="00A348FF"/>
    <w:rsid w:val="00A349CF"/>
    <w:rsid w:val="00A34B9B"/>
    <w:rsid w:val="00A35191"/>
    <w:rsid w:val="00A3521F"/>
    <w:rsid w:val="00A3576B"/>
    <w:rsid w:val="00A357FC"/>
    <w:rsid w:val="00A35C6C"/>
    <w:rsid w:val="00A3656C"/>
    <w:rsid w:val="00A36625"/>
    <w:rsid w:val="00A36723"/>
    <w:rsid w:val="00A36E90"/>
    <w:rsid w:val="00A36FCD"/>
    <w:rsid w:val="00A37001"/>
    <w:rsid w:val="00A373FD"/>
    <w:rsid w:val="00A376C5"/>
    <w:rsid w:val="00A37B68"/>
    <w:rsid w:val="00A40262"/>
    <w:rsid w:val="00A40958"/>
    <w:rsid w:val="00A40FCC"/>
    <w:rsid w:val="00A410D9"/>
    <w:rsid w:val="00A4172C"/>
    <w:rsid w:val="00A418D8"/>
    <w:rsid w:val="00A41A00"/>
    <w:rsid w:val="00A41EAB"/>
    <w:rsid w:val="00A41F3C"/>
    <w:rsid w:val="00A426B6"/>
    <w:rsid w:val="00A427E0"/>
    <w:rsid w:val="00A42B5B"/>
    <w:rsid w:val="00A42C43"/>
    <w:rsid w:val="00A43251"/>
    <w:rsid w:val="00A43C91"/>
    <w:rsid w:val="00A44560"/>
    <w:rsid w:val="00A44867"/>
    <w:rsid w:val="00A448C4"/>
    <w:rsid w:val="00A44BB3"/>
    <w:rsid w:val="00A44CD7"/>
    <w:rsid w:val="00A44FF7"/>
    <w:rsid w:val="00A45561"/>
    <w:rsid w:val="00A45ADE"/>
    <w:rsid w:val="00A45C1B"/>
    <w:rsid w:val="00A45CEE"/>
    <w:rsid w:val="00A45E3B"/>
    <w:rsid w:val="00A465BB"/>
    <w:rsid w:val="00A4680F"/>
    <w:rsid w:val="00A46B0A"/>
    <w:rsid w:val="00A4724F"/>
    <w:rsid w:val="00A47AE2"/>
    <w:rsid w:val="00A47BE9"/>
    <w:rsid w:val="00A47F1C"/>
    <w:rsid w:val="00A500A5"/>
    <w:rsid w:val="00A5032A"/>
    <w:rsid w:val="00A5034B"/>
    <w:rsid w:val="00A503A6"/>
    <w:rsid w:val="00A50706"/>
    <w:rsid w:val="00A5076E"/>
    <w:rsid w:val="00A50A07"/>
    <w:rsid w:val="00A50CC3"/>
    <w:rsid w:val="00A51A4E"/>
    <w:rsid w:val="00A51B05"/>
    <w:rsid w:val="00A51BF3"/>
    <w:rsid w:val="00A51DBC"/>
    <w:rsid w:val="00A51F29"/>
    <w:rsid w:val="00A51F3E"/>
    <w:rsid w:val="00A52398"/>
    <w:rsid w:val="00A526EA"/>
    <w:rsid w:val="00A52978"/>
    <w:rsid w:val="00A52D0F"/>
    <w:rsid w:val="00A52DA1"/>
    <w:rsid w:val="00A52E7D"/>
    <w:rsid w:val="00A52F94"/>
    <w:rsid w:val="00A52FF2"/>
    <w:rsid w:val="00A53388"/>
    <w:rsid w:val="00A53444"/>
    <w:rsid w:val="00A534DC"/>
    <w:rsid w:val="00A53ECD"/>
    <w:rsid w:val="00A54B6D"/>
    <w:rsid w:val="00A54C0B"/>
    <w:rsid w:val="00A54E8A"/>
    <w:rsid w:val="00A550F0"/>
    <w:rsid w:val="00A5517E"/>
    <w:rsid w:val="00A55188"/>
    <w:rsid w:val="00A5555B"/>
    <w:rsid w:val="00A5563B"/>
    <w:rsid w:val="00A55866"/>
    <w:rsid w:val="00A55AA2"/>
    <w:rsid w:val="00A55AEF"/>
    <w:rsid w:val="00A55CF3"/>
    <w:rsid w:val="00A55F7D"/>
    <w:rsid w:val="00A5674E"/>
    <w:rsid w:val="00A56AFA"/>
    <w:rsid w:val="00A56CD5"/>
    <w:rsid w:val="00A56CF5"/>
    <w:rsid w:val="00A56EBD"/>
    <w:rsid w:val="00A56FCC"/>
    <w:rsid w:val="00A5709B"/>
    <w:rsid w:val="00A57132"/>
    <w:rsid w:val="00A57301"/>
    <w:rsid w:val="00A573B2"/>
    <w:rsid w:val="00A573ED"/>
    <w:rsid w:val="00A5756B"/>
    <w:rsid w:val="00A57706"/>
    <w:rsid w:val="00A5774A"/>
    <w:rsid w:val="00A577D5"/>
    <w:rsid w:val="00A57FDE"/>
    <w:rsid w:val="00A6010D"/>
    <w:rsid w:val="00A602F7"/>
    <w:rsid w:val="00A60790"/>
    <w:rsid w:val="00A60816"/>
    <w:rsid w:val="00A608D5"/>
    <w:rsid w:val="00A609C3"/>
    <w:rsid w:val="00A60BE9"/>
    <w:rsid w:val="00A614F3"/>
    <w:rsid w:val="00A62069"/>
    <w:rsid w:val="00A625C1"/>
    <w:rsid w:val="00A62644"/>
    <w:rsid w:val="00A62A6C"/>
    <w:rsid w:val="00A62AA6"/>
    <w:rsid w:val="00A6327E"/>
    <w:rsid w:val="00A6359B"/>
    <w:rsid w:val="00A63A81"/>
    <w:rsid w:val="00A63AD8"/>
    <w:rsid w:val="00A63E1A"/>
    <w:rsid w:val="00A643FE"/>
    <w:rsid w:val="00A644A8"/>
    <w:rsid w:val="00A64F2F"/>
    <w:rsid w:val="00A64F7E"/>
    <w:rsid w:val="00A65262"/>
    <w:rsid w:val="00A65361"/>
    <w:rsid w:val="00A65452"/>
    <w:rsid w:val="00A6552A"/>
    <w:rsid w:val="00A656A2"/>
    <w:rsid w:val="00A65AF0"/>
    <w:rsid w:val="00A663DB"/>
    <w:rsid w:val="00A664CE"/>
    <w:rsid w:val="00A66776"/>
    <w:rsid w:val="00A667DE"/>
    <w:rsid w:val="00A67115"/>
    <w:rsid w:val="00A671F1"/>
    <w:rsid w:val="00A672FC"/>
    <w:rsid w:val="00A6738C"/>
    <w:rsid w:val="00A67752"/>
    <w:rsid w:val="00A67D51"/>
    <w:rsid w:val="00A67E65"/>
    <w:rsid w:val="00A67EE8"/>
    <w:rsid w:val="00A70086"/>
    <w:rsid w:val="00A70167"/>
    <w:rsid w:val="00A7072A"/>
    <w:rsid w:val="00A70BAB"/>
    <w:rsid w:val="00A711E2"/>
    <w:rsid w:val="00A718A0"/>
    <w:rsid w:val="00A71A69"/>
    <w:rsid w:val="00A71B98"/>
    <w:rsid w:val="00A71D07"/>
    <w:rsid w:val="00A71DDA"/>
    <w:rsid w:val="00A71E44"/>
    <w:rsid w:val="00A71F90"/>
    <w:rsid w:val="00A72321"/>
    <w:rsid w:val="00A729ED"/>
    <w:rsid w:val="00A72D90"/>
    <w:rsid w:val="00A72DB9"/>
    <w:rsid w:val="00A73825"/>
    <w:rsid w:val="00A7384A"/>
    <w:rsid w:val="00A73ADC"/>
    <w:rsid w:val="00A73CB0"/>
    <w:rsid w:val="00A73F44"/>
    <w:rsid w:val="00A740C8"/>
    <w:rsid w:val="00A74256"/>
    <w:rsid w:val="00A74392"/>
    <w:rsid w:val="00A744C3"/>
    <w:rsid w:val="00A74616"/>
    <w:rsid w:val="00A746F2"/>
    <w:rsid w:val="00A74C22"/>
    <w:rsid w:val="00A75226"/>
    <w:rsid w:val="00A752B9"/>
    <w:rsid w:val="00A752DB"/>
    <w:rsid w:val="00A75603"/>
    <w:rsid w:val="00A756B3"/>
    <w:rsid w:val="00A75B29"/>
    <w:rsid w:val="00A75D7B"/>
    <w:rsid w:val="00A7603D"/>
    <w:rsid w:val="00A76AB8"/>
    <w:rsid w:val="00A76C57"/>
    <w:rsid w:val="00A76F8D"/>
    <w:rsid w:val="00A77357"/>
    <w:rsid w:val="00A775F8"/>
    <w:rsid w:val="00A77BF8"/>
    <w:rsid w:val="00A77EB5"/>
    <w:rsid w:val="00A80063"/>
    <w:rsid w:val="00A802DA"/>
    <w:rsid w:val="00A80DB5"/>
    <w:rsid w:val="00A811D4"/>
    <w:rsid w:val="00A81243"/>
    <w:rsid w:val="00A8134D"/>
    <w:rsid w:val="00A813AC"/>
    <w:rsid w:val="00A81BA6"/>
    <w:rsid w:val="00A81BF8"/>
    <w:rsid w:val="00A81D73"/>
    <w:rsid w:val="00A81F19"/>
    <w:rsid w:val="00A81FD6"/>
    <w:rsid w:val="00A827C2"/>
    <w:rsid w:val="00A8283D"/>
    <w:rsid w:val="00A82859"/>
    <w:rsid w:val="00A828BF"/>
    <w:rsid w:val="00A82E98"/>
    <w:rsid w:val="00A82FE2"/>
    <w:rsid w:val="00A83016"/>
    <w:rsid w:val="00A83151"/>
    <w:rsid w:val="00A83A5C"/>
    <w:rsid w:val="00A83B85"/>
    <w:rsid w:val="00A83E4A"/>
    <w:rsid w:val="00A84122"/>
    <w:rsid w:val="00A84198"/>
    <w:rsid w:val="00A842CE"/>
    <w:rsid w:val="00A8430A"/>
    <w:rsid w:val="00A84C77"/>
    <w:rsid w:val="00A851C5"/>
    <w:rsid w:val="00A851E6"/>
    <w:rsid w:val="00A854C5"/>
    <w:rsid w:val="00A85507"/>
    <w:rsid w:val="00A8550A"/>
    <w:rsid w:val="00A85524"/>
    <w:rsid w:val="00A8592D"/>
    <w:rsid w:val="00A85A84"/>
    <w:rsid w:val="00A85D8E"/>
    <w:rsid w:val="00A85E61"/>
    <w:rsid w:val="00A85F01"/>
    <w:rsid w:val="00A860E0"/>
    <w:rsid w:val="00A8629E"/>
    <w:rsid w:val="00A862F8"/>
    <w:rsid w:val="00A8665C"/>
    <w:rsid w:val="00A86920"/>
    <w:rsid w:val="00A86C2C"/>
    <w:rsid w:val="00A878C6"/>
    <w:rsid w:val="00A87A3B"/>
    <w:rsid w:val="00A87A86"/>
    <w:rsid w:val="00A906A6"/>
    <w:rsid w:val="00A908FA"/>
    <w:rsid w:val="00A9092A"/>
    <w:rsid w:val="00A90A56"/>
    <w:rsid w:val="00A9128F"/>
    <w:rsid w:val="00A913A2"/>
    <w:rsid w:val="00A914CF"/>
    <w:rsid w:val="00A91710"/>
    <w:rsid w:val="00A91831"/>
    <w:rsid w:val="00A919D7"/>
    <w:rsid w:val="00A91C4A"/>
    <w:rsid w:val="00A920C6"/>
    <w:rsid w:val="00A92309"/>
    <w:rsid w:val="00A924A5"/>
    <w:rsid w:val="00A92503"/>
    <w:rsid w:val="00A92923"/>
    <w:rsid w:val="00A92B0A"/>
    <w:rsid w:val="00A92B6E"/>
    <w:rsid w:val="00A92BA8"/>
    <w:rsid w:val="00A92D4D"/>
    <w:rsid w:val="00A92F27"/>
    <w:rsid w:val="00A92F2D"/>
    <w:rsid w:val="00A9342E"/>
    <w:rsid w:val="00A93D82"/>
    <w:rsid w:val="00A93ED7"/>
    <w:rsid w:val="00A941FC"/>
    <w:rsid w:val="00A94652"/>
    <w:rsid w:val="00A94760"/>
    <w:rsid w:val="00A94892"/>
    <w:rsid w:val="00A9496D"/>
    <w:rsid w:val="00A94C62"/>
    <w:rsid w:val="00A953F5"/>
    <w:rsid w:val="00A956E7"/>
    <w:rsid w:val="00A95C49"/>
    <w:rsid w:val="00A95D59"/>
    <w:rsid w:val="00A96170"/>
    <w:rsid w:val="00A96502"/>
    <w:rsid w:val="00A967FD"/>
    <w:rsid w:val="00A9682B"/>
    <w:rsid w:val="00A96BF0"/>
    <w:rsid w:val="00A96C07"/>
    <w:rsid w:val="00A96E7F"/>
    <w:rsid w:val="00A96EA3"/>
    <w:rsid w:val="00A96F93"/>
    <w:rsid w:val="00A97475"/>
    <w:rsid w:val="00A979A8"/>
    <w:rsid w:val="00A97BAF"/>
    <w:rsid w:val="00A97D9F"/>
    <w:rsid w:val="00A97E29"/>
    <w:rsid w:val="00AA03A8"/>
    <w:rsid w:val="00AA0629"/>
    <w:rsid w:val="00AA077F"/>
    <w:rsid w:val="00AA09CF"/>
    <w:rsid w:val="00AA1197"/>
    <w:rsid w:val="00AA1756"/>
    <w:rsid w:val="00AA1926"/>
    <w:rsid w:val="00AA19EE"/>
    <w:rsid w:val="00AA1B54"/>
    <w:rsid w:val="00AA2A36"/>
    <w:rsid w:val="00AA2C45"/>
    <w:rsid w:val="00AA2DAF"/>
    <w:rsid w:val="00AA3444"/>
    <w:rsid w:val="00AA35C8"/>
    <w:rsid w:val="00AA3695"/>
    <w:rsid w:val="00AA39A9"/>
    <w:rsid w:val="00AA416C"/>
    <w:rsid w:val="00AA43E9"/>
    <w:rsid w:val="00AA446F"/>
    <w:rsid w:val="00AA49C8"/>
    <w:rsid w:val="00AA532E"/>
    <w:rsid w:val="00AA53FA"/>
    <w:rsid w:val="00AA5473"/>
    <w:rsid w:val="00AA5546"/>
    <w:rsid w:val="00AA56DF"/>
    <w:rsid w:val="00AA6018"/>
    <w:rsid w:val="00AA6282"/>
    <w:rsid w:val="00AA62E9"/>
    <w:rsid w:val="00AA648B"/>
    <w:rsid w:val="00AA659A"/>
    <w:rsid w:val="00AA65CB"/>
    <w:rsid w:val="00AA66D0"/>
    <w:rsid w:val="00AA6FBB"/>
    <w:rsid w:val="00AA6FF9"/>
    <w:rsid w:val="00AA71ED"/>
    <w:rsid w:val="00AA72A6"/>
    <w:rsid w:val="00AA75C6"/>
    <w:rsid w:val="00AA7ACA"/>
    <w:rsid w:val="00AB0025"/>
    <w:rsid w:val="00AB0965"/>
    <w:rsid w:val="00AB0CFB"/>
    <w:rsid w:val="00AB0F9D"/>
    <w:rsid w:val="00AB0FA8"/>
    <w:rsid w:val="00AB1491"/>
    <w:rsid w:val="00AB1521"/>
    <w:rsid w:val="00AB1637"/>
    <w:rsid w:val="00AB16E4"/>
    <w:rsid w:val="00AB1A04"/>
    <w:rsid w:val="00AB1D4E"/>
    <w:rsid w:val="00AB220A"/>
    <w:rsid w:val="00AB255E"/>
    <w:rsid w:val="00AB2AA0"/>
    <w:rsid w:val="00AB2DC2"/>
    <w:rsid w:val="00AB338A"/>
    <w:rsid w:val="00AB34CC"/>
    <w:rsid w:val="00AB3587"/>
    <w:rsid w:val="00AB38DE"/>
    <w:rsid w:val="00AB413A"/>
    <w:rsid w:val="00AB43C2"/>
    <w:rsid w:val="00AB4743"/>
    <w:rsid w:val="00AB4D6A"/>
    <w:rsid w:val="00AB50DB"/>
    <w:rsid w:val="00AB53C9"/>
    <w:rsid w:val="00AB5753"/>
    <w:rsid w:val="00AB5F13"/>
    <w:rsid w:val="00AB62D7"/>
    <w:rsid w:val="00AB69A3"/>
    <w:rsid w:val="00AB6B1B"/>
    <w:rsid w:val="00AB6DF4"/>
    <w:rsid w:val="00AB6E88"/>
    <w:rsid w:val="00AB70A9"/>
    <w:rsid w:val="00AB71C6"/>
    <w:rsid w:val="00AB757E"/>
    <w:rsid w:val="00AB76E8"/>
    <w:rsid w:val="00AB7904"/>
    <w:rsid w:val="00AB79F0"/>
    <w:rsid w:val="00AC0010"/>
    <w:rsid w:val="00AC0125"/>
    <w:rsid w:val="00AC0365"/>
    <w:rsid w:val="00AC03EC"/>
    <w:rsid w:val="00AC1329"/>
    <w:rsid w:val="00AC1F3A"/>
    <w:rsid w:val="00AC2658"/>
    <w:rsid w:val="00AC26F4"/>
    <w:rsid w:val="00AC2A11"/>
    <w:rsid w:val="00AC2C96"/>
    <w:rsid w:val="00AC2CB5"/>
    <w:rsid w:val="00AC3136"/>
    <w:rsid w:val="00AC328F"/>
    <w:rsid w:val="00AC3813"/>
    <w:rsid w:val="00AC3E7F"/>
    <w:rsid w:val="00AC3E9D"/>
    <w:rsid w:val="00AC3FE3"/>
    <w:rsid w:val="00AC442A"/>
    <w:rsid w:val="00AC459C"/>
    <w:rsid w:val="00AC4843"/>
    <w:rsid w:val="00AC4D79"/>
    <w:rsid w:val="00AC4F4F"/>
    <w:rsid w:val="00AC4FC9"/>
    <w:rsid w:val="00AC55FA"/>
    <w:rsid w:val="00AC5A3F"/>
    <w:rsid w:val="00AC5C65"/>
    <w:rsid w:val="00AC623A"/>
    <w:rsid w:val="00AC63F6"/>
    <w:rsid w:val="00AC68D0"/>
    <w:rsid w:val="00AC7024"/>
    <w:rsid w:val="00AC728C"/>
    <w:rsid w:val="00AC75C4"/>
    <w:rsid w:val="00AC75FB"/>
    <w:rsid w:val="00AC775E"/>
    <w:rsid w:val="00AC7906"/>
    <w:rsid w:val="00AC79AD"/>
    <w:rsid w:val="00AC7C32"/>
    <w:rsid w:val="00AD0792"/>
    <w:rsid w:val="00AD0F72"/>
    <w:rsid w:val="00AD14C2"/>
    <w:rsid w:val="00AD16D1"/>
    <w:rsid w:val="00AD17DC"/>
    <w:rsid w:val="00AD1A0A"/>
    <w:rsid w:val="00AD1EB2"/>
    <w:rsid w:val="00AD2132"/>
    <w:rsid w:val="00AD26F4"/>
    <w:rsid w:val="00AD277F"/>
    <w:rsid w:val="00AD2F2B"/>
    <w:rsid w:val="00AD31DB"/>
    <w:rsid w:val="00AD3378"/>
    <w:rsid w:val="00AD3490"/>
    <w:rsid w:val="00AD3568"/>
    <w:rsid w:val="00AD3866"/>
    <w:rsid w:val="00AD3C67"/>
    <w:rsid w:val="00AD3E11"/>
    <w:rsid w:val="00AD43B3"/>
    <w:rsid w:val="00AD446C"/>
    <w:rsid w:val="00AD45DB"/>
    <w:rsid w:val="00AD4838"/>
    <w:rsid w:val="00AD4A05"/>
    <w:rsid w:val="00AD4DEE"/>
    <w:rsid w:val="00AD4DFC"/>
    <w:rsid w:val="00AD4E0F"/>
    <w:rsid w:val="00AD4E77"/>
    <w:rsid w:val="00AD4EF7"/>
    <w:rsid w:val="00AD4FF7"/>
    <w:rsid w:val="00AD5266"/>
    <w:rsid w:val="00AD52B5"/>
    <w:rsid w:val="00AD5469"/>
    <w:rsid w:val="00AD59C0"/>
    <w:rsid w:val="00AD59C9"/>
    <w:rsid w:val="00AD5C66"/>
    <w:rsid w:val="00AD630E"/>
    <w:rsid w:val="00AD6328"/>
    <w:rsid w:val="00AD6466"/>
    <w:rsid w:val="00AD6795"/>
    <w:rsid w:val="00AD68D0"/>
    <w:rsid w:val="00AD696E"/>
    <w:rsid w:val="00AD70E9"/>
    <w:rsid w:val="00AD73FB"/>
    <w:rsid w:val="00AD74EA"/>
    <w:rsid w:val="00AD75A3"/>
    <w:rsid w:val="00AD75DA"/>
    <w:rsid w:val="00AD783B"/>
    <w:rsid w:val="00AD7A58"/>
    <w:rsid w:val="00AD7C08"/>
    <w:rsid w:val="00AD7CB1"/>
    <w:rsid w:val="00AD7D30"/>
    <w:rsid w:val="00AE02F7"/>
    <w:rsid w:val="00AE0598"/>
    <w:rsid w:val="00AE07FC"/>
    <w:rsid w:val="00AE0854"/>
    <w:rsid w:val="00AE08C6"/>
    <w:rsid w:val="00AE0A01"/>
    <w:rsid w:val="00AE0A52"/>
    <w:rsid w:val="00AE121F"/>
    <w:rsid w:val="00AE12A6"/>
    <w:rsid w:val="00AE12D2"/>
    <w:rsid w:val="00AE13A7"/>
    <w:rsid w:val="00AE17E9"/>
    <w:rsid w:val="00AE184D"/>
    <w:rsid w:val="00AE1D62"/>
    <w:rsid w:val="00AE1FF5"/>
    <w:rsid w:val="00AE2675"/>
    <w:rsid w:val="00AE27F8"/>
    <w:rsid w:val="00AE2CEB"/>
    <w:rsid w:val="00AE2E38"/>
    <w:rsid w:val="00AE3279"/>
    <w:rsid w:val="00AE36B5"/>
    <w:rsid w:val="00AE3BDE"/>
    <w:rsid w:val="00AE4091"/>
    <w:rsid w:val="00AE4405"/>
    <w:rsid w:val="00AE4AAD"/>
    <w:rsid w:val="00AE5034"/>
    <w:rsid w:val="00AE5093"/>
    <w:rsid w:val="00AE50D0"/>
    <w:rsid w:val="00AE5764"/>
    <w:rsid w:val="00AE5776"/>
    <w:rsid w:val="00AE5A09"/>
    <w:rsid w:val="00AE5CFD"/>
    <w:rsid w:val="00AE6193"/>
    <w:rsid w:val="00AE664F"/>
    <w:rsid w:val="00AE67D9"/>
    <w:rsid w:val="00AE6C76"/>
    <w:rsid w:val="00AE6D91"/>
    <w:rsid w:val="00AE7830"/>
    <w:rsid w:val="00AE7944"/>
    <w:rsid w:val="00AE7B33"/>
    <w:rsid w:val="00AF0098"/>
    <w:rsid w:val="00AF01C6"/>
    <w:rsid w:val="00AF01E9"/>
    <w:rsid w:val="00AF04EB"/>
    <w:rsid w:val="00AF05FC"/>
    <w:rsid w:val="00AF068D"/>
    <w:rsid w:val="00AF0D63"/>
    <w:rsid w:val="00AF0D87"/>
    <w:rsid w:val="00AF10CC"/>
    <w:rsid w:val="00AF10D7"/>
    <w:rsid w:val="00AF1343"/>
    <w:rsid w:val="00AF1915"/>
    <w:rsid w:val="00AF1B92"/>
    <w:rsid w:val="00AF1D92"/>
    <w:rsid w:val="00AF20FF"/>
    <w:rsid w:val="00AF233C"/>
    <w:rsid w:val="00AF29B3"/>
    <w:rsid w:val="00AF2ACF"/>
    <w:rsid w:val="00AF2F5C"/>
    <w:rsid w:val="00AF2FE8"/>
    <w:rsid w:val="00AF384A"/>
    <w:rsid w:val="00AF44B0"/>
    <w:rsid w:val="00AF4542"/>
    <w:rsid w:val="00AF46AB"/>
    <w:rsid w:val="00AF47F0"/>
    <w:rsid w:val="00AF4A5E"/>
    <w:rsid w:val="00AF4A61"/>
    <w:rsid w:val="00AF4F23"/>
    <w:rsid w:val="00AF54EB"/>
    <w:rsid w:val="00AF5838"/>
    <w:rsid w:val="00AF5AA4"/>
    <w:rsid w:val="00AF71A0"/>
    <w:rsid w:val="00AF72C4"/>
    <w:rsid w:val="00AF73A9"/>
    <w:rsid w:val="00AF74FE"/>
    <w:rsid w:val="00AF785E"/>
    <w:rsid w:val="00AF7ADD"/>
    <w:rsid w:val="00AF7B24"/>
    <w:rsid w:val="00AF7C5B"/>
    <w:rsid w:val="00AF7CC4"/>
    <w:rsid w:val="00AF7F32"/>
    <w:rsid w:val="00B00490"/>
    <w:rsid w:val="00B0059E"/>
    <w:rsid w:val="00B005AA"/>
    <w:rsid w:val="00B005D0"/>
    <w:rsid w:val="00B0092A"/>
    <w:rsid w:val="00B00DC6"/>
    <w:rsid w:val="00B00EDA"/>
    <w:rsid w:val="00B0110C"/>
    <w:rsid w:val="00B012E5"/>
    <w:rsid w:val="00B0135C"/>
    <w:rsid w:val="00B016A6"/>
    <w:rsid w:val="00B01E1B"/>
    <w:rsid w:val="00B01E6E"/>
    <w:rsid w:val="00B01FF2"/>
    <w:rsid w:val="00B0210A"/>
    <w:rsid w:val="00B02171"/>
    <w:rsid w:val="00B0245A"/>
    <w:rsid w:val="00B0247C"/>
    <w:rsid w:val="00B027CF"/>
    <w:rsid w:val="00B02A20"/>
    <w:rsid w:val="00B02ABB"/>
    <w:rsid w:val="00B035A7"/>
    <w:rsid w:val="00B0363E"/>
    <w:rsid w:val="00B03754"/>
    <w:rsid w:val="00B04078"/>
    <w:rsid w:val="00B0440C"/>
    <w:rsid w:val="00B04505"/>
    <w:rsid w:val="00B04DBF"/>
    <w:rsid w:val="00B050BB"/>
    <w:rsid w:val="00B056FC"/>
    <w:rsid w:val="00B05A0B"/>
    <w:rsid w:val="00B05BA6"/>
    <w:rsid w:val="00B05F6C"/>
    <w:rsid w:val="00B066BF"/>
    <w:rsid w:val="00B06982"/>
    <w:rsid w:val="00B06E03"/>
    <w:rsid w:val="00B070F6"/>
    <w:rsid w:val="00B07159"/>
    <w:rsid w:val="00B0798D"/>
    <w:rsid w:val="00B07BEC"/>
    <w:rsid w:val="00B07EBC"/>
    <w:rsid w:val="00B10443"/>
    <w:rsid w:val="00B1077C"/>
    <w:rsid w:val="00B10838"/>
    <w:rsid w:val="00B10861"/>
    <w:rsid w:val="00B108DE"/>
    <w:rsid w:val="00B10D90"/>
    <w:rsid w:val="00B11373"/>
    <w:rsid w:val="00B11489"/>
    <w:rsid w:val="00B114EE"/>
    <w:rsid w:val="00B11504"/>
    <w:rsid w:val="00B1171F"/>
    <w:rsid w:val="00B120E7"/>
    <w:rsid w:val="00B12848"/>
    <w:rsid w:val="00B12959"/>
    <w:rsid w:val="00B12D59"/>
    <w:rsid w:val="00B13215"/>
    <w:rsid w:val="00B132A2"/>
    <w:rsid w:val="00B13616"/>
    <w:rsid w:val="00B138DC"/>
    <w:rsid w:val="00B13B3D"/>
    <w:rsid w:val="00B13BF9"/>
    <w:rsid w:val="00B14093"/>
    <w:rsid w:val="00B14311"/>
    <w:rsid w:val="00B14555"/>
    <w:rsid w:val="00B1474E"/>
    <w:rsid w:val="00B14973"/>
    <w:rsid w:val="00B14A50"/>
    <w:rsid w:val="00B14BAE"/>
    <w:rsid w:val="00B14E2E"/>
    <w:rsid w:val="00B14EA9"/>
    <w:rsid w:val="00B14F49"/>
    <w:rsid w:val="00B152BF"/>
    <w:rsid w:val="00B156A6"/>
    <w:rsid w:val="00B15927"/>
    <w:rsid w:val="00B15F06"/>
    <w:rsid w:val="00B16831"/>
    <w:rsid w:val="00B16A62"/>
    <w:rsid w:val="00B16D3C"/>
    <w:rsid w:val="00B16DC6"/>
    <w:rsid w:val="00B16E93"/>
    <w:rsid w:val="00B16FB7"/>
    <w:rsid w:val="00B173DC"/>
    <w:rsid w:val="00B173F6"/>
    <w:rsid w:val="00B1773A"/>
    <w:rsid w:val="00B17DEB"/>
    <w:rsid w:val="00B17F1B"/>
    <w:rsid w:val="00B17FF6"/>
    <w:rsid w:val="00B2029C"/>
    <w:rsid w:val="00B204A0"/>
    <w:rsid w:val="00B20DC8"/>
    <w:rsid w:val="00B2152F"/>
    <w:rsid w:val="00B21993"/>
    <w:rsid w:val="00B21D5F"/>
    <w:rsid w:val="00B21EB5"/>
    <w:rsid w:val="00B222F4"/>
    <w:rsid w:val="00B22B77"/>
    <w:rsid w:val="00B22CAA"/>
    <w:rsid w:val="00B234DF"/>
    <w:rsid w:val="00B2350F"/>
    <w:rsid w:val="00B23805"/>
    <w:rsid w:val="00B23A10"/>
    <w:rsid w:val="00B23A35"/>
    <w:rsid w:val="00B23B9C"/>
    <w:rsid w:val="00B23CEC"/>
    <w:rsid w:val="00B23E21"/>
    <w:rsid w:val="00B23F69"/>
    <w:rsid w:val="00B240B1"/>
    <w:rsid w:val="00B24124"/>
    <w:rsid w:val="00B246BA"/>
    <w:rsid w:val="00B257A7"/>
    <w:rsid w:val="00B25CDA"/>
    <w:rsid w:val="00B25FD5"/>
    <w:rsid w:val="00B26012"/>
    <w:rsid w:val="00B2605C"/>
    <w:rsid w:val="00B2670A"/>
    <w:rsid w:val="00B26737"/>
    <w:rsid w:val="00B26740"/>
    <w:rsid w:val="00B2674F"/>
    <w:rsid w:val="00B26855"/>
    <w:rsid w:val="00B26B5A"/>
    <w:rsid w:val="00B26EB8"/>
    <w:rsid w:val="00B27105"/>
    <w:rsid w:val="00B2744B"/>
    <w:rsid w:val="00B2750D"/>
    <w:rsid w:val="00B27ACD"/>
    <w:rsid w:val="00B30153"/>
    <w:rsid w:val="00B302C3"/>
    <w:rsid w:val="00B302D1"/>
    <w:rsid w:val="00B30383"/>
    <w:rsid w:val="00B303C4"/>
    <w:rsid w:val="00B304BC"/>
    <w:rsid w:val="00B304DD"/>
    <w:rsid w:val="00B309FD"/>
    <w:rsid w:val="00B30E5D"/>
    <w:rsid w:val="00B31051"/>
    <w:rsid w:val="00B31249"/>
    <w:rsid w:val="00B312D8"/>
    <w:rsid w:val="00B313BC"/>
    <w:rsid w:val="00B318B0"/>
    <w:rsid w:val="00B31D3E"/>
    <w:rsid w:val="00B31EE0"/>
    <w:rsid w:val="00B31F9D"/>
    <w:rsid w:val="00B31FBE"/>
    <w:rsid w:val="00B32055"/>
    <w:rsid w:val="00B3216B"/>
    <w:rsid w:val="00B32691"/>
    <w:rsid w:val="00B3274A"/>
    <w:rsid w:val="00B328CF"/>
    <w:rsid w:val="00B3298E"/>
    <w:rsid w:val="00B3310D"/>
    <w:rsid w:val="00B33261"/>
    <w:rsid w:val="00B3338D"/>
    <w:rsid w:val="00B334B6"/>
    <w:rsid w:val="00B334CB"/>
    <w:rsid w:val="00B3358B"/>
    <w:rsid w:val="00B33DC3"/>
    <w:rsid w:val="00B33F38"/>
    <w:rsid w:val="00B3406C"/>
    <w:rsid w:val="00B34146"/>
    <w:rsid w:val="00B346F7"/>
    <w:rsid w:val="00B350A5"/>
    <w:rsid w:val="00B35BA9"/>
    <w:rsid w:val="00B35C59"/>
    <w:rsid w:val="00B35F65"/>
    <w:rsid w:val="00B362DB"/>
    <w:rsid w:val="00B36351"/>
    <w:rsid w:val="00B36612"/>
    <w:rsid w:val="00B368A5"/>
    <w:rsid w:val="00B36BAB"/>
    <w:rsid w:val="00B36DE9"/>
    <w:rsid w:val="00B3740F"/>
    <w:rsid w:val="00B37639"/>
    <w:rsid w:val="00B3776F"/>
    <w:rsid w:val="00B37ACA"/>
    <w:rsid w:val="00B37FF2"/>
    <w:rsid w:val="00B401CE"/>
    <w:rsid w:val="00B404E8"/>
    <w:rsid w:val="00B40712"/>
    <w:rsid w:val="00B4089B"/>
    <w:rsid w:val="00B40A47"/>
    <w:rsid w:val="00B40D06"/>
    <w:rsid w:val="00B40D1A"/>
    <w:rsid w:val="00B40E2A"/>
    <w:rsid w:val="00B41158"/>
    <w:rsid w:val="00B4129E"/>
    <w:rsid w:val="00B415CC"/>
    <w:rsid w:val="00B41698"/>
    <w:rsid w:val="00B41A9C"/>
    <w:rsid w:val="00B41BEC"/>
    <w:rsid w:val="00B41EB6"/>
    <w:rsid w:val="00B428BB"/>
    <w:rsid w:val="00B42C1B"/>
    <w:rsid w:val="00B43286"/>
    <w:rsid w:val="00B43419"/>
    <w:rsid w:val="00B4356D"/>
    <w:rsid w:val="00B436A1"/>
    <w:rsid w:val="00B43B87"/>
    <w:rsid w:val="00B43BB6"/>
    <w:rsid w:val="00B44137"/>
    <w:rsid w:val="00B442E9"/>
    <w:rsid w:val="00B443BF"/>
    <w:rsid w:val="00B444B4"/>
    <w:rsid w:val="00B444DA"/>
    <w:rsid w:val="00B44C34"/>
    <w:rsid w:val="00B45585"/>
    <w:rsid w:val="00B4574F"/>
    <w:rsid w:val="00B45C38"/>
    <w:rsid w:val="00B46481"/>
    <w:rsid w:val="00B467B4"/>
    <w:rsid w:val="00B4696E"/>
    <w:rsid w:val="00B46CFE"/>
    <w:rsid w:val="00B46DAD"/>
    <w:rsid w:val="00B46F2A"/>
    <w:rsid w:val="00B46FBC"/>
    <w:rsid w:val="00B476CC"/>
    <w:rsid w:val="00B4778C"/>
    <w:rsid w:val="00B479FC"/>
    <w:rsid w:val="00B47A13"/>
    <w:rsid w:val="00B47BEF"/>
    <w:rsid w:val="00B47CE9"/>
    <w:rsid w:val="00B503EA"/>
    <w:rsid w:val="00B50A61"/>
    <w:rsid w:val="00B513A5"/>
    <w:rsid w:val="00B513EE"/>
    <w:rsid w:val="00B5152B"/>
    <w:rsid w:val="00B517FD"/>
    <w:rsid w:val="00B5198B"/>
    <w:rsid w:val="00B51A25"/>
    <w:rsid w:val="00B51DB9"/>
    <w:rsid w:val="00B51DCF"/>
    <w:rsid w:val="00B528D3"/>
    <w:rsid w:val="00B52ADE"/>
    <w:rsid w:val="00B52F9D"/>
    <w:rsid w:val="00B53555"/>
    <w:rsid w:val="00B53A16"/>
    <w:rsid w:val="00B53F54"/>
    <w:rsid w:val="00B5440A"/>
    <w:rsid w:val="00B5455F"/>
    <w:rsid w:val="00B5463A"/>
    <w:rsid w:val="00B54B9B"/>
    <w:rsid w:val="00B54D72"/>
    <w:rsid w:val="00B550FC"/>
    <w:rsid w:val="00B55353"/>
    <w:rsid w:val="00B55521"/>
    <w:rsid w:val="00B55567"/>
    <w:rsid w:val="00B5590A"/>
    <w:rsid w:val="00B55E94"/>
    <w:rsid w:val="00B55FE8"/>
    <w:rsid w:val="00B5607F"/>
    <w:rsid w:val="00B561B2"/>
    <w:rsid w:val="00B562A0"/>
    <w:rsid w:val="00B5631B"/>
    <w:rsid w:val="00B56A44"/>
    <w:rsid w:val="00B56A76"/>
    <w:rsid w:val="00B57179"/>
    <w:rsid w:val="00B57275"/>
    <w:rsid w:val="00B57538"/>
    <w:rsid w:val="00B57801"/>
    <w:rsid w:val="00B57879"/>
    <w:rsid w:val="00B57A7A"/>
    <w:rsid w:val="00B57A8F"/>
    <w:rsid w:val="00B6020B"/>
    <w:rsid w:val="00B602F4"/>
    <w:rsid w:val="00B6089A"/>
    <w:rsid w:val="00B60D9B"/>
    <w:rsid w:val="00B60EE1"/>
    <w:rsid w:val="00B61233"/>
    <w:rsid w:val="00B61414"/>
    <w:rsid w:val="00B617A7"/>
    <w:rsid w:val="00B6183A"/>
    <w:rsid w:val="00B6185B"/>
    <w:rsid w:val="00B61C4C"/>
    <w:rsid w:val="00B61C93"/>
    <w:rsid w:val="00B61FF7"/>
    <w:rsid w:val="00B62045"/>
    <w:rsid w:val="00B620E9"/>
    <w:rsid w:val="00B6262F"/>
    <w:rsid w:val="00B62B73"/>
    <w:rsid w:val="00B62B8F"/>
    <w:rsid w:val="00B62BB3"/>
    <w:rsid w:val="00B63170"/>
    <w:rsid w:val="00B6350D"/>
    <w:rsid w:val="00B63522"/>
    <w:rsid w:val="00B637B6"/>
    <w:rsid w:val="00B63B74"/>
    <w:rsid w:val="00B63E8C"/>
    <w:rsid w:val="00B644E5"/>
    <w:rsid w:val="00B647C0"/>
    <w:rsid w:val="00B64F53"/>
    <w:rsid w:val="00B655E9"/>
    <w:rsid w:val="00B65725"/>
    <w:rsid w:val="00B65AC8"/>
    <w:rsid w:val="00B65D86"/>
    <w:rsid w:val="00B65F99"/>
    <w:rsid w:val="00B662E9"/>
    <w:rsid w:val="00B6630E"/>
    <w:rsid w:val="00B667A9"/>
    <w:rsid w:val="00B66C91"/>
    <w:rsid w:val="00B66F6B"/>
    <w:rsid w:val="00B67059"/>
    <w:rsid w:val="00B67133"/>
    <w:rsid w:val="00B67809"/>
    <w:rsid w:val="00B67B81"/>
    <w:rsid w:val="00B67C14"/>
    <w:rsid w:val="00B67DA0"/>
    <w:rsid w:val="00B67DFB"/>
    <w:rsid w:val="00B70130"/>
    <w:rsid w:val="00B703B8"/>
    <w:rsid w:val="00B70527"/>
    <w:rsid w:val="00B70AB2"/>
    <w:rsid w:val="00B70B10"/>
    <w:rsid w:val="00B70DD3"/>
    <w:rsid w:val="00B711A3"/>
    <w:rsid w:val="00B7152F"/>
    <w:rsid w:val="00B7156B"/>
    <w:rsid w:val="00B71A48"/>
    <w:rsid w:val="00B720BC"/>
    <w:rsid w:val="00B7218C"/>
    <w:rsid w:val="00B722BC"/>
    <w:rsid w:val="00B724BC"/>
    <w:rsid w:val="00B727E5"/>
    <w:rsid w:val="00B728F9"/>
    <w:rsid w:val="00B72B4E"/>
    <w:rsid w:val="00B72FD7"/>
    <w:rsid w:val="00B730C5"/>
    <w:rsid w:val="00B73711"/>
    <w:rsid w:val="00B7381D"/>
    <w:rsid w:val="00B73DD3"/>
    <w:rsid w:val="00B74552"/>
    <w:rsid w:val="00B7471B"/>
    <w:rsid w:val="00B754F7"/>
    <w:rsid w:val="00B7597C"/>
    <w:rsid w:val="00B75AF9"/>
    <w:rsid w:val="00B75B25"/>
    <w:rsid w:val="00B75BA4"/>
    <w:rsid w:val="00B75D09"/>
    <w:rsid w:val="00B7616A"/>
    <w:rsid w:val="00B761AA"/>
    <w:rsid w:val="00B764E5"/>
    <w:rsid w:val="00B76656"/>
    <w:rsid w:val="00B766C1"/>
    <w:rsid w:val="00B76BAE"/>
    <w:rsid w:val="00B76EF5"/>
    <w:rsid w:val="00B77EAC"/>
    <w:rsid w:val="00B77EFD"/>
    <w:rsid w:val="00B803E7"/>
    <w:rsid w:val="00B8049C"/>
    <w:rsid w:val="00B80753"/>
    <w:rsid w:val="00B80BAD"/>
    <w:rsid w:val="00B8131F"/>
    <w:rsid w:val="00B81600"/>
    <w:rsid w:val="00B817C1"/>
    <w:rsid w:val="00B81847"/>
    <w:rsid w:val="00B8217B"/>
    <w:rsid w:val="00B824FE"/>
    <w:rsid w:val="00B825BA"/>
    <w:rsid w:val="00B82A3F"/>
    <w:rsid w:val="00B82B28"/>
    <w:rsid w:val="00B82F55"/>
    <w:rsid w:val="00B8303D"/>
    <w:rsid w:val="00B831E5"/>
    <w:rsid w:val="00B83341"/>
    <w:rsid w:val="00B833C6"/>
    <w:rsid w:val="00B8360D"/>
    <w:rsid w:val="00B83D76"/>
    <w:rsid w:val="00B83F60"/>
    <w:rsid w:val="00B84022"/>
    <w:rsid w:val="00B843E4"/>
    <w:rsid w:val="00B84479"/>
    <w:rsid w:val="00B844F5"/>
    <w:rsid w:val="00B848EF"/>
    <w:rsid w:val="00B84B4D"/>
    <w:rsid w:val="00B84D40"/>
    <w:rsid w:val="00B84F20"/>
    <w:rsid w:val="00B84F4C"/>
    <w:rsid w:val="00B853D1"/>
    <w:rsid w:val="00B8552E"/>
    <w:rsid w:val="00B856DA"/>
    <w:rsid w:val="00B8595E"/>
    <w:rsid w:val="00B85ECA"/>
    <w:rsid w:val="00B86309"/>
    <w:rsid w:val="00B86490"/>
    <w:rsid w:val="00B86680"/>
    <w:rsid w:val="00B866F2"/>
    <w:rsid w:val="00B86AE1"/>
    <w:rsid w:val="00B86B4E"/>
    <w:rsid w:val="00B86BE8"/>
    <w:rsid w:val="00B86C52"/>
    <w:rsid w:val="00B86F8F"/>
    <w:rsid w:val="00B871AD"/>
    <w:rsid w:val="00B872F3"/>
    <w:rsid w:val="00B87671"/>
    <w:rsid w:val="00B87780"/>
    <w:rsid w:val="00B87A5C"/>
    <w:rsid w:val="00B87A9F"/>
    <w:rsid w:val="00B87F6F"/>
    <w:rsid w:val="00B87FC1"/>
    <w:rsid w:val="00B9023E"/>
    <w:rsid w:val="00B9094B"/>
    <w:rsid w:val="00B909A7"/>
    <w:rsid w:val="00B90A78"/>
    <w:rsid w:val="00B90A7F"/>
    <w:rsid w:val="00B90F52"/>
    <w:rsid w:val="00B90F61"/>
    <w:rsid w:val="00B910E2"/>
    <w:rsid w:val="00B91144"/>
    <w:rsid w:val="00B911E3"/>
    <w:rsid w:val="00B9133E"/>
    <w:rsid w:val="00B9134A"/>
    <w:rsid w:val="00B91885"/>
    <w:rsid w:val="00B918C7"/>
    <w:rsid w:val="00B918E2"/>
    <w:rsid w:val="00B91957"/>
    <w:rsid w:val="00B91D23"/>
    <w:rsid w:val="00B91F7B"/>
    <w:rsid w:val="00B91FA1"/>
    <w:rsid w:val="00B926A1"/>
    <w:rsid w:val="00B927BB"/>
    <w:rsid w:val="00B9289E"/>
    <w:rsid w:val="00B92E68"/>
    <w:rsid w:val="00B93157"/>
    <w:rsid w:val="00B93A8D"/>
    <w:rsid w:val="00B93AE5"/>
    <w:rsid w:val="00B93D8B"/>
    <w:rsid w:val="00B93E40"/>
    <w:rsid w:val="00B93EBD"/>
    <w:rsid w:val="00B94051"/>
    <w:rsid w:val="00B94712"/>
    <w:rsid w:val="00B94CE7"/>
    <w:rsid w:val="00B94EE9"/>
    <w:rsid w:val="00B95121"/>
    <w:rsid w:val="00B951AD"/>
    <w:rsid w:val="00B9548D"/>
    <w:rsid w:val="00B95888"/>
    <w:rsid w:val="00B95CDD"/>
    <w:rsid w:val="00B96226"/>
    <w:rsid w:val="00B9675F"/>
    <w:rsid w:val="00B96DF1"/>
    <w:rsid w:val="00B97243"/>
    <w:rsid w:val="00B97474"/>
    <w:rsid w:val="00B976EA"/>
    <w:rsid w:val="00B976EC"/>
    <w:rsid w:val="00B97E7A"/>
    <w:rsid w:val="00B97F55"/>
    <w:rsid w:val="00BA03F4"/>
    <w:rsid w:val="00BA072D"/>
    <w:rsid w:val="00BA0D34"/>
    <w:rsid w:val="00BA0E8B"/>
    <w:rsid w:val="00BA18D7"/>
    <w:rsid w:val="00BA1D59"/>
    <w:rsid w:val="00BA1F31"/>
    <w:rsid w:val="00BA203C"/>
    <w:rsid w:val="00BA206D"/>
    <w:rsid w:val="00BA2269"/>
    <w:rsid w:val="00BA233A"/>
    <w:rsid w:val="00BA2A41"/>
    <w:rsid w:val="00BA2B84"/>
    <w:rsid w:val="00BA2C1F"/>
    <w:rsid w:val="00BA2ED9"/>
    <w:rsid w:val="00BA317F"/>
    <w:rsid w:val="00BA3228"/>
    <w:rsid w:val="00BA32A0"/>
    <w:rsid w:val="00BA3612"/>
    <w:rsid w:val="00BA373A"/>
    <w:rsid w:val="00BA3E2B"/>
    <w:rsid w:val="00BA438D"/>
    <w:rsid w:val="00BA4666"/>
    <w:rsid w:val="00BA4EC6"/>
    <w:rsid w:val="00BA4FAB"/>
    <w:rsid w:val="00BA5BE6"/>
    <w:rsid w:val="00BA5FBF"/>
    <w:rsid w:val="00BA61FD"/>
    <w:rsid w:val="00BA6BF4"/>
    <w:rsid w:val="00BA72E8"/>
    <w:rsid w:val="00BA7555"/>
    <w:rsid w:val="00BA75EE"/>
    <w:rsid w:val="00BA76CA"/>
    <w:rsid w:val="00BA7AFE"/>
    <w:rsid w:val="00BA7C8C"/>
    <w:rsid w:val="00BB006F"/>
    <w:rsid w:val="00BB0149"/>
    <w:rsid w:val="00BB041E"/>
    <w:rsid w:val="00BB0AC7"/>
    <w:rsid w:val="00BB0FB9"/>
    <w:rsid w:val="00BB1080"/>
    <w:rsid w:val="00BB11BA"/>
    <w:rsid w:val="00BB1354"/>
    <w:rsid w:val="00BB1691"/>
    <w:rsid w:val="00BB18CA"/>
    <w:rsid w:val="00BB1949"/>
    <w:rsid w:val="00BB19C4"/>
    <w:rsid w:val="00BB1E0B"/>
    <w:rsid w:val="00BB1F7E"/>
    <w:rsid w:val="00BB20B2"/>
    <w:rsid w:val="00BB26AC"/>
    <w:rsid w:val="00BB277B"/>
    <w:rsid w:val="00BB27FA"/>
    <w:rsid w:val="00BB2DC8"/>
    <w:rsid w:val="00BB3498"/>
    <w:rsid w:val="00BB36A7"/>
    <w:rsid w:val="00BB38AE"/>
    <w:rsid w:val="00BB3ACB"/>
    <w:rsid w:val="00BB3F20"/>
    <w:rsid w:val="00BB4075"/>
    <w:rsid w:val="00BB4365"/>
    <w:rsid w:val="00BB49D4"/>
    <w:rsid w:val="00BB4BE6"/>
    <w:rsid w:val="00BB507D"/>
    <w:rsid w:val="00BB5394"/>
    <w:rsid w:val="00BB5A0E"/>
    <w:rsid w:val="00BB5C35"/>
    <w:rsid w:val="00BB5C38"/>
    <w:rsid w:val="00BB63C9"/>
    <w:rsid w:val="00BB6987"/>
    <w:rsid w:val="00BB6C98"/>
    <w:rsid w:val="00BB6DBE"/>
    <w:rsid w:val="00BB701F"/>
    <w:rsid w:val="00BB7160"/>
    <w:rsid w:val="00BB7364"/>
    <w:rsid w:val="00BB745F"/>
    <w:rsid w:val="00BB794F"/>
    <w:rsid w:val="00BB7A8C"/>
    <w:rsid w:val="00BB7AA0"/>
    <w:rsid w:val="00BB7EAE"/>
    <w:rsid w:val="00BB7EF6"/>
    <w:rsid w:val="00BC023B"/>
    <w:rsid w:val="00BC05F4"/>
    <w:rsid w:val="00BC08DF"/>
    <w:rsid w:val="00BC09FF"/>
    <w:rsid w:val="00BC1014"/>
    <w:rsid w:val="00BC11A1"/>
    <w:rsid w:val="00BC1773"/>
    <w:rsid w:val="00BC17D7"/>
    <w:rsid w:val="00BC2118"/>
    <w:rsid w:val="00BC2903"/>
    <w:rsid w:val="00BC2AEB"/>
    <w:rsid w:val="00BC2F05"/>
    <w:rsid w:val="00BC3881"/>
    <w:rsid w:val="00BC38EA"/>
    <w:rsid w:val="00BC3D9D"/>
    <w:rsid w:val="00BC409E"/>
    <w:rsid w:val="00BC4274"/>
    <w:rsid w:val="00BC42B0"/>
    <w:rsid w:val="00BC43D3"/>
    <w:rsid w:val="00BC43F6"/>
    <w:rsid w:val="00BC460E"/>
    <w:rsid w:val="00BC4A46"/>
    <w:rsid w:val="00BC4B57"/>
    <w:rsid w:val="00BC4CD5"/>
    <w:rsid w:val="00BC4D9A"/>
    <w:rsid w:val="00BC5704"/>
    <w:rsid w:val="00BC57CE"/>
    <w:rsid w:val="00BC588D"/>
    <w:rsid w:val="00BC5DD0"/>
    <w:rsid w:val="00BC5E3A"/>
    <w:rsid w:val="00BC5F82"/>
    <w:rsid w:val="00BC5FDF"/>
    <w:rsid w:val="00BC615C"/>
    <w:rsid w:val="00BC63D6"/>
    <w:rsid w:val="00BC643F"/>
    <w:rsid w:val="00BC69D4"/>
    <w:rsid w:val="00BC69F2"/>
    <w:rsid w:val="00BC6A0D"/>
    <w:rsid w:val="00BC6B5B"/>
    <w:rsid w:val="00BC6CE9"/>
    <w:rsid w:val="00BC6E5B"/>
    <w:rsid w:val="00BC6EC4"/>
    <w:rsid w:val="00BC735C"/>
    <w:rsid w:val="00BC73F3"/>
    <w:rsid w:val="00BC740B"/>
    <w:rsid w:val="00BC7441"/>
    <w:rsid w:val="00BC75A4"/>
    <w:rsid w:val="00BC7750"/>
    <w:rsid w:val="00BC77B1"/>
    <w:rsid w:val="00BC78A3"/>
    <w:rsid w:val="00BC7AC9"/>
    <w:rsid w:val="00BC7C38"/>
    <w:rsid w:val="00BD0304"/>
    <w:rsid w:val="00BD09A7"/>
    <w:rsid w:val="00BD0D8F"/>
    <w:rsid w:val="00BD0EC4"/>
    <w:rsid w:val="00BD0FC3"/>
    <w:rsid w:val="00BD11A8"/>
    <w:rsid w:val="00BD12DD"/>
    <w:rsid w:val="00BD1466"/>
    <w:rsid w:val="00BD148F"/>
    <w:rsid w:val="00BD1525"/>
    <w:rsid w:val="00BD1B00"/>
    <w:rsid w:val="00BD1FB2"/>
    <w:rsid w:val="00BD2376"/>
    <w:rsid w:val="00BD2A60"/>
    <w:rsid w:val="00BD2B83"/>
    <w:rsid w:val="00BD34C1"/>
    <w:rsid w:val="00BD38A2"/>
    <w:rsid w:val="00BD3B7B"/>
    <w:rsid w:val="00BD4108"/>
    <w:rsid w:val="00BD41DF"/>
    <w:rsid w:val="00BD4251"/>
    <w:rsid w:val="00BD442B"/>
    <w:rsid w:val="00BD459D"/>
    <w:rsid w:val="00BD4660"/>
    <w:rsid w:val="00BD46E0"/>
    <w:rsid w:val="00BD4C4C"/>
    <w:rsid w:val="00BD4D57"/>
    <w:rsid w:val="00BD524A"/>
    <w:rsid w:val="00BD556F"/>
    <w:rsid w:val="00BD56C4"/>
    <w:rsid w:val="00BD5888"/>
    <w:rsid w:val="00BD5A5D"/>
    <w:rsid w:val="00BD5B0E"/>
    <w:rsid w:val="00BD5C5B"/>
    <w:rsid w:val="00BD5CEC"/>
    <w:rsid w:val="00BD5E3F"/>
    <w:rsid w:val="00BD5E73"/>
    <w:rsid w:val="00BD637A"/>
    <w:rsid w:val="00BD6B62"/>
    <w:rsid w:val="00BD6C55"/>
    <w:rsid w:val="00BD74BF"/>
    <w:rsid w:val="00BD750A"/>
    <w:rsid w:val="00BD75E9"/>
    <w:rsid w:val="00BD7649"/>
    <w:rsid w:val="00BD76C9"/>
    <w:rsid w:val="00BD7722"/>
    <w:rsid w:val="00BD7756"/>
    <w:rsid w:val="00BD7C37"/>
    <w:rsid w:val="00BD7E64"/>
    <w:rsid w:val="00BE00E7"/>
    <w:rsid w:val="00BE010C"/>
    <w:rsid w:val="00BE02C7"/>
    <w:rsid w:val="00BE04E6"/>
    <w:rsid w:val="00BE0564"/>
    <w:rsid w:val="00BE0BD8"/>
    <w:rsid w:val="00BE0CAF"/>
    <w:rsid w:val="00BE1700"/>
    <w:rsid w:val="00BE1723"/>
    <w:rsid w:val="00BE18C0"/>
    <w:rsid w:val="00BE208A"/>
    <w:rsid w:val="00BE2138"/>
    <w:rsid w:val="00BE2A46"/>
    <w:rsid w:val="00BE2BB3"/>
    <w:rsid w:val="00BE2C3C"/>
    <w:rsid w:val="00BE3015"/>
    <w:rsid w:val="00BE3041"/>
    <w:rsid w:val="00BE3202"/>
    <w:rsid w:val="00BE3AAD"/>
    <w:rsid w:val="00BE3AE1"/>
    <w:rsid w:val="00BE3B04"/>
    <w:rsid w:val="00BE3CEC"/>
    <w:rsid w:val="00BE3D10"/>
    <w:rsid w:val="00BE3F31"/>
    <w:rsid w:val="00BE3F87"/>
    <w:rsid w:val="00BE417B"/>
    <w:rsid w:val="00BE4218"/>
    <w:rsid w:val="00BE4471"/>
    <w:rsid w:val="00BE4491"/>
    <w:rsid w:val="00BE4597"/>
    <w:rsid w:val="00BE4EFC"/>
    <w:rsid w:val="00BE4F63"/>
    <w:rsid w:val="00BE5375"/>
    <w:rsid w:val="00BE54B5"/>
    <w:rsid w:val="00BE55B7"/>
    <w:rsid w:val="00BE5642"/>
    <w:rsid w:val="00BE5C54"/>
    <w:rsid w:val="00BE5C8F"/>
    <w:rsid w:val="00BE60FF"/>
    <w:rsid w:val="00BE6258"/>
    <w:rsid w:val="00BE655F"/>
    <w:rsid w:val="00BE6D32"/>
    <w:rsid w:val="00BE6FC9"/>
    <w:rsid w:val="00BE720F"/>
    <w:rsid w:val="00BE76F3"/>
    <w:rsid w:val="00BE788B"/>
    <w:rsid w:val="00BE7BD4"/>
    <w:rsid w:val="00BE7C3A"/>
    <w:rsid w:val="00BE7E07"/>
    <w:rsid w:val="00BE7E8F"/>
    <w:rsid w:val="00BF00B9"/>
    <w:rsid w:val="00BF09E6"/>
    <w:rsid w:val="00BF0B5E"/>
    <w:rsid w:val="00BF0CA2"/>
    <w:rsid w:val="00BF131D"/>
    <w:rsid w:val="00BF1515"/>
    <w:rsid w:val="00BF1A8F"/>
    <w:rsid w:val="00BF1D6D"/>
    <w:rsid w:val="00BF22BB"/>
    <w:rsid w:val="00BF249C"/>
    <w:rsid w:val="00BF2724"/>
    <w:rsid w:val="00BF27B3"/>
    <w:rsid w:val="00BF2C3A"/>
    <w:rsid w:val="00BF313B"/>
    <w:rsid w:val="00BF320B"/>
    <w:rsid w:val="00BF38CA"/>
    <w:rsid w:val="00BF3986"/>
    <w:rsid w:val="00BF3E57"/>
    <w:rsid w:val="00BF3F59"/>
    <w:rsid w:val="00BF4062"/>
    <w:rsid w:val="00BF43EB"/>
    <w:rsid w:val="00BF4411"/>
    <w:rsid w:val="00BF449A"/>
    <w:rsid w:val="00BF45A4"/>
    <w:rsid w:val="00BF4816"/>
    <w:rsid w:val="00BF48C2"/>
    <w:rsid w:val="00BF4B85"/>
    <w:rsid w:val="00BF50E4"/>
    <w:rsid w:val="00BF536D"/>
    <w:rsid w:val="00BF537D"/>
    <w:rsid w:val="00BF5401"/>
    <w:rsid w:val="00BF5783"/>
    <w:rsid w:val="00BF5881"/>
    <w:rsid w:val="00BF5A17"/>
    <w:rsid w:val="00BF5D20"/>
    <w:rsid w:val="00BF6070"/>
    <w:rsid w:val="00BF6422"/>
    <w:rsid w:val="00BF65D2"/>
    <w:rsid w:val="00BF66B6"/>
    <w:rsid w:val="00BF7104"/>
    <w:rsid w:val="00BF7382"/>
    <w:rsid w:val="00BF7680"/>
    <w:rsid w:val="00BF78FB"/>
    <w:rsid w:val="00BF7BAC"/>
    <w:rsid w:val="00BF7C06"/>
    <w:rsid w:val="00BF7CA9"/>
    <w:rsid w:val="00C000E0"/>
    <w:rsid w:val="00C00147"/>
    <w:rsid w:val="00C00269"/>
    <w:rsid w:val="00C002D9"/>
    <w:rsid w:val="00C005DB"/>
    <w:rsid w:val="00C0077C"/>
    <w:rsid w:val="00C009DA"/>
    <w:rsid w:val="00C00A47"/>
    <w:rsid w:val="00C00E63"/>
    <w:rsid w:val="00C01779"/>
    <w:rsid w:val="00C01BA7"/>
    <w:rsid w:val="00C02362"/>
    <w:rsid w:val="00C023AD"/>
    <w:rsid w:val="00C02F94"/>
    <w:rsid w:val="00C0303B"/>
    <w:rsid w:val="00C037F3"/>
    <w:rsid w:val="00C03BEA"/>
    <w:rsid w:val="00C03E2D"/>
    <w:rsid w:val="00C04411"/>
    <w:rsid w:val="00C04452"/>
    <w:rsid w:val="00C04C83"/>
    <w:rsid w:val="00C04D75"/>
    <w:rsid w:val="00C05121"/>
    <w:rsid w:val="00C052A8"/>
    <w:rsid w:val="00C05358"/>
    <w:rsid w:val="00C05370"/>
    <w:rsid w:val="00C05439"/>
    <w:rsid w:val="00C05454"/>
    <w:rsid w:val="00C05A90"/>
    <w:rsid w:val="00C05E0C"/>
    <w:rsid w:val="00C05E59"/>
    <w:rsid w:val="00C060ED"/>
    <w:rsid w:val="00C062A2"/>
    <w:rsid w:val="00C063F9"/>
    <w:rsid w:val="00C06851"/>
    <w:rsid w:val="00C06A79"/>
    <w:rsid w:val="00C06DFE"/>
    <w:rsid w:val="00C0722B"/>
    <w:rsid w:val="00C07609"/>
    <w:rsid w:val="00C07A77"/>
    <w:rsid w:val="00C07AB1"/>
    <w:rsid w:val="00C07B7C"/>
    <w:rsid w:val="00C07D98"/>
    <w:rsid w:val="00C10386"/>
    <w:rsid w:val="00C104D7"/>
    <w:rsid w:val="00C104F7"/>
    <w:rsid w:val="00C10523"/>
    <w:rsid w:val="00C108CC"/>
    <w:rsid w:val="00C10BE9"/>
    <w:rsid w:val="00C11211"/>
    <w:rsid w:val="00C1143E"/>
    <w:rsid w:val="00C1144E"/>
    <w:rsid w:val="00C1162C"/>
    <w:rsid w:val="00C11AD7"/>
    <w:rsid w:val="00C11CA0"/>
    <w:rsid w:val="00C12530"/>
    <w:rsid w:val="00C12A51"/>
    <w:rsid w:val="00C12CF6"/>
    <w:rsid w:val="00C12E21"/>
    <w:rsid w:val="00C12EFD"/>
    <w:rsid w:val="00C13BC5"/>
    <w:rsid w:val="00C13CB9"/>
    <w:rsid w:val="00C1403A"/>
    <w:rsid w:val="00C144A4"/>
    <w:rsid w:val="00C147A9"/>
    <w:rsid w:val="00C15118"/>
    <w:rsid w:val="00C1532F"/>
    <w:rsid w:val="00C15401"/>
    <w:rsid w:val="00C15612"/>
    <w:rsid w:val="00C158F4"/>
    <w:rsid w:val="00C15B47"/>
    <w:rsid w:val="00C15B8A"/>
    <w:rsid w:val="00C15CFF"/>
    <w:rsid w:val="00C160CD"/>
    <w:rsid w:val="00C163F8"/>
    <w:rsid w:val="00C167E2"/>
    <w:rsid w:val="00C169AA"/>
    <w:rsid w:val="00C17005"/>
    <w:rsid w:val="00C170ED"/>
    <w:rsid w:val="00C17191"/>
    <w:rsid w:val="00C175CF"/>
    <w:rsid w:val="00C17702"/>
    <w:rsid w:val="00C177EA"/>
    <w:rsid w:val="00C17C60"/>
    <w:rsid w:val="00C20042"/>
    <w:rsid w:val="00C200D8"/>
    <w:rsid w:val="00C202F6"/>
    <w:rsid w:val="00C20514"/>
    <w:rsid w:val="00C205C7"/>
    <w:rsid w:val="00C2073B"/>
    <w:rsid w:val="00C20CEA"/>
    <w:rsid w:val="00C21226"/>
    <w:rsid w:val="00C21248"/>
    <w:rsid w:val="00C21574"/>
    <w:rsid w:val="00C21634"/>
    <w:rsid w:val="00C2194C"/>
    <w:rsid w:val="00C21E26"/>
    <w:rsid w:val="00C2218B"/>
    <w:rsid w:val="00C224C0"/>
    <w:rsid w:val="00C22CE8"/>
    <w:rsid w:val="00C23026"/>
    <w:rsid w:val="00C23152"/>
    <w:rsid w:val="00C2320D"/>
    <w:rsid w:val="00C238D3"/>
    <w:rsid w:val="00C23EFE"/>
    <w:rsid w:val="00C2402D"/>
    <w:rsid w:val="00C240C3"/>
    <w:rsid w:val="00C24212"/>
    <w:rsid w:val="00C24260"/>
    <w:rsid w:val="00C248CE"/>
    <w:rsid w:val="00C24AA9"/>
    <w:rsid w:val="00C251B9"/>
    <w:rsid w:val="00C252EF"/>
    <w:rsid w:val="00C255D6"/>
    <w:rsid w:val="00C26189"/>
    <w:rsid w:val="00C26B53"/>
    <w:rsid w:val="00C26B58"/>
    <w:rsid w:val="00C26BD8"/>
    <w:rsid w:val="00C26C31"/>
    <w:rsid w:val="00C27158"/>
    <w:rsid w:val="00C272BD"/>
    <w:rsid w:val="00C273DE"/>
    <w:rsid w:val="00C27504"/>
    <w:rsid w:val="00C275C4"/>
    <w:rsid w:val="00C27D1E"/>
    <w:rsid w:val="00C27D7C"/>
    <w:rsid w:val="00C27E5F"/>
    <w:rsid w:val="00C30108"/>
    <w:rsid w:val="00C30A94"/>
    <w:rsid w:val="00C30B33"/>
    <w:rsid w:val="00C30E0D"/>
    <w:rsid w:val="00C30E3E"/>
    <w:rsid w:val="00C30F85"/>
    <w:rsid w:val="00C311BC"/>
    <w:rsid w:val="00C31423"/>
    <w:rsid w:val="00C31734"/>
    <w:rsid w:val="00C31817"/>
    <w:rsid w:val="00C31AF3"/>
    <w:rsid w:val="00C31D3F"/>
    <w:rsid w:val="00C322F8"/>
    <w:rsid w:val="00C322FB"/>
    <w:rsid w:val="00C323A3"/>
    <w:rsid w:val="00C32520"/>
    <w:rsid w:val="00C3260A"/>
    <w:rsid w:val="00C329BD"/>
    <w:rsid w:val="00C32B5D"/>
    <w:rsid w:val="00C32EAE"/>
    <w:rsid w:val="00C334F6"/>
    <w:rsid w:val="00C337BE"/>
    <w:rsid w:val="00C33AAE"/>
    <w:rsid w:val="00C33E01"/>
    <w:rsid w:val="00C33E9F"/>
    <w:rsid w:val="00C34242"/>
    <w:rsid w:val="00C34526"/>
    <w:rsid w:val="00C34594"/>
    <w:rsid w:val="00C34715"/>
    <w:rsid w:val="00C3478C"/>
    <w:rsid w:val="00C347A8"/>
    <w:rsid w:val="00C34B12"/>
    <w:rsid w:val="00C34B65"/>
    <w:rsid w:val="00C34C1A"/>
    <w:rsid w:val="00C34D9D"/>
    <w:rsid w:val="00C34F03"/>
    <w:rsid w:val="00C354B1"/>
    <w:rsid w:val="00C35597"/>
    <w:rsid w:val="00C3669D"/>
    <w:rsid w:val="00C366C9"/>
    <w:rsid w:val="00C36DD1"/>
    <w:rsid w:val="00C372DB"/>
    <w:rsid w:val="00C374A1"/>
    <w:rsid w:val="00C37F41"/>
    <w:rsid w:val="00C402A8"/>
    <w:rsid w:val="00C402AA"/>
    <w:rsid w:val="00C40306"/>
    <w:rsid w:val="00C40435"/>
    <w:rsid w:val="00C40891"/>
    <w:rsid w:val="00C410EB"/>
    <w:rsid w:val="00C415FF"/>
    <w:rsid w:val="00C416DA"/>
    <w:rsid w:val="00C41E0A"/>
    <w:rsid w:val="00C41E1E"/>
    <w:rsid w:val="00C42241"/>
    <w:rsid w:val="00C42629"/>
    <w:rsid w:val="00C426C8"/>
    <w:rsid w:val="00C42A51"/>
    <w:rsid w:val="00C42B59"/>
    <w:rsid w:val="00C42D3F"/>
    <w:rsid w:val="00C42D85"/>
    <w:rsid w:val="00C42E60"/>
    <w:rsid w:val="00C42EA4"/>
    <w:rsid w:val="00C432E9"/>
    <w:rsid w:val="00C43A16"/>
    <w:rsid w:val="00C43E41"/>
    <w:rsid w:val="00C45240"/>
    <w:rsid w:val="00C453A2"/>
    <w:rsid w:val="00C454DD"/>
    <w:rsid w:val="00C4573C"/>
    <w:rsid w:val="00C45841"/>
    <w:rsid w:val="00C45AE3"/>
    <w:rsid w:val="00C46544"/>
    <w:rsid w:val="00C46AE6"/>
    <w:rsid w:val="00C46BC7"/>
    <w:rsid w:val="00C46C68"/>
    <w:rsid w:val="00C46D55"/>
    <w:rsid w:val="00C4743D"/>
    <w:rsid w:val="00C476D3"/>
    <w:rsid w:val="00C477E4"/>
    <w:rsid w:val="00C47E2C"/>
    <w:rsid w:val="00C5010E"/>
    <w:rsid w:val="00C503AE"/>
    <w:rsid w:val="00C503B5"/>
    <w:rsid w:val="00C5048E"/>
    <w:rsid w:val="00C50577"/>
    <w:rsid w:val="00C5066C"/>
    <w:rsid w:val="00C5070C"/>
    <w:rsid w:val="00C507AB"/>
    <w:rsid w:val="00C50AC0"/>
    <w:rsid w:val="00C50E31"/>
    <w:rsid w:val="00C512AD"/>
    <w:rsid w:val="00C51FF5"/>
    <w:rsid w:val="00C52007"/>
    <w:rsid w:val="00C520D1"/>
    <w:rsid w:val="00C52A4F"/>
    <w:rsid w:val="00C52A6F"/>
    <w:rsid w:val="00C52ABC"/>
    <w:rsid w:val="00C52EED"/>
    <w:rsid w:val="00C531A7"/>
    <w:rsid w:val="00C5323E"/>
    <w:rsid w:val="00C53426"/>
    <w:rsid w:val="00C53536"/>
    <w:rsid w:val="00C536B9"/>
    <w:rsid w:val="00C53888"/>
    <w:rsid w:val="00C53962"/>
    <w:rsid w:val="00C53A54"/>
    <w:rsid w:val="00C53A6F"/>
    <w:rsid w:val="00C5418C"/>
    <w:rsid w:val="00C541A1"/>
    <w:rsid w:val="00C5429E"/>
    <w:rsid w:val="00C543C9"/>
    <w:rsid w:val="00C54B45"/>
    <w:rsid w:val="00C54F4A"/>
    <w:rsid w:val="00C552C2"/>
    <w:rsid w:val="00C553A1"/>
    <w:rsid w:val="00C553BB"/>
    <w:rsid w:val="00C5570E"/>
    <w:rsid w:val="00C55910"/>
    <w:rsid w:val="00C55958"/>
    <w:rsid w:val="00C5605F"/>
    <w:rsid w:val="00C5622C"/>
    <w:rsid w:val="00C56376"/>
    <w:rsid w:val="00C564EE"/>
    <w:rsid w:val="00C567A9"/>
    <w:rsid w:val="00C5680B"/>
    <w:rsid w:val="00C5685E"/>
    <w:rsid w:val="00C56959"/>
    <w:rsid w:val="00C56A94"/>
    <w:rsid w:val="00C56B24"/>
    <w:rsid w:val="00C57505"/>
    <w:rsid w:val="00C576B0"/>
    <w:rsid w:val="00C57813"/>
    <w:rsid w:val="00C57CBA"/>
    <w:rsid w:val="00C601B4"/>
    <w:rsid w:val="00C60E7C"/>
    <w:rsid w:val="00C61511"/>
    <w:rsid w:val="00C618F2"/>
    <w:rsid w:val="00C618F7"/>
    <w:rsid w:val="00C61CA7"/>
    <w:rsid w:val="00C62172"/>
    <w:rsid w:val="00C6234F"/>
    <w:rsid w:val="00C62516"/>
    <w:rsid w:val="00C629D3"/>
    <w:rsid w:val="00C62D15"/>
    <w:rsid w:val="00C63089"/>
    <w:rsid w:val="00C6309D"/>
    <w:rsid w:val="00C63439"/>
    <w:rsid w:val="00C63D88"/>
    <w:rsid w:val="00C63E54"/>
    <w:rsid w:val="00C63EA8"/>
    <w:rsid w:val="00C644CC"/>
    <w:rsid w:val="00C6463E"/>
    <w:rsid w:val="00C64725"/>
    <w:rsid w:val="00C6478B"/>
    <w:rsid w:val="00C64B41"/>
    <w:rsid w:val="00C64DC8"/>
    <w:rsid w:val="00C6580A"/>
    <w:rsid w:val="00C65EFB"/>
    <w:rsid w:val="00C65F05"/>
    <w:rsid w:val="00C66D2C"/>
    <w:rsid w:val="00C66E01"/>
    <w:rsid w:val="00C66E54"/>
    <w:rsid w:val="00C67167"/>
    <w:rsid w:val="00C671BB"/>
    <w:rsid w:val="00C672FA"/>
    <w:rsid w:val="00C673FC"/>
    <w:rsid w:val="00C67C62"/>
    <w:rsid w:val="00C701E7"/>
    <w:rsid w:val="00C7067F"/>
    <w:rsid w:val="00C706E3"/>
    <w:rsid w:val="00C70C03"/>
    <w:rsid w:val="00C70E8B"/>
    <w:rsid w:val="00C71359"/>
    <w:rsid w:val="00C71552"/>
    <w:rsid w:val="00C71DFA"/>
    <w:rsid w:val="00C722D4"/>
    <w:rsid w:val="00C72723"/>
    <w:rsid w:val="00C7284B"/>
    <w:rsid w:val="00C72E40"/>
    <w:rsid w:val="00C72ED4"/>
    <w:rsid w:val="00C7379C"/>
    <w:rsid w:val="00C73B98"/>
    <w:rsid w:val="00C73D5D"/>
    <w:rsid w:val="00C741C0"/>
    <w:rsid w:val="00C74243"/>
    <w:rsid w:val="00C742E7"/>
    <w:rsid w:val="00C743E5"/>
    <w:rsid w:val="00C74AF1"/>
    <w:rsid w:val="00C74BC4"/>
    <w:rsid w:val="00C75086"/>
    <w:rsid w:val="00C750E7"/>
    <w:rsid w:val="00C75896"/>
    <w:rsid w:val="00C75A20"/>
    <w:rsid w:val="00C763D3"/>
    <w:rsid w:val="00C76405"/>
    <w:rsid w:val="00C766BE"/>
    <w:rsid w:val="00C769EF"/>
    <w:rsid w:val="00C77012"/>
    <w:rsid w:val="00C77026"/>
    <w:rsid w:val="00C7706D"/>
    <w:rsid w:val="00C7731D"/>
    <w:rsid w:val="00C7739F"/>
    <w:rsid w:val="00C77930"/>
    <w:rsid w:val="00C77941"/>
    <w:rsid w:val="00C77D24"/>
    <w:rsid w:val="00C77D42"/>
    <w:rsid w:val="00C77E97"/>
    <w:rsid w:val="00C80223"/>
    <w:rsid w:val="00C803C6"/>
    <w:rsid w:val="00C80514"/>
    <w:rsid w:val="00C805B1"/>
    <w:rsid w:val="00C80A32"/>
    <w:rsid w:val="00C80A41"/>
    <w:rsid w:val="00C80C83"/>
    <w:rsid w:val="00C81047"/>
    <w:rsid w:val="00C8109A"/>
    <w:rsid w:val="00C8131A"/>
    <w:rsid w:val="00C81485"/>
    <w:rsid w:val="00C81A83"/>
    <w:rsid w:val="00C81B7F"/>
    <w:rsid w:val="00C81F3E"/>
    <w:rsid w:val="00C8225E"/>
    <w:rsid w:val="00C827D0"/>
    <w:rsid w:val="00C831B9"/>
    <w:rsid w:val="00C8336A"/>
    <w:rsid w:val="00C834A0"/>
    <w:rsid w:val="00C836FF"/>
    <w:rsid w:val="00C83988"/>
    <w:rsid w:val="00C83A0A"/>
    <w:rsid w:val="00C83FC7"/>
    <w:rsid w:val="00C840F9"/>
    <w:rsid w:val="00C841D9"/>
    <w:rsid w:val="00C84926"/>
    <w:rsid w:val="00C85053"/>
    <w:rsid w:val="00C851F8"/>
    <w:rsid w:val="00C852AE"/>
    <w:rsid w:val="00C852FB"/>
    <w:rsid w:val="00C85632"/>
    <w:rsid w:val="00C857AD"/>
    <w:rsid w:val="00C8587D"/>
    <w:rsid w:val="00C869BC"/>
    <w:rsid w:val="00C86B8D"/>
    <w:rsid w:val="00C86BD0"/>
    <w:rsid w:val="00C86C16"/>
    <w:rsid w:val="00C871A0"/>
    <w:rsid w:val="00C87256"/>
    <w:rsid w:val="00C87534"/>
    <w:rsid w:val="00C87939"/>
    <w:rsid w:val="00C87B55"/>
    <w:rsid w:val="00C87C1F"/>
    <w:rsid w:val="00C90343"/>
    <w:rsid w:val="00C90B9E"/>
    <w:rsid w:val="00C90EB8"/>
    <w:rsid w:val="00C90F97"/>
    <w:rsid w:val="00C91044"/>
    <w:rsid w:val="00C915BE"/>
    <w:rsid w:val="00C9184D"/>
    <w:rsid w:val="00C9195A"/>
    <w:rsid w:val="00C91E6D"/>
    <w:rsid w:val="00C91FC3"/>
    <w:rsid w:val="00C923AA"/>
    <w:rsid w:val="00C923AE"/>
    <w:rsid w:val="00C92812"/>
    <w:rsid w:val="00C9293C"/>
    <w:rsid w:val="00C92E11"/>
    <w:rsid w:val="00C92E63"/>
    <w:rsid w:val="00C934A0"/>
    <w:rsid w:val="00C934AF"/>
    <w:rsid w:val="00C9352A"/>
    <w:rsid w:val="00C93582"/>
    <w:rsid w:val="00C93881"/>
    <w:rsid w:val="00C939C9"/>
    <w:rsid w:val="00C93A51"/>
    <w:rsid w:val="00C946B5"/>
    <w:rsid w:val="00C9480C"/>
    <w:rsid w:val="00C948DA"/>
    <w:rsid w:val="00C94923"/>
    <w:rsid w:val="00C952C8"/>
    <w:rsid w:val="00C958F2"/>
    <w:rsid w:val="00C95934"/>
    <w:rsid w:val="00C95939"/>
    <w:rsid w:val="00C95AAD"/>
    <w:rsid w:val="00C95B48"/>
    <w:rsid w:val="00C962F9"/>
    <w:rsid w:val="00C9634C"/>
    <w:rsid w:val="00C96455"/>
    <w:rsid w:val="00C964C4"/>
    <w:rsid w:val="00C96626"/>
    <w:rsid w:val="00C97051"/>
    <w:rsid w:val="00C97264"/>
    <w:rsid w:val="00C976E5"/>
    <w:rsid w:val="00C97983"/>
    <w:rsid w:val="00C97C21"/>
    <w:rsid w:val="00C97F7B"/>
    <w:rsid w:val="00CA0172"/>
    <w:rsid w:val="00CA03BF"/>
    <w:rsid w:val="00CA056C"/>
    <w:rsid w:val="00CA0D82"/>
    <w:rsid w:val="00CA0DC2"/>
    <w:rsid w:val="00CA0E75"/>
    <w:rsid w:val="00CA1474"/>
    <w:rsid w:val="00CA1524"/>
    <w:rsid w:val="00CA16A8"/>
    <w:rsid w:val="00CA1843"/>
    <w:rsid w:val="00CA1EF5"/>
    <w:rsid w:val="00CA200F"/>
    <w:rsid w:val="00CA21C7"/>
    <w:rsid w:val="00CA28E0"/>
    <w:rsid w:val="00CA2A27"/>
    <w:rsid w:val="00CA2AA1"/>
    <w:rsid w:val="00CA2AC1"/>
    <w:rsid w:val="00CA2ACA"/>
    <w:rsid w:val="00CA2BD3"/>
    <w:rsid w:val="00CA2CA0"/>
    <w:rsid w:val="00CA2DC0"/>
    <w:rsid w:val="00CA2E89"/>
    <w:rsid w:val="00CA3A17"/>
    <w:rsid w:val="00CA3B72"/>
    <w:rsid w:val="00CA3D19"/>
    <w:rsid w:val="00CA4360"/>
    <w:rsid w:val="00CA4372"/>
    <w:rsid w:val="00CA46FC"/>
    <w:rsid w:val="00CA4734"/>
    <w:rsid w:val="00CA52F7"/>
    <w:rsid w:val="00CA5404"/>
    <w:rsid w:val="00CA5440"/>
    <w:rsid w:val="00CA54A1"/>
    <w:rsid w:val="00CA5747"/>
    <w:rsid w:val="00CA5807"/>
    <w:rsid w:val="00CA5B44"/>
    <w:rsid w:val="00CA6103"/>
    <w:rsid w:val="00CA6121"/>
    <w:rsid w:val="00CA6B42"/>
    <w:rsid w:val="00CA6B7D"/>
    <w:rsid w:val="00CA6C46"/>
    <w:rsid w:val="00CA6D3A"/>
    <w:rsid w:val="00CA6D80"/>
    <w:rsid w:val="00CA6FBD"/>
    <w:rsid w:val="00CA71C8"/>
    <w:rsid w:val="00CA7303"/>
    <w:rsid w:val="00CA747D"/>
    <w:rsid w:val="00CA753F"/>
    <w:rsid w:val="00CA76AE"/>
    <w:rsid w:val="00CA7A57"/>
    <w:rsid w:val="00CA7AA0"/>
    <w:rsid w:val="00CA7AD4"/>
    <w:rsid w:val="00CA7E38"/>
    <w:rsid w:val="00CB0109"/>
    <w:rsid w:val="00CB11AC"/>
    <w:rsid w:val="00CB1225"/>
    <w:rsid w:val="00CB12D6"/>
    <w:rsid w:val="00CB14A7"/>
    <w:rsid w:val="00CB157E"/>
    <w:rsid w:val="00CB15A8"/>
    <w:rsid w:val="00CB18CA"/>
    <w:rsid w:val="00CB1AFC"/>
    <w:rsid w:val="00CB1DCE"/>
    <w:rsid w:val="00CB1FBE"/>
    <w:rsid w:val="00CB2316"/>
    <w:rsid w:val="00CB2B7F"/>
    <w:rsid w:val="00CB2E26"/>
    <w:rsid w:val="00CB36A9"/>
    <w:rsid w:val="00CB3B92"/>
    <w:rsid w:val="00CB4816"/>
    <w:rsid w:val="00CB4A42"/>
    <w:rsid w:val="00CB4AA8"/>
    <w:rsid w:val="00CB4B1F"/>
    <w:rsid w:val="00CB4BF4"/>
    <w:rsid w:val="00CB4EC1"/>
    <w:rsid w:val="00CB5281"/>
    <w:rsid w:val="00CB59D6"/>
    <w:rsid w:val="00CB5D90"/>
    <w:rsid w:val="00CB672A"/>
    <w:rsid w:val="00CB6A0F"/>
    <w:rsid w:val="00CB6B72"/>
    <w:rsid w:val="00CB7458"/>
    <w:rsid w:val="00CB78D7"/>
    <w:rsid w:val="00CB7B73"/>
    <w:rsid w:val="00CB7E49"/>
    <w:rsid w:val="00CC00C6"/>
    <w:rsid w:val="00CC0299"/>
    <w:rsid w:val="00CC0716"/>
    <w:rsid w:val="00CC088B"/>
    <w:rsid w:val="00CC0C01"/>
    <w:rsid w:val="00CC0CD5"/>
    <w:rsid w:val="00CC0DD2"/>
    <w:rsid w:val="00CC0EC4"/>
    <w:rsid w:val="00CC0EE8"/>
    <w:rsid w:val="00CC145E"/>
    <w:rsid w:val="00CC180C"/>
    <w:rsid w:val="00CC23FB"/>
    <w:rsid w:val="00CC2434"/>
    <w:rsid w:val="00CC25F8"/>
    <w:rsid w:val="00CC29BC"/>
    <w:rsid w:val="00CC2B40"/>
    <w:rsid w:val="00CC2BD5"/>
    <w:rsid w:val="00CC2F47"/>
    <w:rsid w:val="00CC31C5"/>
    <w:rsid w:val="00CC3239"/>
    <w:rsid w:val="00CC3391"/>
    <w:rsid w:val="00CC346F"/>
    <w:rsid w:val="00CC3634"/>
    <w:rsid w:val="00CC3718"/>
    <w:rsid w:val="00CC3A0C"/>
    <w:rsid w:val="00CC3FCB"/>
    <w:rsid w:val="00CC425D"/>
    <w:rsid w:val="00CC44E2"/>
    <w:rsid w:val="00CC4661"/>
    <w:rsid w:val="00CC47FE"/>
    <w:rsid w:val="00CC484E"/>
    <w:rsid w:val="00CC4AEA"/>
    <w:rsid w:val="00CC50FB"/>
    <w:rsid w:val="00CC516B"/>
    <w:rsid w:val="00CC51E8"/>
    <w:rsid w:val="00CC53C5"/>
    <w:rsid w:val="00CC5D3A"/>
    <w:rsid w:val="00CC5DCE"/>
    <w:rsid w:val="00CC5FB5"/>
    <w:rsid w:val="00CC61E3"/>
    <w:rsid w:val="00CC62B2"/>
    <w:rsid w:val="00CC684F"/>
    <w:rsid w:val="00CC68A6"/>
    <w:rsid w:val="00CC6B02"/>
    <w:rsid w:val="00CC73D3"/>
    <w:rsid w:val="00CC7473"/>
    <w:rsid w:val="00CC7A4D"/>
    <w:rsid w:val="00CC7ACD"/>
    <w:rsid w:val="00CC7BAE"/>
    <w:rsid w:val="00CC7BEC"/>
    <w:rsid w:val="00CD0013"/>
    <w:rsid w:val="00CD07C5"/>
    <w:rsid w:val="00CD0918"/>
    <w:rsid w:val="00CD0C0E"/>
    <w:rsid w:val="00CD0D5F"/>
    <w:rsid w:val="00CD0EAE"/>
    <w:rsid w:val="00CD12C0"/>
    <w:rsid w:val="00CD1622"/>
    <w:rsid w:val="00CD192D"/>
    <w:rsid w:val="00CD1ACA"/>
    <w:rsid w:val="00CD1C2B"/>
    <w:rsid w:val="00CD1D72"/>
    <w:rsid w:val="00CD2979"/>
    <w:rsid w:val="00CD2A7B"/>
    <w:rsid w:val="00CD2C46"/>
    <w:rsid w:val="00CD2EC2"/>
    <w:rsid w:val="00CD3062"/>
    <w:rsid w:val="00CD3567"/>
    <w:rsid w:val="00CD35C2"/>
    <w:rsid w:val="00CD3BF1"/>
    <w:rsid w:val="00CD3C72"/>
    <w:rsid w:val="00CD3DE7"/>
    <w:rsid w:val="00CD47B6"/>
    <w:rsid w:val="00CD4987"/>
    <w:rsid w:val="00CD4A80"/>
    <w:rsid w:val="00CD4BA8"/>
    <w:rsid w:val="00CD51D2"/>
    <w:rsid w:val="00CD5234"/>
    <w:rsid w:val="00CD53DB"/>
    <w:rsid w:val="00CD5500"/>
    <w:rsid w:val="00CD575E"/>
    <w:rsid w:val="00CD5991"/>
    <w:rsid w:val="00CD60D0"/>
    <w:rsid w:val="00CD6114"/>
    <w:rsid w:val="00CD6477"/>
    <w:rsid w:val="00CD6987"/>
    <w:rsid w:val="00CD6C32"/>
    <w:rsid w:val="00CD6C40"/>
    <w:rsid w:val="00CD6C7B"/>
    <w:rsid w:val="00CD6E9E"/>
    <w:rsid w:val="00CD6F61"/>
    <w:rsid w:val="00CD73DC"/>
    <w:rsid w:val="00CD7458"/>
    <w:rsid w:val="00CD7685"/>
    <w:rsid w:val="00CD7E5E"/>
    <w:rsid w:val="00CE00E8"/>
    <w:rsid w:val="00CE015A"/>
    <w:rsid w:val="00CE0587"/>
    <w:rsid w:val="00CE0780"/>
    <w:rsid w:val="00CE07ED"/>
    <w:rsid w:val="00CE0894"/>
    <w:rsid w:val="00CE08C4"/>
    <w:rsid w:val="00CE0B89"/>
    <w:rsid w:val="00CE0DDF"/>
    <w:rsid w:val="00CE1054"/>
    <w:rsid w:val="00CE10D5"/>
    <w:rsid w:val="00CE167E"/>
    <w:rsid w:val="00CE22C8"/>
    <w:rsid w:val="00CE256C"/>
    <w:rsid w:val="00CE2834"/>
    <w:rsid w:val="00CE2A53"/>
    <w:rsid w:val="00CE2AC9"/>
    <w:rsid w:val="00CE2DAB"/>
    <w:rsid w:val="00CE2FC8"/>
    <w:rsid w:val="00CE33BA"/>
    <w:rsid w:val="00CE340D"/>
    <w:rsid w:val="00CE342E"/>
    <w:rsid w:val="00CE3A78"/>
    <w:rsid w:val="00CE3B02"/>
    <w:rsid w:val="00CE3B22"/>
    <w:rsid w:val="00CE3B29"/>
    <w:rsid w:val="00CE3DC9"/>
    <w:rsid w:val="00CE3ECA"/>
    <w:rsid w:val="00CE4074"/>
    <w:rsid w:val="00CE4308"/>
    <w:rsid w:val="00CE46ED"/>
    <w:rsid w:val="00CE4C5D"/>
    <w:rsid w:val="00CE516D"/>
    <w:rsid w:val="00CE534A"/>
    <w:rsid w:val="00CE57E9"/>
    <w:rsid w:val="00CE5808"/>
    <w:rsid w:val="00CE6058"/>
    <w:rsid w:val="00CE6309"/>
    <w:rsid w:val="00CE66C3"/>
    <w:rsid w:val="00CE6792"/>
    <w:rsid w:val="00CE696F"/>
    <w:rsid w:val="00CE6C02"/>
    <w:rsid w:val="00CE6D03"/>
    <w:rsid w:val="00CE6D35"/>
    <w:rsid w:val="00CE6D60"/>
    <w:rsid w:val="00CE70E1"/>
    <w:rsid w:val="00CE7795"/>
    <w:rsid w:val="00CE7A0F"/>
    <w:rsid w:val="00CE7B90"/>
    <w:rsid w:val="00CE7D59"/>
    <w:rsid w:val="00CF01DE"/>
    <w:rsid w:val="00CF046A"/>
    <w:rsid w:val="00CF09BF"/>
    <w:rsid w:val="00CF0DD6"/>
    <w:rsid w:val="00CF1620"/>
    <w:rsid w:val="00CF166D"/>
    <w:rsid w:val="00CF1F36"/>
    <w:rsid w:val="00CF2093"/>
    <w:rsid w:val="00CF22A8"/>
    <w:rsid w:val="00CF23F3"/>
    <w:rsid w:val="00CF281E"/>
    <w:rsid w:val="00CF296C"/>
    <w:rsid w:val="00CF3145"/>
    <w:rsid w:val="00CF338C"/>
    <w:rsid w:val="00CF35F5"/>
    <w:rsid w:val="00CF393D"/>
    <w:rsid w:val="00CF3C98"/>
    <w:rsid w:val="00CF3EB6"/>
    <w:rsid w:val="00CF3FF2"/>
    <w:rsid w:val="00CF4221"/>
    <w:rsid w:val="00CF42D7"/>
    <w:rsid w:val="00CF441B"/>
    <w:rsid w:val="00CF4669"/>
    <w:rsid w:val="00CF470D"/>
    <w:rsid w:val="00CF4ADC"/>
    <w:rsid w:val="00CF4C8B"/>
    <w:rsid w:val="00CF4D89"/>
    <w:rsid w:val="00CF4DD2"/>
    <w:rsid w:val="00CF520C"/>
    <w:rsid w:val="00CF540D"/>
    <w:rsid w:val="00CF5AA4"/>
    <w:rsid w:val="00CF5B9F"/>
    <w:rsid w:val="00CF5BEA"/>
    <w:rsid w:val="00CF5F52"/>
    <w:rsid w:val="00CF6132"/>
    <w:rsid w:val="00CF62EC"/>
    <w:rsid w:val="00CF634F"/>
    <w:rsid w:val="00CF6515"/>
    <w:rsid w:val="00CF6909"/>
    <w:rsid w:val="00CF6B1C"/>
    <w:rsid w:val="00CF6D0F"/>
    <w:rsid w:val="00CF6D7B"/>
    <w:rsid w:val="00CF6DC4"/>
    <w:rsid w:val="00CF6F11"/>
    <w:rsid w:val="00CF72B3"/>
    <w:rsid w:val="00CF74B3"/>
    <w:rsid w:val="00CF74F5"/>
    <w:rsid w:val="00CF76E8"/>
    <w:rsid w:val="00CF7A88"/>
    <w:rsid w:val="00D003FC"/>
    <w:rsid w:val="00D004A1"/>
    <w:rsid w:val="00D0059D"/>
    <w:rsid w:val="00D009DB"/>
    <w:rsid w:val="00D009E4"/>
    <w:rsid w:val="00D009E9"/>
    <w:rsid w:val="00D00BA7"/>
    <w:rsid w:val="00D0131C"/>
    <w:rsid w:val="00D017A6"/>
    <w:rsid w:val="00D018D5"/>
    <w:rsid w:val="00D01F1F"/>
    <w:rsid w:val="00D02073"/>
    <w:rsid w:val="00D020C9"/>
    <w:rsid w:val="00D02129"/>
    <w:rsid w:val="00D0237B"/>
    <w:rsid w:val="00D02631"/>
    <w:rsid w:val="00D03033"/>
    <w:rsid w:val="00D0334E"/>
    <w:rsid w:val="00D03438"/>
    <w:rsid w:val="00D03E50"/>
    <w:rsid w:val="00D03ECC"/>
    <w:rsid w:val="00D042AA"/>
    <w:rsid w:val="00D0474B"/>
    <w:rsid w:val="00D0493C"/>
    <w:rsid w:val="00D04CAD"/>
    <w:rsid w:val="00D04DB1"/>
    <w:rsid w:val="00D04F11"/>
    <w:rsid w:val="00D0509E"/>
    <w:rsid w:val="00D05214"/>
    <w:rsid w:val="00D05333"/>
    <w:rsid w:val="00D0550D"/>
    <w:rsid w:val="00D05548"/>
    <w:rsid w:val="00D05608"/>
    <w:rsid w:val="00D05818"/>
    <w:rsid w:val="00D05827"/>
    <w:rsid w:val="00D05DDF"/>
    <w:rsid w:val="00D05EAA"/>
    <w:rsid w:val="00D06650"/>
    <w:rsid w:val="00D07199"/>
    <w:rsid w:val="00D072B9"/>
    <w:rsid w:val="00D074F8"/>
    <w:rsid w:val="00D076CB"/>
    <w:rsid w:val="00D077CE"/>
    <w:rsid w:val="00D07839"/>
    <w:rsid w:val="00D0791C"/>
    <w:rsid w:val="00D07D1A"/>
    <w:rsid w:val="00D07D67"/>
    <w:rsid w:val="00D07DF4"/>
    <w:rsid w:val="00D103AA"/>
    <w:rsid w:val="00D11115"/>
    <w:rsid w:val="00D112CA"/>
    <w:rsid w:val="00D11C2D"/>
    <w:rsid w:val="00D11D29"/>
    <w:rsid w:val="00D11EF6"/>
    <w:rsid w:val="00D121B5"/>
    <w:rsid w:val="00D12360"/>
    <w:rsid w:val="00D126CC"/>
    <w:rsid w:val="00D129C3"/>
    <w:rsid w:val="00D12E6B"/>
    <w:rsid w:val="00D13030"/>
    <w:rsid w:val="00D13FB9"/>
    <w:rsid w:val="00D147A9"/>
    <w:rsid w:val="00D14946"/>
    <w:rsid w:val="00D14AD9"/>
    <w:rsid w:val="00D14C4F"/>
    <w:rsid w:val="00D15063"/>
    <w:rsid w:val="00D15126"/>
    <w:rsid w:val="00D1518D"/>
    <w:rsid w:val="00D15306"/>
    <w:rsid w:val="00D15408"/>
    <w:rsid w:val="00D15793"/>
    <w:rsid w:val="00D15BAE"/>
    <w:rsid w:val="00D15F16"/>
    <w:rsid w:val="00D16135"/>
    <w:rsid w:val="00D162DB"/>
    <w:rsid w:val="00D16392"/>
    <w:rsid w:val="00D16655"/>
    <w:rsid w:val="00D168AC"/>
    <w:rsid w:val="00D16B0D"/>
    <w:rsid w:val="00D16EEC"/>
    <w:rsid w:val="00D16FC9"/>
    <w:rsid w:val="00D17280"/>
    <w:rsid w:val="00D172BB"/>
    <w:rsid w:val="00D1742F"/>
    <w:rsid w:val="00D1779E"/>
    <w:rsid w:val="00D17E92"/>
    <w:rsid w:val="00D17F44"/>
    <w:rsid w:val="00D204B2"/>
    <w:rsid w:val="00D204FF"/>
    <w:rsid w:val="00D20656"/>
    <w:rsid w:val="00D20AA3"/>
    <w:rsid w:val="00D20B9E"/>
    <w:rsid w:val="00D20D1E"/>
    <w:rsid w:val="00D21119"/>
    <w:rsid w:val="00D2165C"/>
    <w:rsid w:val="00D21A34"/>
    <w:rsid w:val="00D22091"/>
    <w:rsid w:val="00D22093"/>
    <w:rsid w:val="00D221DB"/>
    <w:rsid w:val="00D225F7"/>
    <w:rsid w:val="00D226DE"/>
    <w:rsid w:val="00D22733"/>
    <w:rsid w:val="00D22C3D"/>
    <w:rsid w:val="00D22E56"/>
    <w:rsid w:val="00D23202"/>
    <w:rsid w:val="00D23780"/>
    <w:rsid w:val="00D237ED"/>
    <w:rsid w:val="00D23C7A"/>
    <w:rsid w:val="00D241E1"/>
    <w:rsid w:val="00D245EB"/>
    <w:rsid w:val="00D2463F"/>
    <w:rsid w:val="00D246BC"/>
    <w:rsid w:val="00D247F9"/>
    <w:rsid w:val="00D249D6"/>
    <w:rsid w:val="00D25FF6"/>
    <w:rsid w:val="00D26136"/>
    <w:rsid w:val="00D26325"/>
    <w:rsid w:val="00D26359"/>
    <w:rsid w:val="00D265F5"/>
    <w:rsid w:val="00D266CA"/>
    <w:rsid w:val="00D269B3"/>
    <w:rsid w:val="00D26AA8"/>
    <w:rsid w:val="00D26D1B"/>
    <w:rsid w:val="00D274C5"/>
    <w:rsid w:val="00D27692"/>
    <w:rsid w:val="00D276B3"/>
    <w:rsid w:val="00D278B6"/>
    <w:rsid w:val="00D27953"/>
    <w:rsid w:val="00D3012C"/>
    <w:rsid w:val="00D30158"/>
    <w:rsid w:val="00D305CE"/>
    <w:rsid w:val="00D30CAA"/>
    <w:rsid w:val="00D31051"/>
    <w:rsid w:val="00D31387"/>
    <w:rsid w:val="00D316D6"/>
    <w:rsid w:val="00D322F6"/>
    <w:rsid w:val="00D325A9"/>
    <w:rsid w:val="00D326CE"/>
    <w:rsid w:val="00D32998"/>
    <w:rsid w:val="00D329F2"/>
    <w:rsid w:val="00D32C44"/>
    <w:rsid w:val="00D32EDF"/>
    <w:rsid w:val="00D331E6"/>
    <w:rsid w:val="00D3329B"/>
    <w:rsid w:val="00D333B8"/>
    <w:rsid w:val="00D33A92"/>
    <w:rsid w:val="00D33B5D"/>
    <w:rsid w:val="00D34034"/>
    <w:rsid w:val="00D344A9"/>
    <w:rsid w:val="00D345C7"/>
    <w:rsid w:val="00D3494E"/>
    <w:rsid w:val="00D349F6"/>
    <w:rsid w:val="00D34B8E"/>
    <w:rsid w:val="00D352F3"/>
    <w:rsid w:val="00D353C9"/>
    <w:rsid w:val="00D35446"/>
    <w:rsid w:val="00D3561F"/>
    <w:rsid w:val="00D35E01"/>
    <w:rsid w:val="00D35FFE"/>
    <w:rsid w:val="00D3606E"/>
    <w:rsid w:val="00D36A64"/>
    <w:rsid w:val="00D36DDB"/>
    <w:rsid w:val="00D36EB6"/>
    <w:rsid w:val="00D37057"/>
    <w:rsid w:val="00D37125"/>
    <w:rsid w:val="00D375D5"/>
    <w:rsid w:val="00D375DD"/>
    <w:rsid w:val="00D37817"/>
    <w:rsid w:val="00D37BE6"/>
    <w:rsid w:val="00D4009C"/>
    <w:rsid w:val="00D4027D"/>
    <w:rsid w:val="00D40346"/>
    <w:rsid w:val="00D40363"/>
    <w:rsid w:val="00D40569"/>
    <w:rsid w:val="00D4090C"/>
    <w:rsid w:val="00D40F6E"/>
    <w:rsid w:val="00D412A7"/>
    <w:rsid w:val="00D414D0"/>
    <w:rsid w:val="00D41523"/>
    <w:rsid w:val="00D4177B"/>
    <w:rsid w:val="00D4181D"/>
    <w:rsid w:val="00D419C1"/>
    <w:rsid w:val="00D41ABA"/>
    <w:rsid w:val="00D41CFC"/>
    <w:rsid w:val="00D41D5A"/>
    <w:rsid w:val="00D4232A"/>
    <w:rsid w:val="00D42DDE"/>
    <w:rsid w:val="00D42E3D"/>
    <w:rsid w:val="00D42F47"/>
    <w:rsid w:val="00D42F7A"/>
    <w:rsid w:val="00D42FE5"/>
    <w:rsid w:val="00D43459"/>
    <w:rsid w:val="00D4348B"/>
    <w:rsid w:val="00D439DC"/>
    <w:rsid w:val="00D43ACD"/>
    <w:rsid w:val="00D43E65"/>
    <w:rsid w:val="00D43F60"/>
    <w:rsid w:val="00D43FB0"/>
    <w:rsid w:val="00D448B3"/>
    <w:rsid w:val="00D45347"/>
    <w:rsid w:val="00D45598"/>
    <w:rsid w:val="00D455BA"/>
    <w:rsid w:val="00D4569F"/>
    <w:rsid w:val="00D4572E"/>
    <w:rsid w:val="00D459F2"/>
    <w:rsid w:val="00D45B67"/>
    <w:rsid w:val="00D45F54"/>
    <w:rsid w:val="00D46847"/>
    <w:rsid w:val="00D468AC"/>
    <w:rsid w:val="00D46A50"/>
    <w:rsid w:val="00D46CD5"/>
    <w:rsid w:val="00D46D6D"/>
    <w:rsid w:val="00D46D7F"/>
    <w:rsid w:val="00D46F05"/>
    <w:rsid w:val="00D46F15"/>
    <w:rsid w:val="00D46FA4"/>
    <w:rsid w:val="00D47C3F"/>
    <w:rsid w:val="00D47CBA"/>
    <w:rsid w:val="00D5064C"/>
    <w:rsid w:val="00D509C6"/>
    <w:rsid w:val="00D50AC1"/>
    <w:rsid w:val="00D51450"/>
    <w:rsid w:val="00D515D6"/>
    <w:rsid w:val="00D516C6"/>
    <w:rsid w:val="00D51C13"/>
    <w:rsid w:val="00D52017"/>
    <w:rsid w:val="00D52023"/>
    <w:rsid w:val="00D521DA"/>
    <w:rsid w:val="00D52232"/>
    <w:rsid w:val="00D529AB"/>
    <w:rsid w:val="00D52B2F"/>
    <w:rsid w:val="00D52E2D"/>
    <w:rsid w:val="00D52F09"/>
    <w:rsid w:val="00D531E0"/>
    <w:rsid w:val="00D532F8"/>
    <w:rsid w:val="00D536D4"/>
    <w:rsid w:val="00D538E4"/>
    <w:rsid w:val="00D53998"/>
    <w:rsid w:val="00D54031"/>
    <w:rsid w:val="00D54174"/>
    <w:rsid w:val="00D541FB"/>
    <w:rsid w:val="00D542E4"/>
    <w:rsid w:val="00D5447D"/>
    <w:rsid w:val="00D5476D"/>
    <w:rsid w:val="00D54864"/>
    <w:rsid w:val="00D54945"/>
    <w:rsid w:val="00D55012"/>
    <w:rsid w:val="00D551A2"/>
    <w:rsid w:val="00D55D59"/>
    <w:rsid w:val="00D565C1"/>
    <w:rsid w:val="00D5664D"/>
    <w:rsid w:val="00D567E7"/>
    <w:rsid w:val="00D56A51"/>
    <w:rsid w:val="00D56B7B"/>
    <w:rsid w:val="00D570B8"/>
    <w:rsid w:val="00D576F0"/>
    <w:rsid w:val="00D5774A"/>
    <w:rsid w:val="00D57B10"/>
    <w:rsid w:val="00D57C70"/>
    <w:rsid w:val="00D57CA5"/>
    <w:rsid w:val="00D60165"/>
    <w:rsid w:val="00D603A4"/>
    <w:rsid w:val="00D60B2C"/>
    <w:rsid w:val="00D60C0D"/>
    <w:rsid w:val="00D60D16"/>
    <w:rsid w:val="00D60FBE"/>
    <w:rsid w:val="00D61112"/>
    <w:rsid w:val="00D61479"/>
    <w:rsid w:val="00D614F7"/>
    <w:rsid w:val="00D61B7D"/>
    <w:rsid w:val="00D61D22"/>
    <w:rsid w:val="00D61F59"/>
    <w:rsid w:val="00D61F66"/>
    <w:rsid w:val="00D620D9"/>
    <w:rsid w:val="00D6218E"/>
    <w:rsid w:val="00D622CD"/>
    <w:rsid w:val="00D6235C"/>
    <w:rsid w:val="00D623A1"/>
    <w:rsid w:val="00D6266E"/>
    <w:rsid w:val="00D629FF"/>
    <w:rsid w:val="00D62FF5"/>
    <w:rsid w:val="00D6327B"/>
    <w:rsid w:val="00D63338"/>
    <w:rsid w:val="00D634C6"/>
    <w:rsid w:val="00D63A79"/>
    <w:rsid w:val="00D63AEE"/>
    <w:rsid w:val="00D63BCA"/>
    <w:rsid w:val="00D63BE9"/>
    <w:rsid w:val="00D64027"/>
    <w:rsid w:val="00D64036"/>
    <w:rsid w:val="00D6425C"/>
    <w:rsid w:val="00D6426E"/>
    <w:rsid w:val="00D643F2"/>
    <w:rsid w:val="00D6484D"/>
    <w:rsid w:val="00D64AD6"/>
    <w:rsid w:val="00D65257"/>
    <w:rsid w:val="00D6564D"/>
    <w:rsid w:val="00D6594A"/>
    <w:rsid w:val="00D659F1"/>
    <w:rsid w:val="00D65D9B"/>
    <w:rsid w:val="00D65FE9"/>
    <w:rsid w:val="00D66369"/>
    <w:rsid w:val="00D66397"/>
    <w:rsid w:val="00D6644C"/>
    <w:rsid w:val="00D66DE3"/>
    <w:rsid w:val="00D67557"/>
    <w:rsid w:val="00D67560"/>
    <w:rsid w:val="00D677C4"/>
    <w:rsid w:val="00D678A8"/>
    <w:rsid w:val="00D7062B"/>
    <w:rsid w:val="00D70656"/>
    <w:rsid w:val="00D70699"/>
    <w:rsid w:val="00D714DC"/>
    <w:rsid w:val="00D7153B"/>
    <w:rsid w:val="00D7173C"/>
    <w:rsid w:val="00D71EE5"/>
    <w:rsid w:val="00D723A0"/>
    <w:rsid w:val="00D729D9"/>
    <w:rsid w:val="00D73228"/>
    <w:rsid w:val="00D732C5"/>
    <w:rsid w:val="00D73512"/>
    <w:rsid w:val="00D73601"/>
    <w:rsid w:val="00D73637"/>
    <w:rsid w:val="00D73638"/>
    <w:rsid w:val="00D73651"/>
    <w:rsid w:val="00D73CAB"/>
    <w:rsid w:val="00D73F52"/>
    <w:rsid w:val="00D7461A"/>
    <w:rsid w:val="00D749D1"/>
    <w:rsid w:val="00D749FE"/>
    <w:rsid w:val="00D74A0C"/>
    <w:rsid w:val="00D74B91"/>
    <w:rsid w:val="00D74D8A"/>
    <w:rsid w:val="00D74DDC"/>
    <w:rsid w:val="00D74E16"/>
    <w:rsid w:val="00D7545A"/>
    <w:rsid w:val="00D75CFA"/>
    <w:rsid w:val="00D76036"/>
    <w:rsid w:val="00D76106"/>
    <w:rsid w:val="00D762D8"/>
    <w:rsid w:val="00D764F4"/>
    <w:rsid w:val="00D76873"/>
    <w:rsid w:val="00D76BA5"/>
    <w:rsid w:val="00D77024"/>
    <w:rsid w:val="00D7726F"/>
    <w:rsid w:val="00D77355"/>
    <w:rsid w:val="00D77A9E"/>
    <w:rsid w:val="00D802A1"/>
    <w:rsid w:val="00D803C8"/>
    <w:rsid w:val="00D804D3"/>
    <w:rsid w:val="00D806AE"/>
    <w:rsid w:val="00D80855"/>
    <w:rsid w:val="00D8099C"/>
    <w:rsid w:val="00D80B69"/>
    <w:rsid w:val="00D80BB5"/>
    <w:rsid w:val="00D80C9E"/>
    <w:rsid w:val="00D80E85"/>
    <w:rsid w:val="00D814B9"/>
    <w:rsid w:val="00D81555"/>
    <w:rsid w:val="00D81582"/>
    <w:rsid w:val="00D81B1E"/>
    <w:rsid w:val="00D81CDA"/>
    <w:rsid w:val="00D81FFB"/>
    <w:rsid w:val="00D8209B"/>
    <w:rsid w:val="00D822BC"/>
    <w:rsid w:val="00D824E2"/>
    <w:rsid w:val="00D827C1"/>
    <w:rsid w:val="00D82845"/>
    <w:rsid w:val="00D832B5"/>
    <w:rsid w:val="00D8354D"/>
    <w:rsid w:val="00D8381F"/>
    <w:rsid w:val="00D83E57"/>
    <w:rsid w:val="00D83FA7"/>
    <w:rsid w:val="00D84467"/>
    <w:rsid w:val="00D84482"/>
    <w:rsid w:val="00D845CD"/>
    <w:rsid w:val="00D8463C"/>
    <w:rsid w:val="00D8484D"/>
    <w:rsid w:val="00D84D23"/>
    <w:rsid w:val="00D8578E"/>
    <w:rsid w:val="00D85855"/>
    <w:rsid w:val="00D859A6"/>
    <w:rsid w:val="00D859BF"/>
    <w:rsid w:val="00D860F6"/>
    <w:rsid w:val="00D8610D"/>
    <w:rsid w:val="00D86152"/>
    <w:rsid w:val="00D864DE"/>
    <w:rsid w:val="00D866C3"/>
    <w:rsid w:val="00D8690C"/>
    <w:rsid w:val="00D86F5D"/>
    <w:rsid w:val="00D873F7"/>
    <w:rsid w:val="00D87499"/>
    <w:rsid w:val="00D87649"/>
    <w:rsid w:val="00D87BE0"/>
    <w:rsid w:val="00D87F14"/>
    <w:rsid w:val="00D90080"/>
    <w:rsid w:val="00D90088"/>
    <w:rsid w:val="00D900AB"/>
    <w:rsid w:val="00D90474"/>
    <w:rsid w:val="00D90B56"/>
    <w:rsid w:val="00D90CE4"/>
    <w:rsid w:val="00D91557"/>
    <w:rsid w:val="00D91579"/>
    <w:rsid w:val="00D91966"/>
    <w:rsid w:val="00D9274B"/>
    <w:rsid w:val="00D92B87"/>
    <w:rsid w:val="00D92DB7"/>
    <w:rsid w:val="00D92ECA"/>
    <w:rsid w:val="00D93023"/>
    <w:rsid w:val="00D937B6"/>
    <w:rsid w:val="00D93CA8"/>
    <w:rsid w:val="00D93E2F"/>
    <w:rsid w:val="00D94069"/>
    <w:rsid w:val="00D94158"/>
    <w:rsid w:val="00D948EE"/>
    <w:rsid w:val="00D94917"/>
    <w:rsid w:val="00D94AE0"/>
    <w:rsid w:val="00D953AA"/>
    <w:rsid w:val="00D953C1"/>
    <w:rsid w:val="00D953E3"/>
    <w:rsid w:val="00D95A8A"/>
    <w:rsid w:val="00D95EC2"/>
    <w:rsid w:val="00D96126"/>
    <w:rsid w:val="00D96259"/>
    <w:rsid w:val="00D96C6E"/>
    <w:rsid w:val="00D96F61"/>
    <w:rsid w:val="00D96FCE"/>
    <w:rsid w:val="00D974D6"/>
    <w:rsid w:val="00D979B9"/>
    <w:rsid w:val="00D97A1B"/>
    <w:rsid w:val="00D97A31"/>
    <w:rsid w:val="00D97E66"/>
    <w:rsid w:val="00DA02B1"/>
    <w:rsid w:val="00DA0A0E"/>
    <w:rsid w:val="00DA0F8C"/>
    <w:rsid w:val="00DA0FC8"/>
    <w:rsid w:val="00DA11AD"/>
    <w:rsid w:val="00DA1359"/>
    <w:rsid w:val="00DA1699"/>
    <w:rsid w:val="00DA177B"/>
    <w:rsid w:val="00DA1B1C"/>
    <w:rsid w:val="00DA2479"/>
    <w:rsid w:val="00DA24BB"/>
    <w:rsid w:val="00DA25AB"/>
    <w:rsid w:val="00DA2B24"/>
    <w:rsid w:val="00DA2B39"/>
    <w:rsid w:val="00DA2CD7"/>
    <w:rsid w:val="00DA2FB9"/>
    <w:rsid w:val="00DA33A5"/>
    <w:rsid w:val="00DA37E9"/>
    <w:rsid w:val="00DA385C"/>
    <w:rsid w:val="00DA3E5E"/>
    <w:rsid w:val="00DA40C7"/>
    <w:rsid w:val="00DA40F3"/>
    <w:rsid w:val="00DA42F3"/>
    <w:rsid w:val="00DA493B"/>
    <w:rsid w:val="00DA4ACE"/>
    <w:rsid w:val="00DA4C45"/>
    <w:rsid w:val="00DA52DA"/>
    <w:rsid w:val="00DA531C"/>
    <w:rsid w:val="00DA53E5"/>
    <w:rsid w:val="00DA58D5"/>
    <w:rsid w:val="00DA5E92"/>
    <w:rsid w:val="00DA6219"/>
    <w:rsid w:val="00DA660D"/>
    <w:rsid w:val="00DA6CE3"/>
    <w:rsid w:val="00DA6EF6"/>
    <w:rsid w:val="00DA6F8F"/>
    <w:rsid w:val="00DA718E"/>
    <w:rsid w:val="00DA71E1"/>
    <w:rsid w:val="00DB00F2"/>
    <w:rsid w:val="00DB05DA"/>
    <w:rsid w:val="00DB0AAB"/>
    <w:rsid w:val="00DB0B39"/>
    <w:rsid w:val="00DB0BC9"/>
    <w:rsid w:val="00DB0EA9"/>
    <w:rsid w:val="00DB1503"/>
    <w:rsid w:val="00DB172F"/>
    <w:rsid w:val="00DB2101"/>
    <w:rsid w:val="00DB2686"/>
    <w:rsid w:val="00DB27A7"/>
    <w:rsid w:val="00DB34F9"/>
    <w:rsid w:val="00DB3663"/>
    <w:rsid w:val="00DB3EFE"/>
    <w:rsid w:val="00DB41E2"/>
    <w:rsid w:val="00DB4BD4"/>
    <w:rsid w:val="00DB4E46"/>
    <w:rsid w:val="00DB524F"/>
    <w:rsid w:val="00DB547F"/>
    <w:rsid w:val="00DB550E"/>
    <w:rsid w:val="00DB5F1C"/>
    <w:rsid w:val="00DB6075"/>
    <w:rsid w:val="00DB62F2"/>
    <w:rsid w:val="00DB644A"/>
    <w:rsid w:val="00DB6731"/>
    <w:rsid w:val="00DB6840"/>
    <w:rsid w:val="00DB6C29"/>
    <w:rsid w:val="00DB6EDA"/>
    <w:rsid w:val="00DB718B"/>
    <w:rsid w:val="00DB71DB"/>
    <w:rsid w:val="00DB7502"/>
    <w:rsid w:val="00DB7698"/>
    <w:rsid w:val="00DB7810"/>
    <w:rsid w:val="00DB79B1"/>
    <w:rsid w:val="00DB7B95"/>
    <w:rsid w:val="00DB7D5C"/>
    <w:rsid w:val="00DB7E0A"/>
    <w:rsid w:val="00DB7FAD"/>
    <w:rsid w:val="00DB7FC7"/>
    <w:rsid w:val="00DC0203"/>
    <w:rsid w:val="00DC0574"/>
    <w:rsid w:val="00DC09F5"/>
    <w:rsid w:val="00DC0D47"/>
    <w:rsid w:val="00DC132C"/>
    <w:rsid w:val="00DC153C"/>
    <w:rsid w:val="00DC15A8"/>
    <w:rsid w:val="00DC1A03"/>
    <w:rsid w:val="00DC1C6B"/>
    <w:rsid w:val="00DC1DD3"/>
    <w:rsid w:val="00DC1DF0"/>
    <w:rsid w:val="00DC213B"/>
    <w:rsid w:val="00DC21BD"/>
    <w:rsid w:val="00DC22A9"/>
    <w:rsid w:val="00DC2733"/>
    <w:rsid w:val="00DC2982"/>
    <w:rsid w:val="00DC2BFA"/>
    <w:rsid w:val="00DC2F43"/>
    <w:rsid w:val="00DC335A"/>
    <w:rsid w:val="00DC34D9"/>
    <w:rsid w:val="00DC35AD"/>
    <w:rsid w:val="00DC35B8"/>
    <w:rsid w:val="00DC3810"/>
    <w:rsid w:val="00DC403F"/>
    <w:rsid w:val="00DC46D3"/>
    <w:rsid w:val="00DC4739"/>
    <w:rsid w:val="00DC4874"/>
    <w:rsid w:val="00DC4C13"/>
    <w:rsid w:val="00DC512C"/>
    <w:rsid w:val="00DC53DE"/>
    <w:rsid w:val="00DC5606"/>
    <w:rsid w:val="00DC57F2"/>
    <w:rsid w:val="00DC597C"/>
    <w:rsid w:val="00DC5B18"/>
    <w:rsid w:val="00DC5D45"/>
    <w:rsid w:val="00DC5DF8"/>
    <w:rsid w:val="00DC62A8"/>
    <w:rsid w:val="00DC63D3"/>
    <w:rsid w:val="00DC65F5"/>
    <w:rsid w:val="00DC680C"/>
    <w:rsid w:val="00DC6907"/>
    <w:rsid w:val="00DC693C"/>
    <w:rsid w:val="00DC6BDA"/>
    <w:rsid w:val="00DC6EEF"/>
    <w:rsid w:val="00DC6F59"/>
    <w:rsid w:val="00DC701E"/>
    <w:rsid w:val="00DC7207"/>
    <w:rsid w:val="00DC720B"/>
    <w:rsid w:val="00DC72FF"/>
    <w:rsid w:val="00DC75F2"/>
    <w:rsid w:val="00DC7929"/>
    <w:rsid w:val="00DD03EB"/>
    <w:rsid w:val="00DD0A11"/>
    <w:rsid w:val="00DD0DD5"/>
    <w:rsid w:val="00DD0F94"/>
    <w:rsid w:val="00DD1048"/>
    <w:rsid w:val="00DD121F"/>
    <w:rsid w:val="00DD123D"/>
    <w:rsid w:val="00DD1808"/>
    <w:rsid w:val="00DD253B"/>
    <w:rsid w:val="00DD28C4"/>
    <w:rsid w:val="00DD2A76"/>
    <w:rsid w:val="00DD2DBC"/>
    <w:rsid w:val="00DD30E1"/>
    <w:rsid w:val="00DD37AD"/>
    <w:rsid w:val="00DD3C21"/>
    <w:rsid w:val="00DD3C73"/>
    <w:rsid w:val="00DD43C3"/>
    <w:rsid w:val="00DD46D9"/>
    <w:rsid w:val="00DD4943"/>
    <w:rsid w:val="00DD4C78"/>
    <w:rsid w:val="00DD4D0D"/>
    <w:rsid w:val="00DD4F65"/>
    <w:rsid w:val="00DD57EA"/>
    <w:rsid w:val="00DD588A"/>
    <w:rsid w:val="00DD5AC1"/>
    <w:rsid w:val="00DD634A"/>
    <w:rsid w:val="00DD649B"/>
    <w:rsid w:val="00DD68AC"/>
    <w:rsid w:val="00DD6AB0"/>
    <w:rsid w:val="00DD6FFC"/>
    <w:rsid w:val="00DD700D"/>
    <w:rsid w:val="00DD7341"/>
    <w:rsid w:val="00DD78B8"/>
    <w:rsid w:val="00DE086E"/>
    <w:rsid w:val="00DE0E1E"/>
    <w:rsid w:val="00DE1352"/>
    <w:rsid w:val="00DE14CB"/>
    <w:rsid w:val="00DE1B7D"/>
    <w:rsid w:val="00DE2671"/>
    <w:rsid w:val="00DE2AF2"/>
    <w:rsid w:val="00DE2C39"/>
    <w:rsid w:val="00DE3421"/>
    <w:rsid w:val="00DE3CFE"/>
    <w:rsid w:val="00DE3FCB"/>
    <w:rsid w:val="00DE4289"/>
    <w:rsid w:val="00DE42BE"/>
    <w:rsid w:val="00DE4369"/>
    <w:rsid w:val="00DE4543"/>
    <w:rsid w:val="00DE50CD"/>
    <w:rsid w:val="00DE51DA"/>
    <w:rsid w:val="00DE5347"/>
    <w:rsid w:val="00DE5421"/>
    <w:rsid w:val="00DE547A"/>
    <w:rsid w:val="00DE555E"/>
    <w:rsid w:val="00DE581F"/>
    <w:rsid w:val="00DE5A47"/>
    <w:rsid w:val="00DE64B9"/>
    <w:rsid w:val="00DE65C9"/>
    <w:rsid w:val="00DE6621"/>
    <w:rsid w:val="00DE674B"/>
    <w:rsid w:val="00DE6763"/>
    <w:rsid w:val="00DE6A3E"/>
    <w:rsid w:val="00DE6E3B"/>
    <w:rsid w:val="00DE6E8E"/>
    <w:rsid w:val="00DE703E"/>
    <w:rsid w:val="00DE753C"/>
    <w:rsid w:val="00DE7667"/>
    <w:rsid w:val="00DE783A"/>
    <w:rsid w:val="00DE78DB"/>
    <w:rsid w:val="00DE7B79"/>
    <w:rsid w:val="00DE7DE0"/>
    <w:rsid w:val="00DF0154"/>
    <w:rsid w:val="00DF01C2"/>
    <w:rsid w:val="00DF01E0"/>
    <w:rsid w:val="00DF06E9"/>
    <w:rsid w:val="00DF072A"/>
    <w:rsid w:val="00DF07DC"/>
    <w:rsid w:val="00DF09EB"/>
    <w:rsid w:val="00DF0A0B"/>
    <w:rsid w:val="00DF0B42"/>
    <w:rsid w:val="00DF0D8D"/>
    <w:rsid w:val="00DF1292"/>
    <w:rsid w:val="00DF1899"/>
    <w:rsid w:val="00DF1A1F"/>
    <w:rsid w:val="00DF1C92"/>
    <w:rsid w:val="00DF1D76"/>
    <w:rsid w:val="00DF1E86"/>
    <w:rsid w:val="00DF2082"/>
    <w:rsid w:val="00DF2352"/>
    <w:rsid w:val="00DF258A"/>
    <w:rsid w:val="00DF2905"/>
    <w:rsid w:val="00DF2BEE"/>
    <w:rsid w:val="00DF2DC9"/>
    <w:rsid w:val="00DF2DF5"/>
    <w:rsid w:val="00DF305A"/>
    <w:rsid w:val="00DF3147"/>
    <w:rsid w:val="00DF323D"/>
    <w:rsid w:val="00DF3249"/>
    <w:rsid w:val="00DF3A40"/>
    <w:rsid w:val="00DF3B95"/>
    <w:rsid w:val="00DF3CD9"/>
    <w:rsid w:val="00DF44D8"/>
    <w:rsid w:val="00DF4850"/>
    <w:rsid w:val="00DF4A09"/>
    <w:rsid w:val="00DF4B90"/>
    <w:rsid w:val="00DF4BCD"/>
    <w:rsid w:val="00DF5223"/>
    <w:rsid w:val="00DF529D"/>
    <w:rsid w:val="00DF5547"/>
    <w:rsid w:val="00DF5CC4"/>
    <w:rsid w:val="00DF5E3A"/>
    <w:rsid w:val="00DF6F1D"/>
    <w:rsid w:val="00DF724E"/>
    <w:rsid w:val="00DF737E"/>
    <w:rsid w:val="00DF7474"/>
    <w:rsid w:val="00DF7534"/>
    <w:rsid w:val="00DF775F"/>
    <w:rsid w:val="00DF7B9E"/>
    <w:rsid w:val="00E001F3"/>
    <w:rsid w:val="00E0051F"/>
    <w:rsid w:val="00E00676"/>
    <w:rsid w:val="00E006D0"/>
    <w:rsid w:val="00E006D2"/>
    <w:rsid w:val="00E00A79"/>
    <w:rsid w:val="00E00AC2"/>
    <w:rsid w:val="00E00BA4"/>
    <w:rsid w:val="00E00C5E"/>
    <w:rsid w:val="00E00E2B"/>
    <w:rsid w:val="00E00EBA"/>
    <w:rsid w:val="00E01E11"/>
    <w:rsid w:val="00E01E3F"/>
    <w:rsid w:val="00E02291"/>
    <w:rsid w:val="00E02296"/>
    <w:rsid w:val="00E02564"/>
    <w:rsid w:val="00E026F3"/>
    <w:rsid w:val="00E0283D"/>
    <w:rsid w:val="00E02EB8"/>
    <w:rsid w:val="00E0382C"/>
    <w:rsid w:val="00E0395A"/>
    <w:rsid w:val="00E03B07"/>
    <w:rsid w:val="00E03B48"/>
    <w:rsid w:val="00E03DB3"/>
    <w:rsid w:val="00E04682"/>
    <w:rsid w:val="00E04CAC"/>
    <w:rsid w:val="00E04F35"/>
    <w:rsid w:val="00E04FFE"/>
    <w:rsid w:val="00E05900"/>
    <w:rsid w:val="00E05994"/>
    <w:rsid w:val="00E05D16"/>
    <w:rsid w:val="00E05FB5"/>
    <w:rsid w:val="00E067C1"/>
    <w:rsid w:val="00E069FE"/>
    <w:rsid w:val="00E06A52"/>
    <w:rsid w:val="00E06B93"/>
    <w:rsid w:val="00E07F8F"/>
    <w:rsid w:val="00E104F9"/>
    <w:rsid w:val="00E10A2B"/>
    <w:rsid w:val="00E10B41"/>
    <w:rsid w:val="00E10B8C"/>
    <w:rsid w:val="00E10BA8"/>
    <w:rsid w:val="00E10CEA"/>
    <w:rsid w:val="00E10DF0"/>
    <w:rsid w:val="00E11657"/>
    <w:rsid w:val="00E11E58"/>
    <w:rsid w:val="00E1235B"/>
    <w:rsid w:val="00E12BA6"/>
    <w:rsid w:val="00E12C03"/>
    <w:rsid w:val="00E12CA0"/>
    <w:rsid w:val="00E1319B"/>
    <w:rsid w:val="00E13208"/>
    <w:rsid w:val="00E132D4"/>
    <w:rsid w:val="00E136A5"/>
    <w:rsid w:val="00E138D7"/>
    <w:rsid w:val="00E139A5"/>
    <w:rsid w:val="00E139CB"/>
    <w:rsid w:val="00E139DA"/>
    <w:rsid w:val="00E13B48"/>
    <w:rsid w:val="00E13D87"/>
    <w:rsid w:val="00E1403F"/>
    <w:rsid w:val="00E141DB"/>
    <w:rsid w:val="00E1450F"/>
    <w:rsid w:val="00E14673"/>
    <w:rsid w:val="00E14739"/>
    <w:rsid w:val="00E14F33"/>
    <w:rsid w:val="00E15062"/>
    <w:rsid w:val="00E152B3"/>
    <w:rsid w:val="00E1575E"/>
    <w:rsid w:val="00E15BFE"/>
    <w:rsid w:val="00E15C85"/>
    <w:rsid w:val="00E15D04"/>
    <w:rsid w:val="00E16298"/>
    <w:rsid w:val="00E1675A"/>
    <w:rsid w:val="00E16B66"/>
    <w:rsid w:val="00E171E4"/>
    <w:rsid w:val="00E17400"/>
    <w:rsid w:val="00E17556"/>
    <w:rsid w:val="00E17F9F"/>
    <w:rsid w:val="00E17FDC"/>
    <w:rsid w:val="00E20027"/>
    <w:rsid w:val="00E200A2"/>
    <w:rsid w:val="00E2034A"/>
    <w:rsid w:val="00E205AC"/>
    <w:rsid w:val="00E209C3"/>
    <w:rsid w:val="00E21007"/>
    <w:rsid w:val="00E21282"/>
    <w:rsid w:val="00E21338"/>
    <w:rsid w:val="00E2142B"/>
    <w:rsid w:val="00E218F0"/>
    <w:rsid w:val="00E21D5F"/>
    <w:rsid w:val="00E21DE1"/>
    <w:rsid w:val="00E224DD"/>
    <w:rsid w:val="00E22685"/>
    <w:rsid w:val="00E22B98"/>
    <w:rsid w:val="00E22C7D"/>
    <w:rsid w:val="00E22E94"/>
    <w:rsid w:val="00E23208"/>
    <w:rsid w:val="00E2377F"/>
    <w:rsid w:val="00E23956"/>
    <w:rsid w:val="00E23BF0"/>
    <w:rsid w:val="00E23D21"/>
    <w:rsid w:val="00E23FE4"/>
    <w:rsid w:val="00E242E9"/>
    <w:rsid w:val="00E24467"/>
    <w:rsid w:val="00E244C9"/>
    <w:rsid w:val="00E248D2"/>
    <w:rsid w:val="00E249BF"/>
    <w:rsid w:val="00E24C35"/>
    <w:rsid w:val="00E25181"/>
    <w:rsid w:val="00E253DD"/>
    <w:rsid w:val="00E25504"/>
    <w:rsid w:val="00E25732"/>
    <w:rsid w:val="00E25CC6"/>
    <w:rsid w:val="00E2607A"/>
    <w:rsid w:val="00E261D8"/>
    <w:rsid w:val="00E26469"/>
    <w:rsid w:val="00E268D6"/>
    <w:rsid w:val="00E27771"/>
    <w:rsid w:val="00E305FB"/>
    <w:rsid w:val="00E30730"/>
    <w:rsid w:val="00E3081A"/>
    <w:rsid w:val="00E30ADC"/>
    <w:rsid w:val="00E30B24"/>
    <w:rsid w:val="00E31108"/>
    <w:rsid w:val="00E3186C"/>
    <w:rsid w:val="00E31CEC"/>
    <w:rsid w:val="00E31F84"/>
    <w:rsid w:val="00E3202E"/>
    <w:rsid w:val="00E32100"/>
    <w:rsid w:val="00E32271"/>
    <w:rsid w:val="00E3281F"/>
    <w:rsid w:val="00E33331"/>
    <w:rsid w:val="00E33517"/>
    <w:rsid w:val="00E33BE4"/>
    <w:rsid w:val="00E33FE5"/>
    <w:rsid w:val="00E342A7"/>
    <w:rsid w:val="00E348C9"/>
    <w:rsid w:val="00E349AA"/>
    <w:rsid w:val="00E35641"/>
    <w:rsid w:val="00E358C1"/>
    <w:rsid w:val="00E35B25"/>
    <w:rsid w:val="00E36209"/>
    <w:rsid w:val="00E362F6"/>
    <w:rsid w:val="00E3633F"/>
    <w:rsid w:val="00E3650E"/>
    <w:rsid w:val="00E367FE"/>
    <w:rsid w:val="00E36E7A"/>
    <w:rsid w:val="00E370D2"/>
    <w:rsid w:val="00E37101"/>
    <w:rsid w:val="00E37F83"/>
    <w:rsid w:val="00E40C5A"/>
    <w:rsid w:val="00E40DF6"/>
    <w:rsid w:val="00E40E32"/>
    <w:rsid w:val="00E4164E"/>
    <w:rsid w:val="00E4195E"/>
    <w:rsid w:val="00E41B2B"/>
    <w:rsid w:val="00E41B88"/>
    <w:rsid w:val="00E41BB1"/>
    <w:rsid w:val="00E41C35"/>
    <w:rsid w:val="00E41D0F"/>
    <w:rsid w:val="00E42137"/>
    <w:rsid w:val="00E42142"/>
    <w:rsid w:val="00E4263B"/>
    <w:rsid w:val="00E428F5"/>
    <w:rsid w:val="00E42B13"/>
    <w:rsid w:val="00E42CAB"/>
    <w:rsid w:val="00E42F93"/>
    <w:rsid w:val="00E430A5"/>
    <w:rsid w:val="00E4320C"/>
    <w:rsid w:val="00E433CB"/>
    <w:rsid w:val="00E437ED"/>
    <w:rsid w:val="00E43B06"/>
    <w:rsid w:val="00E43C8D"/>
    <w:rsid w:val="00E43D2C"/>
    <w:rsid w:val="00E44B52"/>
    <w:rsid w:val="00E44B9C"/>
    <w:rsid w:val="00E44D13"/>
    <w:rsid w:val="00E44F12"/>
    <w:rsid w:val="00E45096"/>
    <w:rsid w:val="00E450AA"/>
    <w:rsid w:val="00E451B1"/>
    <w:rsid w:val="00E451B3"/>
    <w:rsid w:val="00E4525F"/>
    <w:rsid w:val="00E4539C"/>
    <w:rsid w:val="00E45429"/>
    <w:rsid w:val="00E45D17"/>
    <w:rsid w:val="00E45E6F"/>
    <w:rsid w:val="00E45FC3"/>
    <w:rsid w:val="00E4633A"/>
    <w:rsid w:val="00E46371"/>
    <w:rsid w:val="00E463FC"/>
    <w:rsid w:val="00E47569"/>
    <w:rsid w:val="00E4778F"/>
    <w:rsid w:val="00E47AEF"/>
    <w:rsid w:val="00E47C93"/>
    <w:rsid w:val="00E47CF2"/>
    <w:rsid w:val="00E50204"/>
    <w:rsid w:val="00E50218"/>
    <w:rsid w:val="00E50233"/>
    <w:rsid w:val="00E50251"/>
    <w:rsid w:val="00E503F9"/>
    <w:rsid w:val="00E505EE"/>
    <w:rsid w:val="00E506CA"/>
    <w:rsid w:val="00E50C63"/>
    <w:rsid w:val="00E50CFF"/>
    <w:rsid w:val="00E50EAB"/>
    <w:rsid w:val="00E510A4"/>
    <w:rsid w:val="00E51433"/>
    <w:rsid w:val="00E51B22"/>
    <w:rsid w:val="00E51F1C"/>
    <w:rsid w:val="00E523FD"/>
    <w:rsid w:val="00E525C9"/>
    <w:rsid w:val="00E5262C"/>
    <w:rsid w:val="00E52B4E"/>
    <w:rsid w:val="00E52B55"/>
    <w:rsid w:val="00E52B63"/>
    <w:rsid w:val="00E531E1"/>
    <w:rsid w:val="00E533AA"/>
    <w:rsid w:val="00E5358E"/>
    <w:rsid w:val="00E5399A"/>
    <w:rsid w:val="00E539F2"/>
    <w:rsid w:val="00E53B25"/>
    <w:rsid w:val="00E53C39"/>
    <w:rsid w:val="00E54065"/>
    <w:rsid w:val="00E54131"/>
    <w:rsid w:val="00E545FE"/>
    <w:rsid w:val="00E546F4"/>
    <w:rsid w:val="00E54747"/>
    <w:rsid w:val="00E547F6"/>
    <w:rsid w:val="00E54B0C"/>
    <w:rsid w:val="00E54E82"/>
    <w:rsid w:val="00E54EF6"/>
    <w:rsid w:val="00E55032"/>
    <w:rsid w:val="00E550CF"/>
    <w:rsid w:val="00E553EE"/>
    <w:rsid w:val="00E55576"/>
    <w:rsid w:val="00E55B13"/>
    <w:rsid w:val="00E55C31"/>
    <w:rsid w:val="00E55EEA"/>
    <w:rsid w:val="00E5623C"/>
    <w:rsid w:val="00E56477"/>
    <w:rsid w:val="00E568C4"/>
    <w:rsid w:val="00E56E81"/>
    <w:rsid w:val="00E56FCC"/>
    <w:rsid w:val="00E57233"/>
    <w:rsid w:val="00E57242"/>
    <w:rsid w:val="00E573B5"/>
    <w:rsid w:val="00E577C6"/>
    <w:rsid w:val="00E57C6F"/>
    <w:rsid w:val="00E57CEB"/>
    <w:rsid w:val="00E57FB6"/>
    <w:rsid w:val="00E60066"/>
    <w:rsid w:val="00E6013A"/>
    <w:rsid w:val="00E601E7"/>
    <w:rsid w:val="00E6020F"/>
    <w:rsid w:val="00E606DC"/>
    <w:rsid w:val="00E60771"/>
    <w:rsid w:val="00E60ECA"/>
    <w:rsid w:val="00E60F5B"/>
    <w:rsid w:val="00E6104D"/>
    <w:rsid w:val="00E61074"/>
    <w:rsid w:val="00E61289"/>
    <w:rsid w:val="00E6131B"/>
    <w:rsid w:val="00E61362"/>
    <w:rsid w:val="00E613CB"/>
    <w:rsid w:val="00E619DA"/>
    <w:rsid w:val="00E61CA9"/>
    <w:rsid w:val="00E623F0"/>
    <w:rsid w:val="00E62BC3"/>
    <w:rsid w:val="00E63397"/>
    <w:rsid w:val="00E63522"/>
    <w:rsid w:val="00E637A5"/>
    <w:rsid w:val="00E638BE"/>
    <w:rsid w:val="00E639F8"/>
    <w:rsid w:val="00E63FB7"/>
    <w:rsid w:val="00E6467E"/>
    <w:rsid w:val="00E647D1"/>
    <w:rsid w:val="00E649D7"/>
    <w:rsid w:val="00E64FF4"/>
    <w:rsid w:val="00E650AC"/>
    <w:rsid w:val="00E650C0"/>
    <w:rsid w:val="00E65192"/>
    <w:rsid w:val="00E65901"/>
    <w:rsid w:val="00E659CC"/>
    <w:rsid w:val="00E65CF7"/>
    <w:rsid w:val="00E65D3A"/>
    <w:rsid w:val="00E6639F"/>
    <w:rsid w:val="00E66532"/>
    <w:rsid w:val="00E668E5"/>
    <w:rsid w:val="00E66967"/>
    <w:rsid w:val="00E66FCC"/>
    <w:rsid w:val="00E66FE6"/>
    <w:rsid w:val="00E671D0"/>
    <w:rsid w:val="00E673BF"/>
    <w:rsid w:val="00E675C2"/>
    <w:rsid w:val="00E675D0"/>
    <w:rsid w:val="00E67947"/>
    <w:rsid w:val="00E6794C"/>
    <w:rsid w:val="00E67B10"/>
    <w:rsid w:val="00E67EA2"/>
    <w:rsid w:val="00E67EE4"/>
    <w:rsid w:val="00E70013"/>
    <w:rsid w:val="00E7061C"/>
    <w:rsid w:val="00E70747"/>
    <w:rsid w:val="00E70783"/>
    <w:rsid w:val="00E70AE4"/>
    <w:rsid w:val="00E70C38"/>
    <w:rsid w:val="00E70D98"/>
    <w:rsid w:val="00E7145A"/>
    <w:rsid w:val="00E714F1"/>
    <w:rsid w:val="00E7150F"/>
    <w:rsid w:val="00E71BE0"/>
    <w:rsid w:val="00E71D25"/>
    <w:rsid w:val="00E71E83"/>
    <w:rsid w:val="00E72226"/>
    <w:rsid w:val="00E7260E"/>
    <w:rsid w:val="00E728C4"/>
    <w:rsid w:val="00E72CEB"/>
    <w:rsid w:val="00E72FEF"/>
    <w:rsid w:val="00E734BB"/>
    <w:rsid w:val="00E738E8"/>
    <w:rsid w:val="00E73D0D"/>
    <w:rsid w:val="00E743E7"/>
    <w:rsid w:val="00E74805"/>
    <w:rsid w:val="00E7481C"/>
    <w:rsid w:val="00E7495A"/>
    <w:rsid w:val="00E74F39"/>
    <w:rsid w:val="00E74F7F"/>
    <w:rsid w:val="00E7523A"/>
    <w:rsid w:val="00E75252"/>
    <w:rsid w:val="00E75346"/>
    <w:rsid w:val="00E753EA"/>
    <w:rsid w:val="00E759AA"/>
    <w:rsid w:val="00E75AE6"/>
    <w:rsid w:val="00E75C2E"/>
    <w:rsid w:val="00E75D5B"/>
    <w:rsid w:val="00E7643D"/>
    <w:rsid w:val="00E76684"/>
    <w:rsid w:val="00E767F8"/>
    <w:rsid w:val="00E768F6"/>
    <w:rsid w:val="00E76E2A"/>
    <w:rsid w:val="00E771D8"/>
    <w:rsid w:val="00E77480"/>
    <w:rsid w:val="00E7750C"/>
    <w:rsid w:val="00E77BB5"/>
    <w:rsid w:val="00E77C3B"/>
    <w:rsid w:val="00E77D2A"/>
    <w:rsid w:val="00E77E86"/>
    <w:rsid w:val="00E77E90"/>
    <w:rsid w:val="00E805AA"/>
    <w:rsid w:val="00E808A0"/>
    <w:rsid w:val="00E80BED"/>
    <w:rsid w:val="00E80C35"/>
    <w:rsid w:val="00E80F69"/>
    <w:rsid w:val="00E80FCF"/>
    <w:rsid w:val="00E81251"/>
    <w:rsid w:val="00E815F3"/>
    <w:rsid w:val="00E81B13"/>
    <w:rsid w:val="00E81DD1"/>
    <w:rsid w:val="00E825DD"/>
    <w:rsid w:val="00E826ED"/>
    <w:rsid w:val="00E827B5"/>
    <w:rsid w:val="00E82F1E"/>
    <w:rsid w:val="00E832EE"/>
    <w:rsid w:val="00E83459"/>
    <w:rsid w:val="00E834DA"/>
    <w:rsid w:val="00E837C5"/>
    <w:rsid w:val="00E83848"/>
    <w:rsid w:val="00E83EAD"/>
    <w:rsid w:val="00E83FC5"/>
    <w:rsid w:val="00E842DC"/>
    <w:rsid w:val="00E84613"/>
    <w:rsid w:val="00E84642"/>
    <w:rsid w:val="00E8468B"/>
    <w:rsid w:val="00E847BB"/>
    <w:rsid w:val="00E8508D"/>
    <w:rsid w:val="00E85379"/>
    <w:rsid w:val="00E8539C"/>
    <w:rsid w:val="00E8545A"/>
    <w:rsid w:val="00E854DA"/>
    <w:rsid w:val="00E854FB"/>
    <w:rsid w:val="00E856DD"/>
    <w:rsid w:val="00E868FB"/>
    <w:rsid w:val="00E869DE"/>
    <w:rsid w:val="00E86A15"/>
    <w:rsid w:val="00E86AE4"/>
    <w:rsid w:val="00E86B69"/>
    <w:rsid w:val="00E86E2F"/>
    <w:rsid w:val="00E872FE"/>
    <w:rsid w:val="00E87440"/>
    <w:rsid w:val="00E874C3"/>
    <w:rsid w:val="00E90020"/>
    <w:rsid w:val="00E90524"/>
    <w:rsid w:val="00E9080E"/>
    <w:rsid w:val="00E90B2C"/>
    <w:rsid w:val="00E911F3"/>
    <w:rsid w:val="00E91288"/>
    <w:rsid w:val="00E9134C"/>
    <w:rsid w:val="00E9158A"/>
    <w:rsid w:val="00E9192C"/>
    <w:rsid w:val="00E91E82"/>
    <w:rsid w:val="00E91ED4"/>
    <w:rsid w:val="00E91F70"/>
    <w:rsid w:val="00E92402"/>
    <w:rsid w:val="00E9251B"/>
    <w:rsid w:val="00E92B74"/>
    <w:rsid w:val="00E92BF9"/>
    <w:rsid w:val="00E92EA9"/>
    <w:rsid w:val="00E936BD"/>
    <w:rsid w:val="00E93D6D"/>
    <w:rsid w:val="00E93F34"/>
    <w:rsid w:val="00E9406F"/>
    <w:rsid w:val="00E945E6"/>
    <w:rsid w:val="00E947C5"/>
    <w:rsid w:val="00E94C70"/>
    <w:rsid w:val="00E94E4A"/>
    <w:rsid w:val="00E94F5A"/>
    <w:rsid w:val="00E9515C"/>
    <w:rsid w:val="00E956CC"/>
    <w:rsid w:val="00E9571F"/>
    <w:rsid w:val="00E9586F"/>
    <w:rsid w:val="00E95A70"/>
    <w:rsid w:val="00E96386"/>
    <w:rsid w:val="00E9638A"/>
    <w:rsid w:val="00E964A8"/>
    <w:rsid w:val="00E96695"/>
    <w:rsid w:val="00E9676D"/>
    <w:rsid w:val="00E96D98"/>
    <w:rsid w:val="00E96EDE"/>
    <w:rsid w:val="00E970B2"/>
    <w:rsid w:val="00E973BC"/>
    <w:rsid w:val="00E978EB"/>
    <w:rsid w:val="00E97B2C"/>
    <w:rsid w:val="00E97E35"/>
    <w:rsid w:val="00EA032E"/>
    <w:rsid w:val="00EA0543"/>
    <w:rsid w:val="00EA0CF6"/>
    <w:rsid w:val="00EA0E57"/>
    <w:rsid w:val="00EA0F68"/>
    <w:rsid w:val="00EA1898"/>
    <w:rsid w:val="00EA1B27"/>
    <w:rsid w:val="00EA1DEF"/>
    <w:rsid w:val="00EA1FF6"/>
    <w:rsid w:val="00EA21EC"/>
    <w:rsid w:val="00EA220C"/>
    <w:rsid w:val="00EA24C7"/>
    <w:rsid w:val="00EA2761"/>
    <w:rsid w:val="00EA29F7"/>
    <w:rsid w:val="00EA2E5C"/>
    <w:rsid w:val="00EA2EA0"/>
    <w:rsid w:val="00EA2F2A"/>
    <w:rsid w:val="00EA2F92"/>
    <w:rsid w:val="00EA3188"/>
    <w:rsid w:val="00EA35ED"/>
    <w:rsid w:val="00EA37D1"/>
    <w:rsid w:val="00EA394A"/>
    <w:rsid w:val="00EA3A19"/>
    <w:rsid w:val="00EA3B85"/>
    <w:rsid w:val="00EA3EFD"/>
    <w:rsid w:val="00EA3FCF"/>
    <w:rsid w:val="00EA4AC6"/>
    <w:rsid w:val="00EA4CD8"/>
    <w:rsid w:val="00EA50E3"/>
    <w:rsid w:val="00EA54B4"/>
    <w:rsid w:val="00EA596D"/>
    <w:rsid w:val="00EA5DF3"/>
    <w:rsid w:val="00EA5ED0"/>
    <w:rsid w:val="00EA614A"/>
    <w:rsid w:val="00EA6411"/>
    <w:rsid w:val="00EA6590"/>
    <w:rsid w:val="00EA6678"/>
    <w:rsid w:val="00EA69FA"/>
    <w:rsid w:val="00EA74CB"/>
    <w:rsid w:val="00EA7649"/>
    <w:rsid w:val="00EA7680"/>
    <w:rsid w:val="00EA7BEF"/>
    <w:rsid w:val="00EA7C18"/>
    <w:rsid w:val="00EA7DB7"/>
    <w:rsid w:val="00EA7F18"/>
    <w:rsid w:val="00EB00C1"/>
    <w:rsid w:val="00EB00F4"/>
    <w:rsid w:val="00EB01F6"/>
    <w:rsid w:val="00EB061D"/>
    <w:rsid w:val="00EB0CF9"/>
    <w:rsid w:val="00EB0D39"/>
    <w:rsid w:val="00EB0E5A"/>
    <w:rsid w:val="00EB0F8C"/>
    <w:rsid w:val="00EB113B"/>
    <w:rsid w:val="00EB11EE"/>
    <w:rsid w:val="00EB13E4"/>
    <w:rsid w:val="00EB13FA"/>
    <w:rsid w:val="00EB1656"/>
    <w:rsid w:val="00EB1676"/>
    <w:rsid w:val="00EB1775"/>
    <w:rsid w:val="00EB1A44"/>
    <w:rsid w:val="00EB1B74"/>
    <w:rsid w:val="00EB1B96"/>
    <w:rsid w:val="00EB1C5F"/>
    <w:rsid w:val="00EB1D98"/>
    <w:rsid w:val="00EB1EC5"/>
    <w:rsid w:val="00EB2412"/>
    <w:rsid w:val="00EB2718"/>
    <w:rsid w:val="00EB28D5"/>
    <w:rsid w:val="00EB2939"/>
    <w:rsid w:val="00EB3125"/>
    <w:rsid w:val="00EB3306"/>
    <w:rsid w:val="00EB353F"/>
    <w:rsid w:val="00EB3B1C"/>
    <w:rsid w:val="00EB41CF"/>
    <w:rsid w:val="00EB438E"/>
    <w:rsid w:val="00EB43D2"/>
    <w:rsid w:val="00EB4A06"/>
    <w:rsid w:val="00EB54C6"/>
    <w:rsid w:val="00EB58C7"/>
    <w:rsid w:val="00EB5ADF"/>
    <w:rsid w:val="00EB5B32"/>
    <w:rsid w:val="00EB5C55"/>
    <w:rsid w:val="00EB5F0B"/>
    <w:rsid w:val="00EB6356"/>
    <w:rsid w:val="00EB6605"/>
    <w:rsid w:val="00EB6747"/>
    <w:rsid w:val="00EB6B39"/>
    <w:rsid w:val="00EB6D10"/>
    <w:rsid w:val="00EB6FEB"/>
    <w:rsid w:val="00EB71A2"/>
    <w:rsid w:val="00EB73DD"/>
    <w:rsid w:val="00EB7463"/>
    <w:rsid w:val="00EB75C7"/>
    <w:rsid w:val="00EB7766"/>
    <w:rsid w:val="00EB7782"/>
    <w:rsid w:val="00EB7FAA"/>
    <w:rsid w:val="00EC0286"/>
    <w:rsid w:val="00EC0CCE"/>
    <w:rsid w:val="00EC0CD1"/>
    <w:rsid w:val="00EC1455"/>
    <w:rsid w:val="00EC1471"/>
    <w:rsid w:val="00EC174F"/>
    <w:rsid w:val="00EC18DD"/>
    <w:rsid w:val="00EC1A50"/>
    <w:rsid w:val="00EC1B2B"/>
    <w:rsid w:val="00EC1E0F"/>
    <w:rsid w:val="00EC24FF"/>
    <w:rsid w:val="00EC27EF"/>
    <w:rsid w:val="00EC2A2E"/>
    <w:rsid w:val="00EC2B1A"/>
    <w:rsid w:val="00EC2C56"/>
    <w:rsid w:val="00EC2C60"/>
    <w:rsid w:val="00EC2D6B"/>
    <w:rsid w:val="00EC3148"/>
    <w:rsid w:val="00EC35AD"/>
    <w:rsid w:val="00EC3770"/>
    <w:rsid w:val="00EC3CD5"/>
    <w:rsid w:val="00EC3ECF"/>
    <w:rsid w:val="00EC4124"/>
    <w:rsid w:val="00EC4267"/>
    <w:rsid w:val="00EC45F1"/>
    <w:rsid w:val="00EC46EF"/>
    <w:rsid w:val="00EC4B09"/>
    <w:rsid w:val="00EC50CF"/>
    <w:rsid w:val="00EC5100"/>
    <w:rsid w:val="00EC521A"/>
    <w:rsid w:val="00EC5821"/>
    <w:rsid w:val="00EC595A"/>
    <w:rsid w:val="00EC5B8F"/>
    <w:rsid w:val="00EC5CF9"/>
    <w:rsid w:val="00EC5F58"/>
    <w:rsid w:val="00EC6451"/>
    <w:rsid w:val="00EC6487"/>
    <w:rsid w:val="00EC64B9"/>
    <w:rsid w:val="00EC6E98"/>
    <w:rsid w:val="00EC7CCA"/>
    <w:rsid w:val="00EC7CD2"/>
    <w:rsid w:val="00EC7ED6"/>
    <w:rsid w:val="00EC7FFA"/>
    <w:rsid w:val="00ED06E7"/>
    <w:rsid w:val="00ED072C"/>
    <w:rsid w:val="00ED0B2A"/>
    <w:rsid w:val="00ED1541"/>
    <w:rsid w:val="00ED1D0F"/>
    <w:rsid w:val="00ED1F87"/>
    <w:rsid w:val="00ED237F"/>
    <w:rsid w:val="00ED25F8"/>
    <w:rsid w:val="00ED2F99"/>
    <w:rsid w:val="00ED3185"/>
    <w:rsid w:val="00ED3242"/>
    <w:rsid w:val="00ED3294"/>
    <w:rsid w:val="00ED3319"/>
    <w:rsid w:val="00ED33B8"/>
    <w:rsid w:val="00ED4181"/>
    <w:rsid w:val="00ED449C"/>
    <w:rsid w:val="00ED47BE"/>
    <w:rsid w:val="00ED493E"/>
    <w:rsid w:val="00ED50E9"/>
    <w:rsid w:val="00ED5133"/>
    <w:rsid w:val="00ED52EE"/>
    <w:rsid w:val="00ED5337"/>
    <w:rsid w:val="00ED55F3"/>
    <w:rsid w:val="00ED5FAB"/>
    <w:rsid w:val="00ED6054"/>
    <w:rsid w:val="00ED6474"/>
    <w:rsid w:val="00ED6648"/>
    <w:rsid w:val="00ED6758"/>
    <w:rsid w:val="00ED6897"/>
    <w:rsid w:val="00ED6A97"/>
    <w:rsid w:val="00ED6E19"/>
    <w:rsid w:val="00ED70F4"/>
    <w:rsid w:val="00ED760D"/>
    <w:rsid w:val="00ED7681"/>
    <w:rsid w:val="00ED7D8C"/>
    <w:rsid w:val="00EE04B1"/>
    <w:rsid w:val="00EE0872"/>
    <w:rsid w:val="00EE0DEB"/>
    <w:rsid w:val="00EE0FD4"/>
    <w:rsid w:val="00EE128A"/>
    <w:rsid w:val="00EE151F"/>
    <w:rsid w:val="00EE15C8"/>
    <w:rsid w:val="00EE1882"/>
    <w:rsid w:val="00EE18C2"/>
    <w:rsid w:val="00EE1993"/>
    <w:rsid w:val="00EE1A44"/>
    <w:rsid w:val="00EE1A79"/>
    <w:rsid w:val="00EE21A9"/>
    <w:rsid w:val="00EE2CFE"/>
    <w:rsid w:val="00EE30DD"/>
    <w:rsid w:val="00EE36F7"/>
    <w:rsid w:val="00EE3879"/>
    <w:rsid w:val="00EE3BBF"/>
    <w:rsid w:val="00EE3BD4"/>
    <w:rsid w:val="00EE4743"/>
    <w:rsid w:val="00EE4785"/>
    <w:rsid w:val="00EE480A"/>
    <w:rsid w:val="00EE4B67"/>
    <w:rsid w:val="00EE4E90"/>
    <w:rsid w:val="00EE50B6"/>
    <w:rsid w:val="00EE5196"/>
    <w:rsid w:val="00EE52AE"/>
    <w:rsid w:val="00EE52E1"/>
    <w:rsid w:val="00EE5CB5"/>
    <w:rsid w:val="00EE5EB3"/>
    <w:rsid w:val="00EE5FCF"/>
    <w:rsid w:val="00EE6007"/>
    <w:rsid w:val="00EE6210"/>
    <w:rsid w:val="00EE6216"/>
    <w:rsid w:val="00EE6911"/>
    <w:rsid w:val="00EE6B25"/>
    <w:rsid w:val="00EE6D18"/>
    <w:rsid w:val="00EE795A"/>
    <w:rsid w:val="00EE7F22"/>
    <w:rsid w:val="00EF01ED"/>
    <w:rsid w:val="00EF0279"/>
    <w:rsid w:val="00EF0388"/>
    <w:rsid w:val="00EF04D8"/>
    <w:rsid w:val="00EF0833"/>
    <w:rsid w:val="00EF0E1A"/>
    <w:rsid w:val="00EF121E"/>
    <w:rsid w:val="00EF1EC0"/>
    <w:rsid w:val="00EF1FC4"/>
    <w:rsid w:val="00EF2126"/>
    <w:rsid w:val="00EF2237"/>
    <w:rsid w:val="00EF228B"/>
    <w:rsid w:val="00EF22A0"/>
    <w:rsid w:val="00EF2418"/>
    <w:rsid w:val="00EF24F3"/>
    <w:rsid w:val="00EF2636"/>
    <w:rsid w:val="00EF2BE6"/>
    <w:rsid w:val="00EF2C3D"/>
    <w:rsid w:val="00EF3352"/>
    <w:rsid w:val="00EF3D8A"/>
    <w:rsid w:val="00EF40E9"/>
    <w:rsid w:val="00EF4C8C"/>
    <w:rsid w:val="00EF50B3"/>
    <w:rsid w:val="00EF50C8"/>
    <w:rsid w:val="00EF5338"/>
    <w:rsid w:val="00EF538B"/>
    <w:rsid w:val="00EF5872"/>
    <w:rsid w:val="00EF588C"/>
    <w:rsid w:val="00EF59CD"/>
    <w:rsid w:val="00EF5CA9"/>
    <w:rsid w:val="00EF5F7C"/>
    <w:rsid w:val="00EF6040"/>
    <w:rsid w:val="00EF641C"/>
    <w:rsid w:val="00EF6432"/>
    <w:rsid w:val="00EF64BD"/>
    <w:rsid w:val="00EF6722"/>
    <w:rsid w:val="00EF69C2"/>
    <w:rsid w:val="00EF6B45"/>
    <w:rsid w:val="00EF6BFA"/>
    <w:rsid w:val="00EF6DD1"/>
    <w:rsid w:val="00EF7258"/>
    <w:rsid w:val="00EF760F"/>
    <w:rsid w:val="00EF7F53"/>
    <w:rsid w:val="00F00061"/>
    <w:rsid w:val="00F00363"/>
    <w:rsid w:val="00F0036B"/>
    <w:rsid w:val="00F00A55"/>
    <w:rsid w:val="00F00AA5"/>
    <w:rsid w:val="00F01356"/>
    <w:rsid w:val="00F0146E"/>
    <w:rsid w:val="00F019A2"/>
    <w:rsid w:val="00F01A8B"/>
    <w:rsid w:val="00F01E59"/>
    <w:rsid w:val="00F01EF9"/>
    <w:rsid w:val="00F03086"/>
    <w:rsid w:val="00F0317A"/>
    <w:rsid w:val="00F03A3D"/>
    <w:rsid w:val="00F03F51"/>
    <w:rsid w:val="00F040C8"/>
    <w:rsid w:val="00F0441A"/>
    <w:rsid w:val="00F04945"/>
    <w:rsid w:val="00F049B5"/>
    <w:rsid w:val="00F05B90"/>
    <w:rsid w:val="00F05D8F"/>
    <w:rsid w:val="00F05FA6"/>
    <w:rsid w:val="00F05FD0"/>
    <w:rsid w:val="00F06013"/>
    <w:rsid w:val="00F0617D"/>
    <w:rsid w:val="00F063B6"/>
    <w:rsid w:val="00F065B9"/>
    <w:rsid w:val="00F06609"/>
    <w:rsid w:val="00F06BDC"/>
    <w:rsid w:val="00F06F83"/>
    <w:rsid w:val="00F070D5"/>
    <w:rsid w:val="00F075B8"/>
    <w:rsid w:val="00F079F1"/>
    <w:rsid w:val="00F07E96"/>
    <w:rsid w:val="00F07F9C"/>
    <w:rsid w:val="00F101E8"/>
    <w:rsid w:val="00F10926"/>
    <w:rsid w:val="00F10F6D"/>
    <w:rsid w:val="00F114E7"/>
    <w:rsid w:val="00F11717"/>
    <w:rsid w:val="00F11787"/>
    <w:rsid w:val="00F11B98"/>
    <w:rsid w:val="00F12356"/>
    <w:rsid w:val="00F12367"/>
    <w:rsid w:val="00F12495"/>
    <w:rsid w:val="00F124D7"/>
    <w:rsid w:val="00F13136"/>
    <w:rsid w:val="00F13162"/>
    <w:rsid w:val="00F132F0"/>
    <w:rsid w:val="00F13427"/>
    <w:rsid w:val="00F1359F"/>
    <w:rsid w:val="00F1371B"/>
    <w:rsid w:val="00F1372B"/>
    <w:rsid w:val="00F1395D"/>
    <w:rsid w:val="00F13FA2"/>
    <w:rsid w:val="00F140B4"/>
    <w:rsid w:val="00F14786"/>
    <w:rsid w:val="00F14AA8"/>
    <w:rsid w:val="00F1569E"/>
    <w:rsid w:val="00F15797"/>
    <w:rsid w:val="00F15D4B"/>
    <w:rsid w:val="00F16213"/>
    <w:rsid w:val="00F166A0"/>
    <w:rsid w:val="00F16EBF"/>
    <w:rsid w:val="00F172D7"/>
    <w:rsid w:val="00F179BA"/>
    <w:rsid w:val="00F17CCA"/>
    <w:rsid w:val="00F17E6F"/>
    <w:rsid w:val="00F17EDE"/>
    <w:rsid w:val="00F205C3"/>
    <w:rsid w:val="00F20B46"/>
    <w:rsid w:val="00F20C52"/>
    <w:rsid w:val="00F20CBE"/>
    <w:rsid w:val="00F20D95"/>
    <w:rsid w:val="00F20E90"/>
    <w:rsid w:val="00F21061"/>
    <w:rsid w:val="00F212A4"/>
    <w:rsid w:val="00F21633"/>
    <w:rsid w:val="00F219EA"/>
    <w:rsid w:val="00F21B9B"/>
    <w:rsid w:val="00F21DBA"/>
    <w:rsid w:val="00F21F9E"/>
    <w:rsid w:val="00F220B7"/>
    <w:rsid w:val="00F228A8"/>
    <w:rsid w:val="00F22B89"/>
    <w:rsid w:val="00F22B8A"/>
    <w:rsid w:val="00F22E32"/>
    <w:rsid w:val="00F23184"/>
    <w:rsid w:val="00F23267"/>
    <w:rsid w:val="00F234F3"/>
    <w:rsid w:val="00F238D9"/>
    <w:rsid w:val="00F23954"/>
    <w:rsid w:val="00F242CD"/>
    <w:rsid w:val="00F243BF"/>
    <w:rsid w:val="00F243EA"/>
    <w:rsid w:val="00F24835"/>
    <w:rsid w:val="00F2487D"/>
    <w:rsid w:val="00F24D3A"/>
    <w:rsid w:val="00F24DF5"/>
    <w:rsid w:val="00F251AD"/>
    <w:rsid w:val="00F252E7"/>
    <w:rsid w:val="00F253EF"/>
    <w:rsid w:val="00F25761"/>
    <w:rsid w:val="00F25A04"/>
    <w:rsid w:val="00F25B5C"/>
    <w:rsid w:val="00F25CDD"/>
    <w:rsid w:val="00F2628C"/>
    <w:rsid w:val="00F264F4"/>
    <w:rsid w:val="00F268B7"/>
    <w:rsid w:val="00F268E9"/>
    <w:rsid w:val="00F26B6A"/>
    <w:rsid w:val="00F26BE9"/>
    <w:rsid w:val="00F26FC4"/>
    <w:rsid w:val="00F26FFE"/>
    <w:rsid w:val="00F2704E"/>
    <w:rsid w:val="00F27455"/>
    <w:rsid w:val="00F27554"/>
    <w:rsid w:val="00F27FA6"/>
    <w:rsid w:val="00F3041C"/>
    <w:rsid w:val="00F3046E"/>
    <w:rsid w:val="00F31018"/>
    <w:rsid w:val="00F320AF"/>
    <w:rsid w:val="00F323B4"/>
    <w:rsid w:val="00F323CA"/>
    <w:rsid w:val="00F32961"/>
    <w:rsid w:val="00F32E3B"/>
    <w:rsid w:val="00F32F99"/>
    <w:rsid w:val="00F330E3"/>
    <w:rsid w:val="00F332C6"/>
    <w:rsid w:val="00F33510"/>
    <w:rsid w:val="00F3367C"/>
    <w:rsid w:val="00F336D3"/>
    <w:rsid w:val="00F33787"/>
    <w:rsid w:val="00F33A88"/>
    <w:rsid w:val="00F33F49"/>
    <w:rsid w:val="00F341B8"/>
    <w:rsid w:val="00F34399"/>
    <w:rsid w:val="00F34934"/>
    <w:rsid w:val="00F34FA5"/>
    <w:rsid w:val="00F352D6"/>
    <w:rsid w:val="00F35385"/>
    <w:rsid w:val="00F35529"/>
    <w:rsid w:val="00F355D0"/>
    <w:rsid w:val="00F3564E"/>
    <w:rsid w:val="00F35707"/>
    <w:rsid w:val="00F35968"/>
    <w:rsid w:val="00F35C62"/>
    <w:rsid w:val="00F35D66"/>
    <w:rsid w:val="00F35E79"/>
    <w:rsid w:val="00F3600D"/>
    <w:rsid w:val="00F3630F"/>
    <w:rsid w:val="00F36F33"/>
    <w:rsid w:val="00F374D0"/>
    <w:rsid w:val="00F377B2"/>
    <w:rsid w:val="00F377CD"/>
    <w:rsid w:val="00F37AEA"/>
    <w:rsid w:val="00F40063"/>
    <w:rsid w:val="00F40606"/>
    <w:rsid w:val="00F4093A"/>
    <w:rsid w:val="00F40E78"/>
    <w:rsid w:val="00F40F26"/>
    <w:rsid w:val="00F41432"/>
    <w:rsid w:val="00F41727"/>
    <w:rsid w:val="00F41831"/>
    <w:rsid w:val="00F419DB"/>
    <w:rsid w:val="00F41C64"/>
    <w:rsid w:val="00F41C82"/>
    <w:rsid w:val="00F4249E"/>
    <w:rsid w:val="00F434F6"/>
    <w:rsid w:val="00F43B1B"/>
    <w:rsid w:val="00F43F85"/>
    <w:rsid w:val="00F4452B"/>
    <w:rsid w:val="00F447BB"/>
    <w:rsid w:val="00F44837"/>
    <w:rsid w:val="00F44CD5"/>
    <w:rsid w:val="00F44DD1"/>
    <w:rsid w:val="00F44F3E"/>
    <w:rsid w:val="00F45219"/>
    <w:rsid w:val="00F4540E"/>
    <w:rsid w:val="00F4541D"/>
    <w:rsid w:val="00F45595"/>
    <w:rsid w:val="00F4621A"/>
    <w:rsid w:val="00F462A3"/>
    <w:rsid w:val="00F46746"/>
    <w:rsid w:val="00F46B8A"/>
    <w:rsid w:val="00F474D3"/>
    <w:rsid w:val="00F501AC"/>
    <w:rsid w:val="00F5095E"/>
    <w:rsid w:val="00F509D9"/>
    <w:rsid w:val="00F50CBF"/>
    <w:rsid w:val="00F5102D"/>
    <w:rsid w:val="00F514E5"/>
    <w:rsid w:val="00F51731"/>
    <w:rsid w:val="00F5173E"/>
    <w:rsid w:val="00F517F6"/>
    <w:rsid w:val="00F51C2E"/>
    <w:rsid w:val="00F51DAC"/>
    <w:rsid w:val="00F51E33"/>
    <w:rsid w:val="00F51F18"/>
    <w:rsid w:val="00F52117"/>
    <w:rsid w:val="00F52333"/>
    <w:rsid w:val="00F52B74"/>
    <w:rsid w:val="00F52E51"/>
    <w:rsid w:val="00F52F7B"/>
    <w:rsid w:val="00F53027"/>
    <w:rsid w:val="00F530D8"/>
    <w:rsid w:val="00F53542"/>
    <w:rsid w:val="00F53ECE"/>
    <w:rsid w:val="00F53F95"/>
    <w:rsid w:val="00F54248"/>
    <w:rsid w:val="00F544B8"/>
    <w:rsid w:val="00F548AF"/>
    <w:rsid w:val="00F54989"/>
    <w:rsid w:val="00F54A26"/>
    <w:rsid w:val="00F54DCB"/>
    <w:rsid w:val="00F55044"/>
    <w:rsid w:val="00F550DF"/>
    <w:rsid w:val="00F555CF"/>
    <w:rsid w:val="00F55627"/>
    <w:rsid w:val="00F55A60"/>
    <w:rsid w:val="00F55F29"/>
    <w:rsid w:val="00F55F5A"/>
    <w:rsid w:val="00F5611D"/>
    <w:rsid w:val="00F56268"/>
    <w:rsid w:val="00F56483"/>
    <w:rsid w:val="00F56B0A"/>
    <w:rsid w:val="00F56F0C"/>
    <w:rsid w:val="00F56F40"/>
    <w:rsid w:val="00F56FFB"/>
    <w:rsid w:val="00F5708E"/>
    <w:rsid w:val="00F573E3"/>
    <w:rsid w:val="00F574FA"/>
    <w:rsid w:val="00F575FA"/>
    <w:rsid w:val="00F57699"/>
    <w:rsid w:val="00F57916"/>
    <w:rsid w:val="00F57BEC"/>
    <w:rsid w:val="00F57E53"/>
    <w:rsid w:val="00F6048B"/>
    <w:rsid w:val="00F604B5"/>
    <w:rsid w:val="00F606E4"/>
    <w:rsid w:val="00F60A4B"/>
    <w:rsid w:val="00F61490"/>
    <w:rsid w:val="00F6175C"/>
    <w:rsid w:val="00F61D9C"/>
    <w:rsid w:val="00F6201A"/>
    <w:rsid w:val="00F6268D"/>
    <w:rsid w:val="00F627D6"/>
    <w:rsid w:val="00F62DB9"/>
    <w:rsid w:val="00F63100"/>
    <w:rsid w:val="00F63599"/>
    <w:rsid w:val="00F636FD"/>
    <w:rsid w:val="00F639EB"/>
    <w:rsid w:val="00F63B52"/>
    <w:rsid w:val="00F63B79"/>
    <w:rsid w:val="00F63BB3"/>
    <w:rsid w:val="00F63C0B"/>
    <w:rsid w:val="00F63DD2"/>
    <w:rsid w:val="00F64198"/>
    <w:rsid w:val="00F643E1"/>
    <w:rsid w:val="00F64431"/>
    <w:rsid w:val="00F64E9C"/>
    <w:rsid w:val="00F652BD"/>
    <w:rsid w:val="00F652DE"/>
    <w:rsid w:val="00F65329"/>
    <w:rsid w:val="00F6579F"/>
    <w:rsid w:val="00F65C02"/>
    <w:rsid w:val="00F65CE5"/>
    <w:rsid w:val="00F65E07"/>
    <w:rsid w:val="00F662DC"/>
    <w:rsid w:val="00F66495"/>
    <w:rsid w:val="00F66888"/>
    <w:rsid w:val="00F66890"/>
    <w:rsid w:val="00F66E30"/>
    <w:rsid w:val="00F66F81"/>
    <w:rsid w:val="00F67068"/>
    <w:rsid w:val="00F671C2"/>
    <w:rsid w:val="00F671F1"/>
    <w:rsid w:val="00F672AA"/>
    <w:rsid w:val="00F67570"/>
    <w:rsid w:val="00F67B9B"/>
    <w:rsid w:val="00F700F0"/>
    <w:rsid w:val="00F7015B"/>
    <w:rsid w:val="00F70279"/>
    <w:rsid w:val="00F703E3"/>
    <w:rsid w:val="00F7040A"/>
    <w:rsid w:val="00F70584"/>
    <w:rsid w:val="00F70A49"/>
    <w:rsid w:val="00F70E0E"/>
    <w:rsid w:val="00F7101C"/>
    <w:rsid w:val="00F71022"/>
    <w:rsid w:val="00F71103"/>
    <w:rsid w:val="00F71214"/>
    <w:rsid w:val="00F71252"/>
    <w:rsid w:val="00F714E1"/>
    <w:rsid w:val="00F71501"/>
    <w:rsid w:val="00F7158A"/>
    <w:rsid w:val="00F7195A"/>
    <w:rsid w:val="00F72006"/>
    <w:rsid w:val="00F7204B"/>
    <w:rsid w:val="00F720AA"/>
    <w:rsid w:val="00F72172"/>
    <w:rsid w:val="00F7233E"/>
    <w:rsid w:val="00F7252C"/>
    <w:rsid w:val="00F726C6"/>
    <w:rsid w:val="00F72871"/>
    <w:rsid w:val="00F72B35"/>
    <w:rsid w:val="00F72CF5"/>
    <w:rsid w:val="00F732B5"/>
    <w:rsid w:val="00F737AE"/>
    <w:rsid w:val="00F73B2E"/>
    <w:rsid w:val="00F740C6"/>
    <w:rsid w:val="00F7411A"/>
    <w:rsid w:val="00F74383"/>
    <w:rsid w:val="00F74489"/>
    <w:rsid w:val="00F744EC"/>
    <w:rsid w:val="00F7466A"/>
    <w:rsid w:val="00F74745"/>
    <w:rsid w:val="00F74BB9"/>
    <w:rsid w:val="00F74C8D"/>
    <w:rsid w:val="00F74CF1"/>
    <w:rsid w:val="00F74CFA"/>
    <w:rsid w:val="00F75027"/>
    <w:rsid w:val="00F754F2"/>
    <w:rsid w:val="00F755F8"/>
    <w:rsid w:val="00F75751"/>
    <w:rsid w:val="00F75B43"/>
    <w:rsid w:val="00F7616D"/>
    <w:rsid w:val="00F761F0"/>
    <w:rsid w:val="00F7635A"/>
    <w:rsid w:val="00F763DC"/>
    <w:rsid w:val="00F7640F"/>
    <w:rsid w:val="00F7673D"/>
    <w:rsid w:val="00F76E43"/>
    <w:rsid w:val="00F76ED6"/>
    <w:rsid w:val="00F77AC0"/>
    <w:rsid w:val="00F77C83"/>
    <w:rsid w:val="00F801B9"/>
    <w:rsid w:val="00F8052A"/>
    <w:rsid w:val="00F808BB"/>
    <w:rsid w:val="00F809E3"/>
    <w:rsid w:val="00F80A5E"/>
    <w:rsid w:val="00F81023"/>
    <w:rsid w:val="00F8191E"/>
    <w:rsid w:val="00F82205"/>
    <w:rsid w:val="00F82929"/>
    <w:rsid w:val="00F82976"/>
    <w:rsid w:val="00F829A5"/>
    <w:rsid w:val="00F82AD4"/>
    <w:rsid w:val="00F82B7C"/>
    <w:rsid w:val="00F8322C"/>
    <w:rsid w:val="00F835D0"/>
    <w:rsid w:val="00F83716"/>
    <w:rsid w:val="00F837B4"/>
    <w:rsid w:val="00F837CD"/>
    <w:rsid w:val="00F84134"/>
    <w:rsid w:val="00F8502A"/>
    <w:rsid w:val="00F85884"/>
    <w:rsid w:val="00F85E28"/>
    <w:rsid w:val="00F85F25"/>
    <w:rsid w:val="00F8682C"/>
    <w:rsid w:val="00F86E54"/>
    <w:rsid w:val="00F87313"/>
    <w:rsid w:val="00F873EC"/>
    <w:rsid w:val="00F87D85"/>
    <w:rsid w:val="00F87EA4"/>
    <w:rsid w:val="00F90616"/>
    <w:rsid w:val="00F9068A"/>
    <w:rsid w:val="00F908A5"/>
    <w:rsid w:val="00F90CE7"/>
    <w:rsid w:val="00F90FBB"/>
    <w:rsid w:val="00F9106D"/>
    <w:rsid w:val="00F912BC"/>
    <w:rsid w:val="00F9132C"/>
    <w:rsid w:val="00F91960"/>
    <w:rsid w:val="00F91DA7"/>
    <w:rsid w:val="00F91DF8"/>
    <w:rsid w:val="00F9217F"/>
    <w:rsid w:val="00F9224D"/>
    <w:rsid w:val="00F92321"/>
    <w:rsid w:val="00F9266F"/>
    <w:rsid w:val="00F92B0F"/>
    <w:rsid w:val="00F9338D"/>
    <w:rsid w:val="00F937CB"/>
    <w:rsid w:val="00F93874"/>
    <w:rsid w:val="00F93A3A"/>
    <w:rsid w:val="00F93A43"/>
    <w:rsid w:val="00F93E18"/>
    <w:rsid w:val="00F93F69"/>
    <w:rsid w:val="00F94272"/>
    <w:rsid w:val="00F94367"/>
    <w:rsid w:val="00F943CC"/>
    <w:rsid w:val="00F944FB"/>
    <w:rsid w:val="00F9474D"/>
    <w:rsid w:val="00F947D0"/>
    <w:rsid w:val="00F9489B"/>
    <w:rsid w:val="00F9493B"/>
    <w:rsid w:val="00F94A21"/>
    <w:rsid w:val="00F9500A"/>
    <w:rsid w:val="00F95835"/>
    <w:rsid w:val="00F95D37"/>
    <w:rsid w:val="00F961E1"/>
    <w:rsid w:val="00F9622F"/>
    <w:rsid w:val="00F963D1"/>
    <w:rsid w:val="00F967AF"/>
    <w:rsid w:val="00F96F9B"/>
    <w:rsid w:val="00F970A6"/>
    <w:rsid w:val="00F971CF"/>
    <w:rsid w:val="00F97EB1"/>
    <w:rsid w:val="00FA00C1"/>
    <w:rsid w:val="00FA01AB"/>
    <w:rsid w:val="00FA0279"/>
    <w:rsid w:val="00FA0580"/>
    <w:rsid w:val="00FA098E"/>
    <w:rsid w:val="00FA134E"/>
    <w:rsid w:val="00FA15F9"/>
    <w:rsid w:val="00FA1944"/>
    <w:rsid w:val="00FA194C"/>
    <w:rsid w:val="00FA2033"/>
    <w:rsid w:val="00FA27E2"/>
    <w:rsid w:val="00FA28F2"/>
    <w:rsid w:val="00FA2BB9"/>
    <w:rsid w:val="00FA306D"/>
    <w:rsid w:val="00FA3116"/>
    <w:rsid w:val="00FA326E"/>
    <w:rsid w:val="00FA35E0"/>
    <w:rsid w:val="00FA3DBA"/>
    <w:rsid w:val="00FA43F0"/>
    <w:rsid w:val="00FA49B6"/>
    <w:rsid w:val="00FA4B83"/>
    <w:rsid w:val="00FA4D00"/>
    <w:rsid w:val="00FA4D56"/>
    <w:rsid w:val="00FA503A"/>
    <w:rsid w:val="00FA551C"/>
    <w:rsid w:val="00FA572E"/>
    <w:rsid w:val="00FA5C9A"/>
    <w:rsid w:val="00FA5CDE"/>
    <w:rsid w:val="00FA5CF6"/>
    <w:rsid w:val="00FA5FD1"/>
    <w:rsid w:val="00FA6EF9"/>
    <w:rsid w:val="00FA710D"/>
    <w:rsid w:val="00FA71D1"/>
    <w:rsid w:val="00FA73D1"/>
    <w:rsid w:val="00FA757F"/>
    <w:rsid w:val="00FA7D35"/>
    <w:rsid w:val="00FB018F"/>
    <w:rsid w:val="00FB03A1"/>
    <w:rsid w:val="00FB03B9"/>
    <w:rsid w:val="00FB0492"/>
    <w:rsid w:val="00FB0A1F"/>
    <w:rsid w:val="00FB0D2C"/>
    <w:rsid w:val="00FB0E89"/>
    <w:rsid w:val="00FB0F4C"/>
    <w:rsid w:val="00FB11CE"/>
    <w:rsid w:val="00FB13D5"/>
    <w:rsid w:val="00FB188A"/>
    <w:rsid w:val="00FB1915"/>
    <w:rsid w:val="00FB1C1E"/>
    <w:rsid w:val="00FB1D76"/>
    <w:rsid w:val="00FB2533"/>
    <w:rsid w:val="00FB2D1A"/>
    <w:rsid w:val="00FB2D59"/>
    <w:rsid w:val="00FB34FC"/>
    <w:rsid w:val="00FB39BE"/>
    <w:rsid w:val="00FB3ED2"/>
    <w:rsid w:val="00FB4015"/>
    <w:rsid w:val="00FB44BC"/>
    <w:rsid w:val="00FB4563"/>
    <w:rsid w:val="00FB4E03"/>
    <w:rsid w:val="00FB4E7E"/>
    <w:rsid w:val="00FB4ED5"/>
    <w:rsid w:val="00FB52DA"/>
    <w:rsid w:val="00FB591F"/>
    <w:rsid w:val="00FB6051"/>
    <w:rsid w:val="00FB6C25"/>
    <w:rsid w:val="00FB6C44"/>
    <w:rsid w:val="00FB6CEF"/>
    <w:rsid w:val="00FB7303"/>
    <w:rsid w:val="00FB748A"/>
    <w:rsid w:val="00FB78C7"/>
    <w:rsid w:val="00FB7946"/>
    <w:rsid w:val="00FB7E6B"/>
    <w:rsid w:val="00FB7E76"/>
    <w:rsid w:val="00FB7EE4"/>
    <w:rsid w:val="00FB7F42"/>
    <w:rsid w:val="00FB7FB3"/>
    <w:rsid w:val="00FC025E"/>
    <w:rsid w:val="00FC02DE"/>
    <w:rsid w:val="00FC044D"/>
    <w:rsid w:val="00FC1060"/>
    <w:rsid w:val="00FC117D"/>
    <w:rsid w:val="00FC1409"/>
    <w:rsid w:val="00FC1505"/>
    <w:rsid w:val="00FC150A"/>
    <w:rsid w:val="00FC16D4"/>
    <w:rsid w:val="00FC1958"/>
    <w:rsid w:val="00FC1BB6"/>
    <w:rsid w:val="00FC1C0A"/>
    <w:rsid w:val="00FC1CA4"/>
    <w:rsid w:val="00FC1F0C"/>
    <w:rsid w:val="00FC1F26"/>
    <w:rsid w:val="00FC1FD4"/>
    <w:rsid w:val="00FC2626"/>
    <w:rsid w:val="00FC27C0"/>
    <w:rsid w:val="00FC2A69"/>
    <w:rsid w:val="00FC2C3F"/>
    <w:rsid w:val="00FC2C57"/>
    <w:rsid w:val="00FC2CA9"/>
    <w:rsid w:val="00FC2F2F"/>
    <w:rsid w:val="00FC306E"/>
    <w:rsid w:val="00FC3208"/>
    <w:rsid w:val="00FC35D3"/>
    <w:rsid w:val="00FC35DB"/>
    <w:rsid w:val="00FC391B"/>
    <w:rsid w:val="00FC396C"/>
    <w:rsid w:val="00FC3AFF"/>
    <w:rsid w:val="00FC3B5D"/>
    <w:rsid w:val="00FC3E5C"/>
    <w:rsid w:val="00FC3F2A"/>
    <w:rsid w:val="00FC438A"/>
    <w:rsid w:val="00FC43FF"/>
    <w:rsid w:val="00FC4877"/>
    <w:rsid w:val="00FC4BE9"/>
    <w:rsid w:val="00FC518A"/>
    <w:rsid w:val="00FC55D0"/>
    <w:rsid w:val="00FC575D"/>
    <w:rsid w:val="00FC580E"/>
    <w:rsid w:val="00FC58C7"/>
    <w:rsid w:val="00FC5A83"/>
    <w:rsid w:val="00FC5A93"/>
    <w:rsid w:val="00FC5BA8"/>
    <w:rsid w:val="00FC5CCD"/>
    <w:rsid w:val="00FC62D9"/>
    <w:rsid w:val="00FC6863"/>
    <w:rsid w:val="00FC6918"/>
    <w:rsid w:val="00FC6C90"/>
    <w:rsid w:val="00FC6CE2"/>
    <w:rsid w:val="00FC710D"/>
    <w:rsid w:val="00FC7137"/>
    <w:rsid w:val="00FC7267"/>
    <w:rsid w:val="00FC73A3"/>
    <w:rsid w:val="00FC78CE"/>
    <w:rsid w:val="00FC792B"/>
    <w:rsid w:val="00FD00DC"/>
    <w:rsid w:val="00FD0197"/>
    <w:rsid w:val="00FD0464"/>
    <w:rsid w:val="00FD05AA"/>
    <w:rsid w:val="00FD0804"/>
    <w:rsid w:val="00FD088B"/>
    <w:rsid w:val="00FD0FD6"/>
    <w:rsid w:val="00FD0FD9"/>
    <w:rsid w:val="00FD1058"/>
    <w:rsid w:val="00FD14B9"/>
    <w:rsid w:val="00FD1596"/>
    <w:rsid w:val="00FD1877"/>
    <w:rsid w:val="00FD18F3"/>
    <w:rsid w:val="00FD1A1D"/>
    <w:rsid w:val="00FD1B60"/>
    <w:rsid w:val="00FD1FB7"/>
    <w:rsid w:val="00FD23B3"/>
    <w:rsid w:val="00FD2421"/>
    <w:rsid w:val="00FD2464"/>
    <w:rsid w:val="00FD24CA"/>
    <w:rsid w:val="00FD28CC"/>
    <w:rsid w:val="00FD3023"/>
    <w:rsid w:val="00FD3055"/>
    <w:rsid w:val="00FD3108"/>
    <w:rsid w:val="00FD3864"/>
    <w:rsid w:val="00FD3B5A"/>
    <w:rsid w:val="00FD3BC4"/>
    <w:rsid w:val="00FD41C2"/>
    <w:rsid w:val="00FD41EF"/>
    <w:rsid w:val="00FD4407"/>
    <w:rsid w:val="00FD4564"/>
    <w:rsid w:val="00FD4599"/>
    <w:rsid w:val="00FD4696"/>
    <w:rsid w:val="00FD49CE"/>
    <w:rsid w:val="00FD4A89"/>
    <w:rsid w:val="00FD4DDF"/>
    <w:rsid w:val="00FD4FCD"/>
    <w:rsid w:val="00FD51E1"/>
    <w:rsid w:val="00FD539E"/>
    <w:rsid w:val="00FD5749"/>
    <w:rsid w:val="00FD5DF5"/>
    <w:rsid w:val="00FD5E11"/>
    <w:rsid w:val="00FD6640"/>
    <w:rsid w:val="00FD68E3"/>
    <w:rsid w:val="00FD6ADE"/>
    <w:rsid w:val="00FD6D90"/>
    <w:rsid w:val="00FD6DB2"/>
    <w:rsid w:val="00FD6E8E"/>
    <w:rsid w:val="00FD6E98"/>
    <w:rsid w:val="00FD6EF5"/>
    <w:rsid w:val="00FD711D"/>
    <w:rsid w:val="00FD71F4"/>
    <w:rsid w:val="00FD749E"/>
    <w:rsid w:val="00FD7672"/>
    <w:rsid w:val="00FD7C5C"/>
    <w:rsid w:val="00FE013E"/>
    <w:rsid w:val="00FE0C42"/>
    <w:rsid w:val="00FE1231"/>
    <w:rsid w:val="00FE147F"/>
    <w:rsid w:val="00FE1566"/>
    <w:rsid w:val="00FE1743"/>
    <w:rsid w:val="00FE17DB"/>
    <w:rsid w:val="00FE1896"/>
    <w:rsid w:val="00FE1B95"/>
    <w:rsid w:val="00FE1BE5"/>
    <w:rsid w:val="00FE1C06"/>
    <w:rsid w:val="00FE1C84"/>
    <w:rsid w:val="00FE1F55"/>
    <w:rsid w:val="00FE2548"/>
    <w:rsid w:val="00FE283D"/>
    <w:rsid w:val="00FE284D"/>
    <w:rsid w:val="00FE29C7"/>
    <w:rsid w:val="00FE2C93"/>
    <w:rsid w:val="00FE2CE2"/>
    <w:rsid w:val="00FE2DCE"/>
    <w:rsid w:val="00FE3004"/>
    <w:rsid w:val="00FE366D"/>
    <w:rsid w:val="00FE3716"/>
    <w:rsid w:val="00FE45B1"/>
    <w:rsid w:val="00FE4652"/>
    <w:rsid w:val="00FE46C7"/>
    <w:rsid w:val="00FE4889"/>
    <w:rsid w:val="00FE48BF"/>
    <w:rsid w:val="00FE4B6B"/>
    <w:rsid w:val="00FE4E26"/>
    <w:rsid w:val="00FE53D3"/>
    <w:rsid w:val="00FE5689"/>
    <w:rsid w:val="00FE56EC"/>
    <w:rsid w:val="00FE5BDB"/>
    <w:rsid w:val="00FE604D"/>
    <w:rsid w:val="00FE64FC"/>
    <w:rsid w:val="00FE6A1B"/>
    <w:rsid w:val="00FE6C21"/>
    <w:rsid w:val="00FE6E86"/>
    <w:rsid w:val="00FE6EAF"/>
    <w:rsid w:val="00FE715E"/>
    <w:rsid w:val="00FE77AF"/>
    <w:rsid w:val="00FE7871"/>
    <w:rsid w:val="00FE7B7D"/>
    <w:rsid w:val="00FE7D18"/>
    <w:rsid w:val="00FE7D66"/>
    <w:rsid w:val="00FE7D91"/>
    <w:rsid w:val="00FE7E28"/>
    <w:rsid w:val="00FF0147"/>
    <w:rsid w:val="00FF03A3"/>
    <w:rsid w:val="00FF0413"/>
    <w:rsid w:val="00FF08E3"/>
    <w:rsid w:val="00FF0A27"/>
    <w:rsid w:val="00FF0E06"/>
    <w:rsid w:val="00FF0EAC"/>
    <w:rsid w:val="00FF124A"/>
    <w:rsid w:val="00FF125A"/>
    <w:rsid w:val="00FF1A31"/>
    <w:rsid w:val="00FF1F11"/>
    <w:rsid w:val="00FF2060"/>
    <w:rsid w:val="00FF2559"/>
    <w:rsid w:val="00FF26D4"/>
    <w:rsid w:val="00FF274C"/>
    <w:rsid w:val="00FF3094"/>
    <w:rsid w:val="00FF319D"/>
    <w:rsid w:val="00FF3265"/>
    <w:rsid w:val="00FF353C"/>
    <w:rsid w:val="00FF3D58"/>
    <w:rsid w:val="00FF3D5E"/>
    <w:rsid w:val="00FF4393"/>
    <w:rsid w:val="00FF4547"/>
    <w:rsid w:val="00FF48E7"/>
    <w:rsid w:val="00FF5D5C"/>
    <w:rsid w:val="00FF5F18"/>
    <w:rsid w:val="00FF5F3C"/>
    <w:rsid w:val="00FF5FC7"/>
    <w:rsid w:val="00FF60AB"/>
    <w:rsid w:val="00FF61CD"/>
    <w:rsid w:val="00FF61EF"/>
    <w:rsid w:val="00FF66CD"/>
    <w:rsid w:val="00FF6D32"/>
    <w:rsid w:val="00FF6E44"/>
    <w:rsid w:val="00FF6F69"/>
    <w:rsid w:val="00FF7B44"/>
    <w:rsid w:val="00FF7CC4"/>
    <w:rsid w:val="00FF7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F0"/>
    <w:rPr>
      <w:rFonts w:ascii="Times New Roman" w:eastAsia="Times New Roman" w:hAnsi="Times New Roman"/>
      <w:sz w:val="24"/>
      <w:szCs w:val="24"/>
    </w:rPr>
  </w:style>
  <w:style w:type="paragraph" w:styleId="Heading1">
    <w:name w:val="heading 1"/>
    <w:basedOn w:val="Normal"/>
    <w:next w:val="Normal"/>
    <w:link w:val="Heading1Char"/>
    <w:qFormat/>
    <w:rsid w:val="001700F0"/>
    <w:pPr>
      <w:keepNext/>
      <w:tabs>
        <w:tab w:val="num" w:pos="752"/>
      </w:tabs>
      <w:spacing w:before="240" w:after="60"/>
      <w:ind w:left="180"/>
      <w:outlineLvl w:val="0"/>
    </w:pPr>
    <w:rPr>
      <w:rFonts w:ascii="Arial" w:hAnsi="Arial" w:cs="Arial"/>
      <w:b/>
      <w:bCs/>
      <w:kern w:val="32"/>
      <w:sz w:val="32"/>
      <w:szCs w:val="32"/>
    </w:rPr>
  </w:style>
  <w:style w:type="paragraph" w:styleId="Heading2">
    <w:name w:val="heading 2"/>
    <w:basedOn w:val="Normal"/>
    <w:next w:val="Normal"/>
    <w:link w:val="Heading2Char"/>
    <w:qFormat/>
    <w:rsid w:val="001700F0"/>
    <w:pPr>
      <w:keepNext/>
      <w:numPr>
        <w:ilvl w:val="1"/>
        <w:numId w:val="11"/>
      </w:numPr>
      <w:tabs>
        <w:tab w:val="clear" w:pos="860"/>
        <w:tab w:val="num" w:pos="717"/>
      </w:tabs>
      <w:spacing w:before="240" w:after="60"/>
      <w:ind w:left="141"/>
      <w:outlineLvl w:val="1"/>
    </w:pPr>
    <w:rPr>
      <w:rFonts w:ascii="Arial" w:hAnsi="Arial" w:cs="Arial"/>
      <w:b/>
      <w:bCs/>
      <w:i/>
      <w:iCs/>
      <w:sz w:val="28"/>
      <w:szCs w:val="28"/>
    </w:rPr>
  </w:style>
  <w:style w:type="paragraph" w:styleId="Heading3">
    <w:name w:val="heading 3"/>
    <w:basedOn w:val="Normal"/>
    <w:next w:val="Normal"/>
    <w:link w:val="Heading3Char"/>
    <w:qFormat/>
    <w:rsid w:val="001700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700F0"/>
    <w:pPr>
      <w:keepNext/>
      <w:spacing w:before="240" w:after="60"/>
      <w:outlineLvl w:val="3"/>
    </w:pPr>
    <w:rPr>
      <w:b/>
      <w:bCs/>
      <w:sz w:val="28"/>
      <w:szCs w:val="28"/>
    </w:rPr>
  </w:style>
  <w:style w:type="paragraph" w:styleId="Heading5">
    <w:name w:val="heading 5"/>
    <w:basedOn w:val="Normal"/>
    <w:next w:val="Normal"/>
    <w:link w:val="Heading5Char"/>
    <w:qFormat/>
    <w:rsid w:val="001700F0"/>
    <w:pPr>
      <w:numPr>
        <w:ilvl w:val="4"/>
        <w:numId w:val="11"/>
      </w:numPr>
      <w:spacing w:before="240" w:after="60"/>
      <w:outlineLvl w:val="4"/>
    </w:pPr>
    <w:rPr>
      <w:b/>
      <w:bCs/>
      <w:i/>
      <w:iCs/>
      <w:sz w:val="26"/>
      <w:szCs w:val="26"/>
    </w:rPr>
  </w:style>
  <w:style w:type="paragraph" w:styleId="Heading6">
    <w:name w:val="heading 6"/>
    <w:basedOn w:val="Normal"/>
    <w:next w:val="Normal"/>
    <w:link w:val="Heading6Char"/>
    <w:qFormat/>
    <w:rsid w:val="001700F0"/>
    <w:pPr>
      <w:numPr>
        <w:ilvl w:val="5"/>
        <w:numId w:val="11"/>
      </w:numPr>
      <w:spacing w:before="240" w:after="60"/>
      <w:outlineLvl w:val="5"/>
    </w:pPr>
    <w:rPr>
      <w:b/>
      <w:bCs/>
      <w:sz w:val="22"/>
      <w:szCs w:val="22"/>
    </w:rPr>
  </w:style>
  <w:style w:type="paragraph" w:styleId="Heading7">
    <w:name w:val="heading 7"/>
    <w:basedOn w:val="Normal"/>
    <w:next w:val="Normal"/>
    <w:link w:val="Heading7Char"/>
    <w:qFormat/>
    <w:rsid w:val="001700F0"/>
    <w:pPr>
      <w:numPr>
        <w:ilvl w:val="6"/>
        <w:numId w:val="11"/>
      </w:numPr>
      <w:spacing w:before="240" w:after="60"/>
      <w:outlineLvl w:val="6"/>
    </w:pPr>
  </w:style>
  <w:style w:type="paragraph" w:styleId="Heading8">
    <w:name w:val="heading 8"/>
    <w:basedOn w:val="Normal"/>
    <w:next w:val="Normal"/>
    <w:link w:val="Heading8Char"/>
    <w:qFormat/>
    <w:rsid w:val="001700F0"/>
    <w:pPr>
      <w:numPr>
        <w:ilvl w:val="7"/>
        <w:numId w:val="11"/>
      </w:numPr>
      <w:spacing w:before="240" w:after="60"/>
      <w:outlineLvl w:val="7"/>
    </w:pPr>
    <w:rPr>
      <w:i/>
      <w:iCs/>
    </w:rPr>
  </w:style>
  <w:style w:type="paragraph" w:styleId="Heading9">
    <w:name w:val="heading 9"/>
    <w:basedOn w:val="Normal"/>
    <w:next w:val="Normal"/>
    <w:link w:val="Heading9Char"/>
    <w:qFormat/>
    <w:rsid w:val="001700F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0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1700F0"/>
    <w:rPr>
      <w:rFonts w:ascii="Arial" w:hAnsi="Arial" w:cs="Arial"/>
      <w:b/>
      <w:bCs/>
      <w:kern w:val="32"/>
      <w:sz w:val="32"/>
      <w:szCs w:val="32"/>
      <w:lang w:val="en-US" w:eastAsia="en-US" w:bidi="ar-SA"/>
    </w:rPr>
  </w:style>
  <w:style w:type="character" w:customStyle="1" w:styleId="Heading2Char">
    <w:name w:val="Heading 2 Char"/>
    <w:link w:val="Heading2"/>
    <w:rsid w:val="001700F0"/>
    <w:rPr>
      <w:rFonts w:ascii="Arial" w:eastAsia="Times New Roman" w:hAnsi="Arial" w:cs="Arial"/>
      <w:b/>
      <w:bCs/>
      <w:i/>
      <w:iCs/>
      <w:sz w:val="28"/>
      <w:szCs w:val="28"/>
    </w:rPr>
  </w:style>
  <w:style w:type="character" w:customStyle="1" w:styleId="Heading3Char">
    <w:name w:val="Heading 3 Char"/>
    <w:link w:val="Heading3"/>
    <w:rsid w:val="001700F0"/>
    <w:rPr>
      <w:rFonts w:ascii="Arial" w:eastAsia="Times New Roman" w:hAnsi="Arial" w:cs="Arial"/>
      <w:b/>
      <w:bCs/>
      <w:sz w:val="26"/>
      <w:szCs w:val="26"/>
    </w:rPr>
  </w:style>
  <w:style w:type="character" w:customStyle="1" w:styleId="Heading4Char">
    <w:name w:val="Heading 4 Char"/>
    <w:link w:val="Heading4"/>
    <w:rsid w:val="001700F0"/>
    <w:rPr>
      <w:rFonts w:ascii="Times New Roman" w:eastAsia="Times New Roman" w:hAnsi="Times New Roman"/>
      <w:b/>
      <w:bCs/>
      <w:sz w:val="28"/>
      <w:szCs w:val="28"/>
      <w:lang w:eastAsia="en-US"/>
    </w:rPr>
  </w:style>
  <w:style w:type="character" w:customStyle="1" w:styleId="Heading5Char">
    <w:name w:val="Heading 5 Char"/>
    <w:link w:val="Heading5"/>
    <w:rsid w:val="001700F0"/>
    <w:rPr>
      <w:rFonts w:ascii="Times New Roman" w:eastAsia="Times New Roman" w:hAnsi="Times New Roman"/>
      <w:b/>
      <w:bCs/>
      <w:i/>
      <w:iCs/>
      <w:sz w:val="26"/>
      <w:szCs w:val="26"/>
    </w:rPr>
  </w:style>
  <w:style w:type="character" w:customStyle="1" w:styleId="Heading6Char">
    <w:name w:val="Heading 6 Char"/>
    <w:link w:val="Heading6"/>
    <w:rsid w:val="001700F0"/>
    <w:rPr>
      <w:rFonts w:ascii="Times New Roman" w:eastAsia="Times New Roman" w:hAnsi="Times New Roman"/>
      <w:b/>
      <w:bCs/>
      <w:sz w:val="22"/>
      <w:szCs w:val="22"/>
    </w:rPr>
  </w:style>
  <w:style w:type="character" w:customStyle="1" w:styleId="Heading7Char">
    <w:name w:val="Heading 7 Char"/>
    <w:link w:val="Heading7"/>
    <w:rsid w:val="001700F0"/>
    <w:rPr>
      <w:rFonts w:ascii="Times New Roman" w:eastAsia="Times New Roman" w:hAnsi="Times New Roman"/>
      <w:sz w:val="24"/>
      <w:szCs w:val="24"/>
    </w:rPr>
  </w:style>
  <w:style w:type="character" w:customStyle="1" w:styleId="Heading8Char">
    <w:name w:val="Heading 8 Char"/>
    <w:link w:val="Heading8"/>
    <w:rsid w:val="001700F0"/>
    <w:rPr>
      <w:rFonts w:ascii="Times New Roman" w:eastAsia="Times New Roman" w:hAnsi="Times New Roman"/>
      <w:i/>
      <w:iCs/>
      <w:sz w:val="24"/>
      <w:szCs w:val="24"/>
    </w:rPr>
  </w:style>
  <w:style w:type="character" w:customStyle="1" w:styleId="Heading9Char">
    <w:name w:val="Heading 9 Char"/>
    <w:link w:val="Heading9"/>
    <w:rsid w:val="001700F0"/>
    <w:rPr>
      <w:rFonts w:ascii="Arial" w:eastAsia="Times New Roman" w:hAnsi="Arial" w:cs="Arial"/>
      <w:sz w:val="22"/>
      <w:szCs w:val="22"/>
    </w:rPr>
  </w:style>
  <w:style w:type="paragraph" w:styleId="Caption">
    <w:name w:val="caption"/>
    <w:basedOn w:val="Normal"/>
    <w:next w:val="Normal"/>
    <w:qFormat/>
    <w:rsid w:val="001700F0"/>
    <w:rPr>
      <w:b/>
      <w:bCs/>
      <w:sz w:val="20"/>
      <w:szCs w:val="20"/>
    </w:rPr>
  </w:style>
  <w:style w:type="paragraph" w:styleId="BalloonText">
    <w:name w:val="Balloon Text"/>
    <w:basedOn w:val="Normal"/>
    <w:link w:val="BalloonTextChar"/>
    <w:uiPriority w:val="99"/>
    <w:semiHidden/>
    <w:unhideWhenUsed/>
    <w:rsid w:val="001700F0"/>
    <w:rPr>
      <w:rFonts w:ascii="Tahoma" w:hAnsi="Tahoma" w:cs="Tahoma"/>
      <w:sz w:val="16"/>
      <w:szCs w:val="16"/>
    </w:rPr>
  </w:style>
  <w:style w:type="character" w:customStyle="1" w:styleId="BalloonTextChar">
    <w:name w:val="Balloon Text Char"/>
    <w:link w:val="BalloonText"/>
    <w:uiPriority w:val="99"/>
    <w:semiHidden/>
    <w:rsid w:val="001700F0"/>
    <w:rPr>
      <w:rFonts w:ascii="Tahoma" w:eastAsia="Times New Roman" w:hAnsi="Tahoma" w:cs="Tahoma"/>
      <w:sz w:val="16"/>
      <w:szCs w:val="16"/>
      <w:lang w:val="en-US"/>
    </w:rPr>
  </w:style>
  <w:style w:type="paragraph" w:styleId="BodyTextIndent2">
    <w:name w:val="Body Text Indent 2"/>
    <w:basedOn w:val="Normal"/>
    <w:link w:val="BodyTextIndent2Char"/>
    <w:rsid w:val="004649B1"/>
    <w:pPr>
      <w:spacing w:after="120" w:line="480" w:lineRule="auto"/>
      <w:ind w:left="283"/>
    </w:pPr>
    <w:rPr>
      <w:lang w:eastAsia="tr-TR"/>
    </w:rPr>
  </w:style>
  <w:style w:type="character" w:customStyle="1" w:styleId="BodyTextIndent2Char">
    <w:name w:val="Body Text Indent 2 Char"/>
    <w:link w:val="BodyTextIndent2"/>
    <w:rsid w:val="004649B1"/>
    <w:rPr>
      <w:rFonts w:ascii="Times New Roman" w:eastAsia="Times New Roman" w:hAnsi="Times New Roman"/>
      <w:sz w:val="24"/>
      <w:szCs w:val="24"/>
    </w:rPr>
  </w:style>
  <w:style w:type="paragraph" w:styleId="NormalWeb">
    <w:name w:val="Normal (Web)"/>
    <w:basedOn w:val="Normal"/>
    <w:rsid w:val="006F5268"/>
    <w:pPr>
      <w:spacing w:before="100" w:beforeAutospacing="1" w:after="100" w:afterAutospacing="1"/>
    </w:pPr>
    <w:rPr>
      <w:lang w:eastAsia="tr-TR"/>
    </w:rPr>
  </w:style>
  <w:style w:type="paragraph" w:customStyle="1" w:styleId="ListeParagraf1">
    <w:name w:val="Liste Paragraf1"/>
    <w:basedOn w:val="Normal"/>
    <w:uiPriority w:val="34"/>
    <w:qFormat/>
    <w:rsid w:val="00D623A1"/>
    <w:pPr>
      <w:ind w:left="708"/>
    </w:pPr>
  </w:style>
  <w:style w:type="paragraph" w:styleId="TOC1">
    <w:name w:val="toc 1"/>
    <w:basedOn w:val="Normal"/>
    <w:next w:val="Normal"/>
    <w:autoRedefine/>
    <w:uiPriority w:val="39"/>
    <w:rsid w:val="00A46B0A"/>
    <w:pPr>
      <w:tabs>
        <w:tab w:val="left" w:pos="480"/>
        <w:tab w:val="right" w:leader="dot" w:pos="9016"/>
      </w:tabs>
      <w:spacing w:before="120" w:after="120"/>
    </w:pPr>
    <w:rPr>
      <w:rFonts w:ascii="Century" w:hAnsi="Century"/>
      <w:b/>
      <w:bCs/>
      <w:caps/>
      <w:sz w:val="20"/>
      <w:szCs w:val="20"/>
    </w:rPr>
  </w:style>
  <w:style w:type="character" w:styleId="Hyperlink">
    <w:name w:val="Hyperlink"/>
    <w:rsid w:val="005D21D5"/>
    <w:rPr>
      <w:color w:val="0000FF"/>
      <w:u w:val="single"/>
    </w:rPr>
  </w:style>
  <w:style w:type="paragraph" w:styleId="TOC2">
    <w:name w:val="toc 2"/>
    <w:basedOn w:val="Normal"/>
    <w:next w:val="Normal"/>
    <w:autoRedefine/>
    <w:uiPriority w:val="39"/>
    <w:rsid w:val="00FD088B"/>
    <w:pPr>
      <w:tabs>
        <w:tab w:val="left" w:pos="720"/>
        <w:tab w:val="right" w:leader="dot" w:pos="9016"/>
      </w:tabs>
      <w:ind w:firstLine="240"/>
    </w:pPr>
    <w:rPr>
      <w:rFonts w:ascii="Century" w:hAnsi="Century"/>
      <w:smallCaps/>
      <w:sz w:val="20"/>
      <w:szCs w:val="20"/>
    </w:rPr>
  </w:style>
  <w:style w:type="paragraph" w:styleId="TOC3">
    <w:name w:val="toc 3"/>
    <w:basedOn w:val="Normal"/>
    <w:next w:val="Normal"/>
    <w:autoRedefine/>
    <w:uiPriority w:val="39"/>
    <w:rsid w:val="00820FD7"/>
    <w:pPr>
      <w:tabs>
        <w:tab w:val="left" w:pos="900"/>
        <w:tab w:val="right" w:leader="dot" w:pos="9016"/>
      </w:tabs>
      <w:ind w:left="480"/>
    </w:pPr>
    <w:rPr>
      <w:i/>
      <w:iCs/>
      <w:sz w:val="20"/>
      <w:szCs w:val="20"/>
    </w:rPr>
  </w:style>
  <w:style w:type="paragraph" w:styleId="TOC4">
    <w:name w:val="toc 4"/>
    <w:basedOn w:val="Normal"/>
    <w:next w:val="Normal"/>
    <w:autoRedefine/>
    <w:uiPriority w:val="39"/>
    <w:rsid w:val="00BB63C9"/>
    <w:pPr>
      <w:tabs>
        <w:tab w:val="left" w:pos="1320"/>
        <w:tab w:val="right" w:leader="dot" w:pos="9000"/>
      </w:tabs>
      <w:ind w:left="1080" w:hanging="180"/>
    </w:pPr>
    <w:rPr>
      <w:sz w:val="18"/>
      <w:szCs w:val="18"/>
    </w:rPr>
  </w:style>
  <w:style w:type="paragraph" w:styleId="TableofFigures">
    <w:name w:val="table of figures"/>
    <w:basedOn w:val="Normal"/>
    <w:next w:val="Normal"/>
    <w:uiPriority w:val="99"/>
    <w:rsid w:val="00613F00"/>
    <w:pPr>
      <w:ind w:left="480" w:hanging="480"/>
    </w:pPr>
    <w:rPr>
      <w:smallCaps/>
      <w:sz w:val="20"/>
      <w:szCs w:val="20"/>
    </w:rPr>
  </w:style>
  <w:style w:type="paragraph" w:styleId="Header">
    <w:name w:val="header"/>
    <w:basedOn w:val="Normal"/>
    <w:link w:val="HeaderChar"/>
    <w:uiPriority w:val="99"/>
    <w:unhideWhenUsed/>
    <w:rsid w:val="004D36CF"/>
    <w:pPr>
      <w:tabs>
        <w:tab w:val="center" w:pos="4513"/>
        <w:tab w:val="right" w:pos="9026"/>
      </w:tabs>
    </w:pPr>
  </w:style>
  <w:style w:type="character" w:customStyle="1" w:styleId="HeaderChar">
    <w:name w:val="Header Char"/>
    <w:link w:val="Header"/>
    <w:uiPriority w:val="99"/>
    <w:rsid w:val="004D36C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4D36CF"/>
    <w:pPr>
      <w:tabs>
        <w:tab w:val="center" w:pos="4513"/>
        <w:tab w:val="right" w:pos="9026"/>
      </w:tabs>
    </w:pPr>
  </w:style>
  <w:style w:type="character" w:customStyle="1" w:styleId="FooterChar">
    <w:name w:val="Footer Char"/>
    <w:link w:val="Footer"/>
    <w:uiPriority w:val="99"/>
    <w:rsid w:val="004D36CF"/>
    <w:rPr>
      <w:rFonts w:ascii="Times New Roman" w:eastAsia="Times New Roman" w:hAnsi="Times New Roman"/>
      <w:sz w:val="24"/>
      <w:szCs w:val="24"/>
      <w:lang w:val="en-US" w:eastAsia="en-US"/>
    </w:rPr>
  </w:style>
  <w:style w:type="character" w:styleId="PageNumber">
    <w:name w:val="page number"/>
    <w:basedOn w:val="DefaultParagraphFont"/>
    <w:rsid w:val="00AB757E"/>
  </w:style>
  <w:style w:type="paragraph" w:styleId="BodyTextIndent">
    <w:name w:val="Body Text Indent"/>
    <w:basedOn w:val="Normal"/>
    <w:rsid w:val="00133A23"/>
    <w:pPr>
      <w:spacing w:after="120"/>
      <w:ind w:left="283"/>
    </w:pPr>
  </w:style>
  <w:style w:type="paragraph" w:customStyle="1" w:styleId="Style1">
    <w:name w:val="Style1"/>
    <w:basedOn w:val="Heading1"/>
    <w:rsid w:val="00FF03A3"/>
    <w:rPr>
      <w:rFonts w:ascii="Century" w:hAnsi="Century"/>
      <w:sz w:val="24"/>
      <w:szCs w:val="24"/>
    </w:rPr>
  </w:style>
  <w:style w:type="paragraph" w:customStyle="1" w:styleId="Style2">
    <w:name w:val="Style2"/>
    <w:basedOn w:val="Heading1"/>
    <w:rsid w:val="00FF03A3"/>
    <w:pPr>
      <w:numPr>
        <w:numId w:val="11"/>
      </w:numPr>
    </w:pPr>
    <w:rPr>
      <w:rFonts w:ascii="Century" w:hAnsi="Century"/>
      <w:kern w:val="24"/>
      <w:sz w:val="24"/>
      <w:szCs w:val="24"/>
    </w:rPr>
  </w:style>
  <w:style w:type="paragraph" w:customStyle="1" w:styleId="Style3">
    <w:name w:val="Style3"/>
    <w:basedOn w:val="Heading2"/>
    <w:rsid w:val="0015507C"/>
    <w:pPr>
      <w:keepNext w:val="0"/>
      <w:tabs>
        <w:tab w:val="left" w:leader="dot" w:pos="432"/>
      </w:tabs>
      <w:spacing w:before="0" w:after="0"/>
      <w:ind w:left="1111" w:hanging="431"/>
      <w:jc w:val="both"/>
    </w:pPr>
    <w:rPr>
      <w:rFonts w:ascii="Century" w:hAnsi="Century"/>
      <w:i w:val="0"/>
      <w:sz w:val="24"/>
      <w:szCs w:val="24"/>
    </w:rPr>
  </w:style>
  <w:style w:type="paragraph" w:customStyle="1" w:styleId="Style4">
    <w:name w:val="Style4"/>
    <w:basedOn w:val="Heading2"/>
    <w:rsid w:val="0015507C"/>
    <w:pPr>
      <w:keepNext w:val="0"/>
      <w:tabs>
        <w:tab w:val="num" w:pos="432"/>
      </w:tabs>
      <w:spacing w:before="0" w:after="0"/>
      <w:ind w:left="1111" w:hanging="431"/>
    </w:pPr>
    <w:rPr>
      <w:rFonts w:ascii="Century" w:hAnsi="Century"/>
      <w:i w:val="0"/>
      <w:sz w:val="24"/>
      <w:szCs w:val="24"/>
    </w:rPr>
  </w:style>
  <w:style w:type="character" w:styleId="FollowedHyperlink">
    <w:name w:val="FollowedHyperlink"/>
    <w:uiPriority w:val="99"/>
    <w:semiHidden/>
    <w:unhideWhenUsed/>
    <w:rsid w:val="009159F9"/>
    <w:rPr>
      <w:color w:val="800080"/>
      <w:u w:val="single"/>
    </w:rPr>
  </w:style>
  <w:style w:type="character" w:customStyle="1" w:styleId="grame">
    <w:name w:val="grame"/>
    <w:basedOn w:val="DefaultParagraphFont"/>
    <w:rsid w:val="00E9586F"/>
  </w:style>
  <w:style w:type="character" w:customStyle="1" w:styleId="spelle">
    <w:name w:val="spelle"/>
    <w:basedOn w:val="DefaultParagraphFont"/>
    <w:rsid w:val="00E9586F"/>
  </w:style>
  <w:style w:type="character" w:styleId="CommentReference">
    <w:name w:val="annotation reference"/>
    <w:semiHidden/>
    <w:rsid w:val="00C347A8"/>
    <w:rPr>
      <w:sz w:val="16"/>
      <w:szCs w:val="16"/>
    </w:rPr>
  </w:style>
  <w:style w:type="paragraph" w:styleId="CommentText">
    <w:name w:val="annotation text"/>
    <w:basedOn w:val="Normal"/>
    <w:link w:val="CommentTextChar"/>
    <w:semiHidden/>
    <w:rsid w:val="00C347A8"/>
    <w:rPr>
      <w:sz w:val="20"/>
      <w:szCs w:val="20"/>
    </w:rPr>
  </w:style>
  <w:style w:type="paragraph" w:styleId="CommentSubject">
    <w:name w:val="annotation subject"/>
    <w:basedOn w:val="CommentText"/>
    <w:next w:val="CommentText"/>
    <w:semiHidden/>
    <w:rsid w:val="00C347A8"/>
    <w:rPr>
      <w:b/>
      <w:bCs/>
    </w:rPr>
  </w:style>
  <w:style w:type="character" w:customStyle="1" w:styleId="fheading1">
    <w:name w:val="f_heading1"/>
    <w:basedOn w:val="DefaultParagraphFont"/>
    <w:rsid w:val="00EB00F4"/>
  </w:style>
  <w:style w:type="paragraph" w:styleId="DocumentMap">
    <w:name w:val="Document Map"/>
    <w:basedOn w:val="Normal"/>
    <w:link w:val="DocumentMapChar"/>
    <w:uiPriority w:val="99"/>
    <w:semiHidden/>
    <w:unhideWhenUsed/>
    <w:rsid w:val="00BB1691"/>
    <w:rPr>
      <w:rFonts w:ascii="Tahoma" w:hAnsi="Tahoma" w:cs="Tahoma"/>
      <w:sz w:val="16"/>
      <w:szCs w:val="16"/>
    </w:rPr>
  </w:style>
  <w:style w:type="character" w:customStyle="1" w:styleId="DocumentMapChar">
    <w:name w:val="Document Map Char"/>
    <w:link w:val="DocumentMap"/>
    <w:uiPriority w:val="99"/>
    <w:semiHidden/>
    <w:rsid w:val="00BB1691"/>
    <w:rPr>
      <w:rFonts w:ascii="Tahoma" w:eastAsia="Times New Roman" w:hAnsi="Tahoma" w:cs="Tahoma"/>
      <w:sz w:val="16"/>
      <w:szCs w:val="16"/>
      <w:lang w:eastAsia="en-US"/>
    </w:rPr>
  </w:style>
  <w:style w:type="paragraph" w:customStyle="1" w:styleId="ListParagraph1">
    <w:name w:val="List Paragraph1"/>
    <w:basedOn w:val="Normal"/>
    <w:uiPriority w:val="34"/>
    <w:qFormat/>
    <w:rsid w:val="009705EB"/>
    <w:pPr>
      <w:ind w:left="708"/>
    </w:pPr>
  </w:style>
  <w:style w:type="paragraph" w:styleId="ListParagraph">
    <w:name w:val="List Paragraph"/>
    <w:basedOn w:val="Normal"/>
    <w:uiPriority w:val="34"/>
    <w:qFormat/>
    <w:rsid w:val="004E5C27"/>
    <w:pPr>
      <w:ind w:left="708"/>
    </w:pPr>
  </w:style>
  <w:style w:type="paragraph" w:customStyle="1" w:styleId="ListeParagraf2">
    <w:name w:val="Liste Paragraf2"/>
    <w:basedOn w:val="Normal"/>
    <w:uiPriority w:val="34"/>
    <w:qFormat/>
    <w:rsid w:val="0007073B"/>
    <w:pPr>
      <w:ind w:left="708"/>
    </w:pPr>
  </w:style>
  <w:style w:type="paragraph" w:styleId="EndnoteText">
    <w:name w:val="endnote text"/>
    <w:basedOn w:val="Normal"/>
    <w:link w:val="EndnoteTextChar"/>
    <w:uiPriority w:val="99"/>
    <w:semiHidden/>
    <w:unhideWhenUsed/>
    <w:rsid w:val="00CA03BF"/>
    <w:rPr>
      <w:sz w:val="20"/>
      <w:szCs w:val="20"/>
    </w:rPr>
  </w:style>
  <w:style w:type="character" w:customStyle="1" w:styleId="EndnoteTextChar">
    <w:name w:val="Endnote Text Char"/>
    <w:basedOn w:val="DefaultParagraphFont"/>
    <w:link w:val="EndnoteText"/>
    <w:uiPriority w:val="99"/>
    <w:semiHidden/>
    <w:rsid w:val="00CA03BF"/>
    <w:rPr>
      <w:rFonts w:ascii="Times New Roman" w:eastAsia="Times New Roman" w:hAnsi="Times New Roman"/>
      <w:lang w:val="tr-TR"/>
    </w:rPr>
  </w:style>
  <w:style w:type="character" w:styleId="EndnoteReference">
    <w:name w:val="endnote reference"/>
    <w:basedOn w:val="DefaultParagraphFont"/>
    <w:uiPriority w:val="99"/>
    <w:semiHidden/>
    <w:unhideWhenUsed/>
    <w:rsid w:val="00CA03BF"/>
    <w:rPr>
      <w:vertAlign w:val="superscript"/>
    </w:rPr>
  </w:style>
  <w:style w:type="paragraph" w:customStyle="1" w:styleId="Default">
    <w:name w:val="Default"/>
    <w:rsid w:val="005A22E4"/>
    <w:pPr>
      <w:autoSpaceDE w:val="0"/>
      <w:autoSpaceDN w:val="0"/>
      <w:adjustRightInd w:val="0"/>
    </w:pPr>
    <w:rPr>
      <w:rFonts w:ascii="Times New Roman" w:hAnsi="Times New Roman"/>
      <w:color w:val="000000"/>
      <w:sz w:val="24"/>
      <w:szCs w:val="24"/>
    </w:rPr>
  </w:style>
  <w:style w:type="character" w:customStyle="1" w:styleId="hps">
    <w:name w:val="hps"/>
    <w:basedOn w:val="DefaultParagraphFont"/>
    <w:rsid w:val="00E771D8"/>
  </w:style>
  <w:style w:type="paragraph" w:styleId="z-TopofForm">
    <w:name w:val="HTML Top of Form"/>
    <w:basedOn w:val="Normal"/>
    <w:next w:val="Normal"/>
    <w:link w:val="z-TopofFormChar"/>
    <w:hidden/>
    <w:uiPriority w:val="99"/>
    <w:semiHidden/>
    <w:unhideWhenUsed/>
    <w:rsid w:val="00A01737"/>
    <w:pPr>
      <w:pBdr>
        <w:bottom w:val="single" w:sz="6" w:space="1" w:color="auto"/>
      </w:pBdr>
      <w:jc w:val="center"/>
    </w:pPr>
    <w:rPr>
      <w:rFonts w:ascii="Arial" w:hAnsi="Arial" w:cs="Arial"/>
      <w:vanish/>
      <w:sz w:val="16"/>
      <w:szCs w:val="16"/>
      <w:lang w:eastAsia="tr-TR"/>
    </w:rPr>
  </w:style>
  <w:style w:type="character" w:customStyle="1" w:styleId="z-TopofFormChar">
    <w:name w:val="z-Top of Form Char"/>
    <w:basedOn w:val="DefaultParagraphFont"/>
    <w:link w:val="z-TopofForm"/>
    <w:uiPriority w:val="99"/>
    <w:semiHidden/>
    <w:rsid w:val="00A01737"/>
    <w:rPr>
      <w:rFonts w:ascii="Arial" w:eastAsia="Times New Roman" w:hAnsi="Arial" w:cs="Arial"/>
      <w:vanish/>
      <w:sz w:val="16"/>
      <w:szCs w:val="16"/>
      <w:lang w:val="tr-TR" w:eastAsia="tr-TR"/>
    </w:rPr>
  </w:style>
  <w:style w:type="character" w:customStyle="1" w:styleId="st-stp1-text1">
    <w:name w:val="st-stp1-text1"/>
    <w:basedOn w:val="DefaultParagraphFont"/>
    <w:rsid w:val="00A01737"/>
    <w:rPr>
      <w:color w:val="333333"/>
    </w:rPr>
  </w:style>
  <w:style w:type="character" w:customStyle="1" w:styleId="gt-baf-back1">
    <w:name w:val="gt-baf-back1"/>
    <w:basedOn w:val="DefaultParagraphFont"/>
    <w:rsid w:val="00A01737"/>
  </w:style>
  <w:style w:type="character" w:customStyle="1" w:styleId="jfk-butterbar1">
    <w:name w:val="jfk-butterbar1"/>
    <w:basedOn w:val="DefaultParagraphFont"/>
    <w:rsid w:val="00A01737"/>
    <w:rPr>
      <w:sz w:val="17"/>
      <w:szCs w:val="17"/>
      <w:bdr w:val="single" w:sz="2" w:space="0" w:color="auto" w:frame="1"/>
    </w:rPr>
  </w:style>
  <w:style w:type="character" w:customStyle="1" w:styleId="gt-ft-text1">
    <w:name w:val="gt-ft-text1"/>
    <w:basedOn w:val="DefaultParagraphFont"/>
    <w:rsid w:val="00A01737"/>
  </w:style>
  <w:style w:type="paragraph" w:styleId="z-BottomofForm">
    <w:name w:val="HTML Bottom of Form"/>
    <w:basedOn w:val="Normal"/>
    <w:next w:val="Normal"/>
    <w:link w:val="z-BottomofFormChar"/>
    <w:hidden/>
    <w:uiPriority w:val="99"/>
    <w:semiHidden/>
    <w:unhideWhenUsed/>
    <w:rsid w:val="00A01737"/>
    <w:pPr>
      <w:pBdr>
        <w:top w:val="single" w:sz="6" w:space="1" w:color="auto"/>
      </w:pBdr>
      <w:jc w:val="center"/>
    </w:pPr>
    <w:rPr>
      <w:rFonts w:ascii="Arial"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A01737"/>
    <w:rPr>
      <w:rFonts w:ascii="Arial" w:eastAsia="Times New Roman" w:hAnsi="Arial" w:cs="Arial"/>
      <w:vanish/>
      <w:sz w:val="16"/>
      <w:szCs w:val="16"/>
      <w:lang w:val="tr-TR" w:eastAsia="tr-TR"/>
    </w:rPr>
  </w:style>
  <w:style w:type="character" w:customStyle="1" w:styleId="shorttext">
    <w:name w:val="short_text"/>
    <w:basedOn w:val="DefaultParagraphFont"/>
    <w:rsid w:val="009927D5"/>
  </w:style>
  <w:style w:type="character" w:customStyle="1" w:styleId="longtext">
    <w:name w:val="long_text"/>
    <w:basedOn w:val="DefaultParagraphFont"/>
    <w:rsid w:val="00B97474"/>
  </w:style>
  <w:style w:type="paragraph" w:styleId="Revision">
    <w:name w:val="Revision"/>
    <w:hidden/>
    <w:uiPriority w:val="99"/>
    <w:semiHidden/>
    <w:rsid w:val="008C5F81"/>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1E34DA"/>
    <w:rPr>
      <w:sz w:val="20"/>
      <w:szCs w:val="20"/>
    </w:rPr>
  </w:style>
  <w:style w:type="character" w:customStyle="1" w:styleId="FootnoteTextChar">
    <w:name w:val="Footnote Text Char"/>
    <w:basedOn w:val="DefaultParagraphFont"/>
    <w:link w:val="FootnoteText"/>
    <w:uiPriority w:val="99"/>
    <w:semiHidden/>
    <w:rsid w:val="001E34DA"/>
    <w:rPr>
      <w:rFonts w:ascii="Times New Roman" w:eastAsia="Times New Roman" w:hAnsi="Times New Roman"/>
    </w:rPr>
  </w:style>
  <w:style w:type="character" w:styleId="FootnoteReference">
    <w:name w:val="footnote reference"/>
    <w:basedOn w:val="DefaultParagraphFont"/>
    <w:uiPriority w:val="99"/>
    <w:unhideWhenUsed/>
    <w:rsid w:val="001E34DA"/>
    <w:rPr>
      <w:vertAlign w:val="superscript"/>
    </w:rPr>
  </w:style>
  <w:style w:type="character" w:styleId="Strong">
    <w:name w:val="Strong"/>
    <w:basedOn w:val="DefaultParagraphFont"/>
    <w:uiPriority w:val="22"/>
    <w:qFormat/>
    <w:rsid w:val="00063BD0"/>
    <w:rPr>
      <w:b/>
      <w:bCs/>
    </w:rPr>
  </w:style>
  <w:style w:type="character" w:customStyle="1" w:styleId="apple-converted-space">
    <w:name w:val="apple-converted-space"/>
    <w:basedOn w:val="DefaultParagraphFont"/>
    <w:rsid w:val="00063BD0"/>
  </w:style>
  <w:style w:type="character" w:customStyle="1" w:styleId="ft">
    <w:name w:val="ft"/>
    <w:basedOn w:val="DefaultParagraphFont"/>
    <w:rsid w:val="00357380"/>
  </w:style>
  <w:style w:type="character" w:styleId="Emphasis">
    <w:name w:val="Emphasis"/>
    <w:basedOn w:val="DefaultParagraphFont"/>
    <w:uiPriority w:val="20"/>
    <w:qFormat/>
    <w:rsid w:val="00357380"/>
    <w:rPr>
      <w:i/>
      <w:iCs/>
    </w:rPr>
  </w:style>
  <w:style w:type="character" w:customStyle="1" w:styleId="CommentTextChar">
    <w:name w:val="Comment Text Char"/>
    <w:basedOn w:val="DefaultParagraphFont"/>
    <w:link w:val="CommentText"/>
    <w:semiHidden/>
    <w:rsid w:val="00B334CB"/>
    <w:rPr>
      <w:rFonts w:ascii="Times New Roman" w:eastAsia="Times New Roman" w:hAnsi="Times New Roman"/>
    </w:rPr>
  </w:style>
  <w:style w:type="paragraph" w:styleId="HTMLPreformatted">
    <w:name w:val="HTML Preformatted"/>
    <w:basedOn w:val="Normal"/>
    <w:link w:val="HTMLPreformattedChar"/>
    <w:uiPriority w:val="99"/>
    <w:unhideWhenUsed/>
    <w:rsid w:val="00424339"/>
    <w:rPr>
      <w:rFonts w:ascii="Consolas" w:hAnsi="Consolas"/>
      <w:sz w:val="20"/>
      <w:szCs w:val="20"/>
    </w:rPr>
  </w:style>
  <w:style w:type="character" w:customStyle="1" w:styleId="HTMLPreformattedChar">
    <w:name w:val="HTML Preformatted Char"/>
    <w:basedOn w:val="DefaultParagraphFont"/>
    <w:link w:val="HTMLPreformatted"/>
    <w:uiPriority w:val="99"/>
    <w:rsid w:val="00424339"/>
    <w:rPr>
      <w:rFonts w:ascii="Consolas" w:eastAsia="Times New Roman"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F0"/>
    <w:rPr>
      <w:rFonts w:ascii="Times New Roman" w:eastAsia="Times New Roman" w:hAnsi="Times New Roman"/>
      <w:sz w:val="24"/>
      <w:szCs w:val="24"/>
    </w:rPr>
  </w:style>
  <w:style w:type="paragraph" w:styleId="Heading1">
    <w:name w:val="heading 1"/>
    <w:basedOn w:val="Normal"/>
    <w:next w:val="Normal"/>
    <w:link w:val="Heading1Char"/>
    <w:qFormat/>
    <w:rsid w:val="001700F0"/>
    <w:pPr>
      <w:keepNext/>
      <w:tabs>
        <w:tab w:val="num" w:pos="752"/>
      </w:tabs>
      <w:spacing w:before="240" w:after="60"/>
      <w:ind w:left="180"/>
      <w:outlineLvl w:val="0"/>
    </w:pPr>
    <w:rPr>
      <w:rFonts w:ascii="Arial" w:hAnsi="Arial" w:cs="Arial"/>
      <w:b/>
      <w:bCs/>
      <w:kern w:val="32"/>
      <w:sz w:val="32"/>
      <w:szCs w:val="32"/>
    </w:rPr>
  </w:style>
  <w:style w:type="paragraph" w:styleId="Heading2">
    <w:name w:val="heading 2"/>
    <w:basedOn w:val="Normal"/>
    <w:next w:val="Normal"/>
    <w:link w:val="Heading2Char"/>
    <w:qFormat/>
    <w:rsid w:val="001700F0"/>
    <w:pPr>
      <w:keepNext/>
      <w:numPr>
        <w:ilvl w:val="1"/>
        <w:numId w:val="11"/>
      </w:numPr>
      <w:tabs>
        <w:tab w:val="clear" w:pos="860"/>
        <w:tab w:val="num" w:pos="717"/>
      </w:tabs>
      <w:spacing w:before="240" w:after="60"/>
      <w:ind w:left="141"/>
      <w:outlineLvl w:val="1"/>
    </w:pPr>
    <w:rPr>
      <w:rFonts w:ascii="Arial" w:hAnsi="Arial" w:cs="Arial"/>
      <w:b/>
      <w:bCs/>
      <w:i/>
      <w:iCs/>
      <w:sz w:val="28"/>
      <w:szCs w:val="28"/>
    </w:rPr>
  </w:style>
  <w:style w:type="paragraph" w:styleId="Heading3">
    <w:name w:val="heading 3"/>
    <w:basedOn w:val="Normal"/>
    <w:next w:val="Normal"/>
    <w:link w:val="Heading3Char"/>
    <w:qFormat/>
    <w:rsid w:val="001700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700F0"/>
    <w:pPr>
      <w:keepNext/>
      <w:spacing w:before="240" w:after="60"/>
      <w:outlineLvl w:val="3"/>
    </w:pPr>
    <w:rPr>
      <w:b/>
      <w:bCs/>
      <w:sz w:val="28"/>
      <w:szCs w:val="28"/>
    </w:rPr>
  </w:style>
  <w:style w:type="paragraph" w:styleId="Heading5">
    <w:name w:val="heading 5"/>
    <w:basedOn w:val="Normal"/>
    <w:next w:val="Normal"/>
    <w:link w:val="Heading5Char"/>
    <w:qFormat/>
    <w:rsid w:val="001700F0"/>
    <w:pPr>
      <w:numPr>
        <w:ilvl w:val="4"/>
        <w:numId w:val="11"/>
      </w:numPr>
      <w:spacing w:before="240" w:after="60"/>
      <w:outlineLvl w:val="4"/>
    </w:pPr>
    <w:rPr>
      <w:b/>
      <w:bCs/>
      <w:i/>
      <w:iCs/>
      <w:sz w:val="26"/>
      <w:szCs w:val="26"/>
    </w:rPr>
  </w:style>
  <w:style w:type="paragraph" w:styleId="Heading6">
    <w:name w:val="heading 6"/>
    <w:basedOn w:val="Normal"/>
    <w:next w:val="Normal"/>
    <w:link w:val="Heading6Char"/>
    <w:qFormat/>
    <w:rsid w:val="001700F0"/>
    <w:pPr>
      <w:numPr>
        <w:ilvl w:val="5"/>
        <w:numId w:val="11"/>
      </w:numPr>
      <w:spacing w:before="240" w:after="60"/>
      <w:outlineLvl w:val="5"/>
    </w:pPr>
    <w:rPr>
      <w:b/>
      <w:bCs/>
      <w:sz w:val="22"/>
      <w:szCs w:val="22"/>
    </w:rPr>
  </w:style>
  <w:style w:type="paragraph" w:styleId="Heading7">
    <w:name w:val="heading 7"/>
    <w:basedOn w:val="Normal"/>
    <w:next w:val="Normal"/>
    <w:link w:val="Heading7Char"/>
    <w:qFormat/>
    <w:rsid w:val="001700F0"/>
    <w:pPr>
      <w:numPr>
        <w:ilvl w:val="6"/>
        <w:numId w:val="11"/>
      </w:numPr>
      <w:spacing w:before="240" w:after="60"/>
      <w:outlineLvl w:val="6"/>
    </w:pPr>
  </w:style>
  <w:style w:type="paragraph" w:styleId="Heading8">
    <w:name w:val="heading 8"/>
    <w:basedOn w:val="Normal"/>
    <w:next w:val="Normal"/>
    <w:link w:val="Heading8Char"/>
    <w:qFormat/>
    <w:rsid w:val="001700F0"/>
    <w:pPr>
      <w:numPr>
        <w:ilvl w:val="7"/>
        <w:numId w:val="11"/>
      </w:numPr>
      <w:spacing w:before="240" w:after="60"/>
      <w:outlineLvl w:val="7"/>
    </w:pPr>
    <w:rPr>
      <w:i/>
      <w:iCs/>
    </w:rPr>
  </w:style>
  <w:style w:type="paragraph" w:styleId="Heading9">
    <w:name w:val="heading 9"/>
    <w:basedOn w:val="Normal"/>
    <w:next w:val="Normal"/>
    <w:link w:val="Heading9Char"/>
    <w:qFormat/>
    <w:rsid w:val="001700F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0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1700F0"/>
    <w:rPr>
      <w:rFonts w:ascii="Arial" w:hAnsi="Arial" w:cs="Arial"/>
      <w:b/>
      <w:bCs/>
      <w:kern w:val="32"/>
      <w:sz w:val="32"/>
      <w:szCs w:val="32"/>
      <w:lang w:val="en-US" w:eastAsia="en-US" w:bidi="ar-SA"/>
    </w:rPr>
  </w:style>
  <w:style w:type="character" w:customStyle="1" w:styleId="Heading2Char">
    <w:name w:val="Heading 2 Char"/>
    <w:link w:val="Heading2"/>
    <w:rsid w:val="001700F0"/>
    <w:rPr>
      <w:rFonts w:ascii="Arial" w:eastAsia="Times New Roman" w:hAnsi="Arial" w:cs="Arial"/>
      <w:b/>
      <w:bCs/>
      <w:i/>
      <w:iCs/>
      <w:sz w:val="28"/>
      <w:szCs w:val="28"/>
    </w:rPr>
  </w:style>
  <w:style w:type="character" w:customStyle="1" w:styleId="Heading3Char">
    <w:name w:val="Heading 3 Char"/>
    <w:link w:val="Heading3"/>
    <w:rsid w:val="001700F0"/>
    <w:rPr>
      <w:rFonts w:ascii="Arial" w:eastAsia="Times New Roman" w:hAnsi="Arial" w:cs="Arial"/>
      <w:b/>
      <w:bCs/>
      <w:sz w:val="26"/>
      <w:szCs w:val="26"/>
    </w:rPr>
  </w:style>
  <w:style w:type="character" w:customStyle="1" w:styleId="Heading4Char">
    <w:name w:val="Heading 4 Char"/>
    <w:link w:val="Heading4"/>
    <w:rsid w:val="001700F0"/>
    <w:rPr>
      <w:rFonts w:ascii="Times New Roman" w:eastAsia="Times New Roman" w:hAnsi="Times New Roman"/>
      <w:b/>
      <w:bCs/>
      <w:sz w:val="28"/>
      <w:szCs w:val="28"/>
      <w:lang w:eastAsia="en-US"/>
    </w:rPr>
  </w:style>
  <w:style w:type="character" w:customStyle="1" w:styleId="Heading5Char">
    <w:name w:val="Heading 5 Char"/>
    <w:link w:val="Heading5"/>
    <w:rsid w:val="001700F0"/>
    <w:rPr>
      <w:rFonts w:ascii="Times New Roman" w:eastAsia="Times New Roman" w:hAnsi="Times New Roman"/>
      <w:b/>
      <w:bCs/>
      <w:i/>
      <w:iCs/>
      <w:sz w:val="26"/>
      <w:szCs w:val="26"/>
    </w:rPr>
  </w:style>
  <w:style w:type="character" w:customStyle="1" w:styleId="Heading6Char">
    <w:name w:val="Heading 6 Char"/>
    <w:link w:val="Heading6"/>
    <w:rsid w:val="001700F0"/>
    <w:rPr>
      <w:rFonts w:ascii="Times New Roman" w:eastAsia="Times New Roman" w:hAnsi="Times New Roman"/>
      <w:b/>
      <w:bCs/>
      <w:sz w:val="22"/>
      <w:szCs w:val="22"/>
    </w:rPr>
  </w:style>
  <w:style w:type="character" w:customStyle="1" w:styleId="Heading7Char">
    <w:name w:val="Heading 7 Char"/>
    <w:link w:val="Heading7"/>
    <w:rsid w:val="001700F0"/>
    <w:rPr>
      <w:rFonts w:ascii="Times New Roman" w:eastAsia="Times New Roman" w:hAnsi="Times New Roman"/>
      <w:sz w:val="24"/>
      <w:szCs w:val="24"/>
    </w:rPr>
  </w:style>
  <w:style w:type="character" w:customStyle="1" w:styleId="Heading8Char">
    <w:name w:val="Heading 8 Char"/>
    <w:link w:val="Heading8"/>
    <w:rsid w:val="001700F0"/>
    <w:rPr>
      <w:rFonts w:ascii="Times New Roman" w:eastAsia="Times New Roman" w:hAnsi="Times New Roman"/>
      <w:i/>
      <w:iCs/>
      <w:sz w:val="24"/>
      <w:szCs w:val="24"/>
    </w:rPr>
  </w:style>
  <w:style w:type="character" w:customStyle="1" w:styleId="Heading9Char">
    <w:name w:val="Heading 9 Char"/>
    <w:link w:val="Heading9"/>
    <w:rsid w:val="001700F0"/>
    <w:rPr>
      <w:rFonts w:ascii="Arial" w:eastAsia="Times New Roman" w:hAnsi="Arial" w:cs="Arial"/>
      <w:sz w:val="22"/>
      <w:szCs w:val="22"/>
    </w:rPr>
  </w:style>
  <w:style w:type="paragraph" w:styleId="Caption">
    <w:name w:val="caption"/>
    <w:basedOn w:val="Normal"/>
    <w:next w:val="Normal"/>
    <w:qFormat/>
    <w:rsid w:val="001700F0"/>
    <w:rPr>
      <w:b/>
      <w:bCs/>
      <w:sz w:val="20"/>
      <w:szCs w:val="20"/>
    </w:rPr>
  </w:style>
  <w:style w:type="paragraph" w:styleId="BalloonText">
    <w:name w:val="Balloon Text"/>
    <w:basedOn w:val="Normal"/>
    <w:link w:val="BalloonTextChar"/>
    <w:uiPriority w:val="99"/>
    <w:semiHidden/>
    <w:unhideWhenUsed/>
    <w:rsid w:val="001700F0"/>
    <w:rPr>
      <w:rFonts w:ascii="Tahoma" w:hAnsi="Tahoma" w:cs="Tahoma"/>
      <w:sz w:val="16"/>
      <w:szCs w:val="16"/>
    </w:rPr>
  </w:style>
  <w:style w:type="character" w:customStyle="1" w:styleId="BalloonTextChar">
    <w:name w:val="Balloon Text Char"/>
    <w:link w:val="BalloonText"/>
    <w:uiPriority w:val="99"/>
    <w:semiHidden/>
    <w:rsid w:val="001700F0"/>
    <w:rPr>
      <w:rFonts w:ascii="Tahoma" w:eastAsia="Times New Roman" w:hAnsi="Tahoma" w:cs="Tahoma"/>
      <w:sz w:val="16"/>
      <w:szCs w:val="16"/>
      <w:lang w:val="en-US"/>
    </w:rPr>
  </w:style>
  <w:style w:type="paragraph" w:styleId="BodyTextIndent2">
    <w:name w:val="Body Text Indent 2"/>
    <w:basedOn w:val="Normal"/>
    <w:link w:val="BodyTextIndent2Char"/>
    <w:rsid w:val="004649B1"/>
    <w:pPr>
      <w:spacing w:after="120" w:line="480" w:lineRule="auto"/>
      <w:ind w:left="283"/>
    </w:pPr>
    <w:rPr>
      <w:lang w:eastAsia="tr-TR"/>
    </w:rPr>
  </w:style>
  <w:style w:type="character" w:customStyle="1" w:styleId="BodyTextIndent2Char">
    <w:name w:val="Body Text Indent 2 Char"/>
    <w:link w:val="BodyTextIndent2"/>
    <w:rsid w:val="004649B1"/>
    <w:rPr>
      <w:rFonts w:ascii="Times New Roman" w:eastAsia="Times New Roman" w:hAnsi="Times New Roman"/>
      <w:sz w:val="24"/>
      <w:szCs w:val="24"/>
    </w:rPr>
  </w:style>
  <w:style w:type="paragraph" w:styleId="NormalWeb">
    <w:name w:val="Normal (Web)"/>
    <w:basedOn w:val="Normal"/>
    <w:rsid w:val="006F5268"/>
    <w:pPr>
      <w:spacing w:before="100" w:beforeAutospacing="1" w:after="100" w:afterAutospacing="1"/>
    </w:pPr>
    <w:rPr>
      <w:lang w:eastAsia="tr-TR"/>
    </w:rPr>
  </w:style>
  <w:style w:type="paragraph" w:customStyle="1" w:styleId="ListeParagraf1">
    <w:name w:val="Liste Paragraf1"/>
    <w:basedOn w:val="Normal"/>
    <w:uiPriority w:val="34"/>
    <w:qFormat/>
    <w:rsid w:val="00D623A1"/>
    <w:pPr>
      <w:ind w:left="708"/>
    </w:pPr>
  </w:style>
  <w:style w:type="paragraph" w:styleId="TOC1">
    <w:name w:val="toc 1"/>
    <w:basedOn w:val="Normal"/>
    <w:next w:val="Normal"/>
    <w:autoRedefine/>
    <w:uiPriority w:val="39"/>
    <w:rsid w:val="00A46B0A"/>
    <w:pPr>
      <w:tabs>
        <w:tab w:val="left" w:pos="480"/>
        <w:tab w:val="right" w:leader="dot" w:pos="9016"/>
      </w:tabs>
      <w:spacing w:before="120" w:after="120"/>
    </w:pPr>
    <w:rPr>
      <w:rFonts w:ascii="Century" w:hAnsi="Century"/>
      <w:b/>
      <w:bCs/>
      <w:caps/>
      <w:sz w:val="20"/>
      <w:szCs w:val="20"/>
    </w:rPr>
  </w:style>
  <w:style w:type="character" w:styleId="Hyperlink">
    <w:name w:val="Hyperlink"/>
    <w:rsid w:val="005D21D5"/>
    <w:rPr>
      <w:color w:val="0000FF"/>
      <w:u w:val="single"/>
    </w:rPr>
  </w:style>
  <w:style w:type="paragraph" w:styleId="TOC2">
    <w:name w:val="toc 2"/>
    <w:basedOn w:val="Normal"/>
    <w:next w:val="Normal"/>
    <w:autoRedefine/>
    <w:uiPriority w:val="39"/>
    <w:rsid w:val="00FD088B"/>
    <w:pPr>
      <w:tabs>
        <w:tab w:val="left" w:pos="720"/>
        <w:tab w:val="right" w:leader="dot" w:pos="9016"/>
      </w:tabs>
      <w:ind w:firstLine="240"/>
    </w:pPr>
    <w:rPr>
      <w:rFonts w:ascii="Century" w:hAnsi="Century"/>
      <w:smallCaps/>
      <w:sz w:val="20"/>
      <w:szCs w:val="20"/>
    </w:rPr>
  </w:style>
  <w:style w:type="paragraph" w:styleId="TOC3">
    <w:name w:val="toc 3"/>
    <w:basedOn w:val="Normal"/>
    <w:next w:val="Normal"/>
    <w:autoRedefine/>
    <w:uiPriority w:val="39"/>
    <w:rsid w:val="00820FD7"/>
    <w:pPr>
      <w:tabs>
        <w:tab w:val="left" w:pos="900"/>
        <w:tab w:val="right" w:leader="dot" w:pos="9016"/>
      </w:tabs>
      <w:ind w:left="480"/>
    </w:pPr>
    <w:rPr>
      <w:i/>
      <w:iCs/>
      <w:sz w:val="20"/>
      <w:szCs w:val="20"/>
    </w:rPr>
  </w:style>
  <w:style w:type="paragraph" w:styleId="TOC4">
    <w:name w:val="toc 4"/>
    <w:basedOn w:val="Normal"/>
    <w:next w:val="Normal"/>
    <w:autoRedefine/>
    <w:uiPriority w:val="39"/>
    <w:rsid w:val="00BB63C9"/>
    <w:pPr>
      <w:tabs>
        <w:tab w:val="left" w:pos="1320"/>
        <w:tab w:val="right" w:leader="dot" w:pos="9000"/>
      </w:tabs>
      <w:ind w:left="1080" w:hanging="180"/>
    </w:pPr>
    <w:rPr>
      <w:sz w:val="18"/>
      <w:szCs w:val="18"/>
    </w:rPr>
  </w:style>
  <w:style w:type="paragraph" w:styleId="TableofFigures">
    <w:name w:val="table of figures"/>
    <w:basedOn w:val="Normal"/>
    <w:next w:val="Normal"/>
    <w:uiPriority w:val="99"/>
    <w:rsid w:val="00613F00"/>
    <w:pPr>
      <w:ind w:left="480" w:hanging="480"/>
    </w:pPr>
    <w:rPr>
      <w:smallCaps/>
      <w:sz w:val="20"/>
      <w:szCs w:val="20"/>
    </w:rPr>
  </w:style>
  <w:style w:type="paragraph" w:styleId="Header">
    <w:name w:val="header"/>
    <w:basedOn w:val="Normal"/>
    <w:link w:val="HeaderChar"/>
    <w:uiPriority w:val="99"/>
    <w:unhideWhenUsed/>
    <w:rsid w:val="004D36CF"/>
    <w:pPr>
      <w:tabs>
        <w:tab w:val="center" w:pos="4513"/>
        <w:tab w:val="right" w:pos="9026"/>
      </w:tabs>
    </w:pPr>
  </w:style>
  <w:style w:type="character" w:customStyle="1" w:styleId="HeaderChar">
    <w:name w:val="Header Char"/>
    <w:link w:val="Header"/>
    <w:uiPriority w:val="99"/>
    <w:rsid w:val="004D36C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4D36CF"/>
    <w:pPr>
      <w:tabs>
        <w:tab w:val="center" w:pos="4513"/>
        <w:tab w:val="right" w:pos="9026"/>
      </w:tabs>
    </w:pPr>
  </w:style>
  <w:style w:type="character" w:customStyle="1" w:styleId="FooterChar">
    <w:name w:val="Footer Char"/>
    <w:link w:val="Footer"/>
    <w:uiPriority w:val="99"/>
    <w:rsid w:val="004D36CF"/>
    <w:rPr>
      <w:rFonts w:ascii="Times New Roman" w:eastAsia="Times New Roman" w:hAnsi="Times New Roman"/>
      <w:sz w:val="24"/>
      <w:szCs w:val="24"/>
      <w:lang w:val="en-US" w:eastAsia="en-US"/>
    </w:rPr>
  </w:style>
  <w:style w:type="character" w:styleId="PageNumber">
    <w:name w:val="page number"/>
    <w:basedOn w:val="DefaultParagraphFont"/>
    <w:rsid w:val="00AB757E"/>
  </w:style>
  <w:style w:type="paragraph" w:styleId="BodyTextIndent">
    <w:name w:val="Body Text Indent"/>
    <w:basedOn w:val="Normal"/>
    <w:rsid w:val="00133A23"/>
    <w:pPr>
      <w:spacing w:after="120"/>
      <w:ind w:left="283"/>
    </w:pPr>
  </w:style>
  <w:style w:type="paragraph" w:customStyle="1" w:styleId="Style1">
    <w:name w:val="Style1"/>
    <w:basedOn w:val="Heading1"/>
    <w:rsid w:val="00FF03A3"/>
    <w:rPr>
      <w:rFonts w:ascii="Century" w:hAnsi="Century"/>
      <w:sz w:val="24"/>
      <w:szCs w:val="24"/>
    </w:rPr>
  </w:style>
  <w:style w:type="paragraph" w:customStyle="1" w:styleId="Style2">
    <w:name w:val="Style2"/>
    <w:basedOn w:val="Heading1"/>
    <w:rsid w:val="00FF03A3"/>
    <w:pPr>
      <w:numPr>
        <w:numId w:val="11"/>
      </w:numPr>
    </w:pPr>
    <w:rPr>
      <w:rFonts w:ascii="Century" w:hAnsi="Century"/>
      <w:kern w:val="24"/>
      <w:sz w:val="24"/>
      <w:szCs w:val="24"/>
    </w:rPr>
  </w:style>
  <w:style w:type="paragraph" w:customStyle="1" w:styleId="Style3">
    <w:name w:val="Style3"/>
    <w:basedOn w:val="Heading2"/>
    <w:rsid w:val="0015507C"/>
    <w:pPr>
      <w:keepNext w:val="0"/>
      <w:tabs>
        <w:tab w:val="left" w:leader="dot" w:pos="432"/>
      </w:tabs>
      <w:spacing w:before="0" w:after="0"/>
      <w:ind w:left="1111" w:hanging="431"/>
      <w:jc w:val="both"/>
    </w:pPr>
    <w:rPr>
      <w:rFonts w:ascii="Century" w:hAnsi="Century"/>
      <w:i w:val="0"/>
      <w:sz w:val="24"/>
      <w:szCs w:val="24"/>
    </w:rPr>
  </w:style>
  <w:style w:type="paragraph" w:customStyle="1" w:styleId="Style4">
    <w:name w:val="Style4"/>
    <w:basedOn w:val="Heading2"/>
    <w:rsid w:val="0015507C"/>
    <w:pPr>
      <w:keepNext w:val="0"/>
      <w:tabs>
        <w:tab w:val="num" w:pos="432"/>
      </w:tabs>
      <w:spacing w:before="0" w:after="0"/>
      <w:ind w:left="1111" w:hanging="431"/>
    </w:pPr>
    <w:rPr>
      <w:rFonts w:ascii="Century" w:hAnsi="Century"/>
      <w:i w:val="0"/>
      <w:sz w:val="24"/>
      <w:szCs w:val="24"/>
    </w:rPr>
  </w:style>
  <w:style w:type="character" w:styleId="FollowedHyperlink">
    <w:name w:val="FollowedHyperlink"/>
    <w:uiPriority w:val="99"/>
    <w:semiHidden/>
    <w:unhideWhenUsed/>
    <w:rsid w:val="009159F9"/>
    <w:rPr>
      <w:color w:val="800080"/>
      <w:u w:val="single"/>
    </w:rPr>
  </w:style>
  <w:style w:type="character" w:customStyle="1" w:styleId="grame">
    <w:name w:val="grame"/>
    <w:basedOn w:val="DefaultParagraphFont"/>
    <w:rsid w:val="00E9586F"/>
  </w:style>
  <w:style w:type="character" w:customStyle="1" w:styleId="spelle">
    <w:name w:val="spelle"/>
    <w:basedOn w:val="DefaultParagraphFont"/>
    <w:rsid w:val="00E9586F"/>
  </w:style>
  <w:style w:type="character" w:styleId="CommentReference">
    <w:name w:val="annotation reference"/>
    <w:semiHidden/>
    <w:rsid w:val="00C347A8"/>
    <w:rPr>
      <w:sz w:val="16"/>
      <w:szCs w:val="16"/>
    </w:rPr>
  </w:style>
  <w:style w:type="paragraph" w:styleId="CommentText">
    <w:name w:val="annotation text"/>
    <w:basedOn w:val="Normal"/>
    <w:link w:val="CommentTextChar"/>
    <w:semiHidden/>
    <w:rsid w:val="00C347A8"/>
    <w:rPr>
      <w:sz w:val="20"/>
      <w:szCs w:val="20"/>
    </w:rPr>
  </w:style>
  <w:style w:type="paragraph" w:styleId="CommentSubject">
    <w:name w:val="annotation subject"/>
    <w:basedOn w:val="CommentText"/>
    <w:next w:val="CommentText"/>
    <w:semiHidden/>
    <w:rsid w:val="00C347A8"/>
    <w:rPr>
      <w:b/>
      <w:bCs/>
    </w:rPr>
  </w:style>
  <w:style w:type="character" w:customStyle="1" w:styleId="fheading1">
    <w:name w:val="f_heading1"/>
    <w:basedOn w:val="DefaultParagraphFont"/>
    <w:rsid w:val="00EB00F4"/>
  </w:style>
  <w:style w:type="paragraph" w:styleId="DocumentMap">
    <w:name w:val="Document Map"/>
    <w:basedOn w:val="Normal"/>
    <w:link w:val="DocumentMapChar"/>
    <w:uiPriority w:val="99"/>
    <w:semiHidden/>
    <w:unhideWhenUsed/>
    <w:rsid w:val="00BB1691"/>
    <w:rPr>
      <w:rFonts w:ascii="Tahoma" w:hAnsi="Tahoma" w:cs="Tahoma"/>
      <w:sz w:val="16"/>
      <w:szCs w:val="16"/>
    </w:rPr>
  </w:style>
  <w:style w:type="character" w:customStyle="1" w:styleId="DocumentMapChar">
    <w:name w:val="Document Map Char"/>
    <w:link w:val="DocumentMap"/>
    <w:uiPriority w:val="99"/>
    <w:semiHidden/>
    <w:rsid w:val="00BB1691"/>
    <w:rPr>
      <w:rFonts w:ascii="Tahoma" w:eastAsia="Times New Roman" w:hAnsi="Tahoma" w:cs="Tahoma"/>
      <w:sz w:val="16"/>
      <w:szCs w:val="16"/>
      <w:lang w:eastAsia="en-US"/>
    </w:rPr>
  </w:style>
  <w:style w:type="paragraph" w:customStyle="1" w:styleId="ListParagraph1">
    <w:name w:val="List Paragraph1"/>
    <w:basedOn w:val="Normal"/>
    <w:uiPriority w:val="34"/>
    <w:qFormat/>
    <w:rsid w:val="009705EB"/>
    <w:pPr>
      <w:ind w:left="708"/>
    </w:pPr>
  </w:style>
  <w:style w:type="paragraph" w:styleId="ListParagraph">
    <w:name w:val="List Paragraph"/>
    <w:basedOn w:val="Normal"/>
    <w:uiPriority w:val="34"/>
    <w:qFormat/>
    <w:rsid w:val="004E5C27"/>
    <w:pPr>
      <w:ind w:left="708"/>
    </w:pPr>
  </w:style>
  <w:style w:type="paragraph" w:customStyle="1" w:styleId="ListeParagraf2">
    <w:name w:val="Liste Paragraf2"/>
    <w:basedOn w:val="Normal"/>
    <w:uiPriority w:val="34"/>
    <w:qFormat/>
    <w:rsid w:val="0007073B"/>
    <w:pPr>
      <w:ind w:left="708"/>
    </w:pPr>
  </w:style>
  <w:style w:type="paragraph" w:styleId="EndnoteText">
    <w:name w:val="endnote text"/>
    <w:basedOn w:val="Normal"/>
    <w:link w:val="EndnoteTextChar"/>
    <w:uiPriority w:val="99"/>
    <w:semiHidden/>
    <w:unhideWhenUsed/>
    <w:rsid w:val="00CA03BF"/>
    <w:rPr>
      <w:sz w:val="20"/>
      <w:szCs w:val="20"/>
    </w:rPr>
  </w:style>
  <w:style w:type="character" w:customStyle="1" w:styleId="EndnoteTextChar">
    <w:name w:val="Endnote Text Char"/>
    <w:basedOn w:val="DefaultParagraphFont"/>
    <w:link w:val="EndnoteText"/>
    <w:uiPriority w:val="99"/>
    <w:semiHidden/>
    <w:rsid w:val="00CA03BF"/>
    <w:rPr>
      <w:rFonts w:ascii="Times New Roman" w:eastAsia="Times New Roman" w:hAnsi="Times New Roman"/>
      <w:lang w:val="tr-TR"/>
    </w:rPr>
  </w:style>
  <w:style w:type="character" w:styleId="EndnoteReference">
    <w:name w:val="endnote reference"/>
    <w:basedOn w:val="DefaultParagraphFont"/>
    <w:uiPriority w:val="99"/>
    <w:semiHidden/>
    <w:unhideWhenUsed/>
    <w:rsid w:val="00CA03BF"/>
    <w:rPr>
      <w:vertAlign w:val="superscript"/>
    </w:rPr>
  </w:style>
  <w:style w:type="paragraph" w:customStyle="1" w:styleId="Default">
    <w:name w:val="Default"/>
    <w:rsid w:val="005A22E4"/>
    <w:pPr>
      <w:autoSpaceDE w:val="0"/>
      <w:autoSpaceDN w:val="0"/>
      <w:adjustRightInd w:val="0"/>
    </w:pPr>
    <w:rPr>
      <w:rFonts w:ascii="Times New Roman" w:hAnsi="Times New Roman"/>
      <w:color w:val="000000"/>
      <w:sz w:val="24"/>
      <w:szCs w:val="24"/>
    </w:rPr>
  </w:style>
  <w:style w:type="character" w:customStyle="1" w:styleId="hps">
    <w:name w:val="hps"/>
    <w:basedOn w:val="DefaultParagraphFont"/>
    <w:rsid w:val="00E771D8"/>
  </w:style>
  <w:style w:type="paragraph" w:styleId="z-TopofForm">
    <w:name w:val="HTML Top of Form"/>
    <w:basedOn w:val="Normal"/>
    <w:next w:val="Normal"/>
    <w:link w:val="z-TopofFormChar"/>
    <w:hidden/>
    <w:uiPriority w:val="99"/>
    <w:semiHidden/>
    <w:unhideWhenUsed/>
    <w:rsid w:val="00A01737"/>
    <w:pPr>
      <w:pBdr>
        <w:bottom w:val="single" w:sz="6" w:space="1" w:color="auto"/>
      </w:pBdr>
      <w:jc w:val="center"/>
    </w:pPr>
    <w:rPr>
      <w:rFonts w:ascii="Arial" w:hAnsi="Arial" w:cs="Arial"/>
      <w:vanish/>
      <w:sz w:val="16"/>
      <w:szCs w:val="16"/>
      <w:lang w:eastAsia="tr-TR"/>
    </w:rPr>
  </w:style>
  <w:style w:type="character" w:customStyle="1" w:styleId="z-TopofFormChar">
    <w:name w:val="z-Top of Form Char"/>
    <w:basedOn w:val="DefaultParagraphFont"/>
    <w:link w:val="z-TopofForm"/>
    <w:uiPriority w:val="99"/>
    <w:semiHidden/>
    <w:rsid w:val="00A01737"/>
    <w:rPr>
      <w:rFonts w:ascii="Arial" w:eastAsia="Times New Roman" w:hAnsi="Arial" w:cs="Arial"/>
      <w:vanish/>
      <w:sz w:val="16"/>
      <w:szCs w:val="16"/>
      <w:lang w:val="tr-TR" w:eastAsia="tr-TR"/>
    </w:rPr>
  </w:style>
  <w:style w:type="character" w:customStyle="1" w:styleId="st-stp1-text1">
    <w:name w:val="st-stp1-text1"/>
    <w:basedOn w:val="DefaultParagraphFont"/>
    <w:rsid w:val="00A01737"/>
    <w:rPr>
      <w:color w:val="333333"/>
    </w:rPr>
  </w:style>
  <w:style w:type="character" w:customStyle="1" w:styleId="gt-baf-back1">
    <w:name w:val="gt-baf-back1"/>
    <w:basedOn w:val="DefaultParagraphFont"/>
    <w:rsid w:val="00A01737"/>
  </w:style>
  <w:style w:type="character" w:customStyle="1" w:styleId="jfk-butterbar1">
    <w:name w:val="jfk-butterbar1"/>
    <w:basedOn w:val="DefaultParagraphFont"/>
    <w:rsid w:val="00A01737"/>
    <w:rPr>
      <w:sz w:val="17"/>
      <w:szCs w:val="17"/>
      <w:bdr w:val="single" w:sz="2" w:space="0" w:color="auto" w:frame="1"/>
    </w:rPr>
  </w:style>
  <w:style w:type="character" w:customStyle="1" w:styleId="gt-ft-text1">
    <w:name w:val="gt-ft-text1"/>
    <w:basedOn w:val="DefaultParagraphFont"/>
    <w:rsid w:val="00A01737"/>
  </w:style>
  <w:style w:type="paragraph" w:styleId="z-BottomofForm">
    <w:name w:val="HTML Bottom of Form"/>
    <w:basedOn w:val="Normal"/>
    <w:next w:val="Normal"/>
    <w:link w:val="z-BottomofFormChar"/>
    <w:hidden/>
    <w:uiPriority w:val="99"/>
    <w:semiHidden/>
    <w:unhideWhenUsed/>
    <w:rsid w:val="00A01737"/>
    <w:pPr>
      <w:pBdr>
        <w:top w:val="single" w:sz="6" w:space="1" w:color="auto"/>
      </w:pBdr>
      <w:jc w:val="center"/>
    </w:pPr>
    <w:rPr>
      <w:rFonts w:ascii="Arial"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A01737"/>
    <w:rPr>
      <w:rFonts w:ascii="Arial" w:eastAsia="Times New Roman" w:hAnsi="Arial" w:cs="Arial"/>
      <w:vanish/>
      <w:sz w:val="16"/>
      <w:szCs w:val="16"/>
      <w:lang w:val="tr-TR" w:eastAsia="tr-TR"/>
    </w:rPr>
  </w:style>
  <w:style w:type="character" w:customStyle="1" w:styleId="shorttext">
    <w:name w:val="short_text"/>
    <w:basedOn w:val="DefaultParagraphFont"/>
    <w:rsid w:val="009927D5"/>
  </w:style>
  <w:style w:type="character" w:customStyle="1" w:styleId="longtext">
    <w:name w:val="long_text"/>
    <w:basedOn w:val="DefaultParagraphFont"/>
    <w:rsid w:val="00B97474"/>
  </w:style>
  <w:style w:type="paragraph" w:styleId="Revision">
    <w:name w:val="Revision"/>
    <w:hidden/>
    <w:uiPriority w:val="99"/>
    <w:semiHidden/>
    <w:rsid w:val="008C5F81"/>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1E34DA"/>
    <w:rPr>
      <w:sz w:val="20"/>
      <w:szCs w:val="20"/>
    </w:rPr>
  </w:style>
  <w:style w:type="character" w:customStyle="1" w:styleId="FootnoteTextChar">
    <w:name w:val="Footnote Text Char"/>
    <w:basedOn w:val="DefaultParagraphFont"/>
    <w:link w:val="FootnoteText"/>
    <w:uiPriority w:val="99"/>
    <w:semiHidden/>
    <w:rsid w:val="001E34DA"/>
    <w:rPr>
      <w:rFonts w:ascii="Times New Roman" w:eastAsia="Times New Roman" w:hAnsi="Times New Roman"/>
    </w:rPr>
  </w:style>
  <w:style w:type="character" w:styleId="FootnoteReference">
    <w:name w:val="footnote reference"/>
    <w:basedOn w:val="DefaultParagraphFont"/>
    <w:uiPriority w:val="99"/>
    <w:unhideWhenUsed/>
    <w:rsid w:val="001E34DA"/>
    <w:rPr>
      <w:vertAlign w:val="superscript"/>
    </w:rPr>
  </w:style>
  <w:style w:type="character" w:styleId="Strong">
    <w:name w:val="Strong"/>
    <w:basedOn w:val="DefaultParagraphFont"/>
    <w:uiPriority w:val="22"/>
    <w:qFormat/>
    <w:rsid w:val="00063BD0"/>
    <w:rPr>
      <w:b/>
      <w:bCs/>
    </w:rPr>
  </w:style>
  <w:style w:type="character" w:customStyle="1" w:styleId="apple-converted-space">
    <w:name w:val="apple-converted-space"/>
    <w:basedOn w:val="DefaultParagraphFont"/>
    <w:rsid w:val="00063BD0"/>
  </w:style>
  <w:style w:type="character" w:customStyle="1" w:styleId="ft">
    <w:name w:val="ft"/>
    <w:basedOn w:val="DefaultParagraphFont"/>
    <w:rsid w:val="00357380"/>
  </w:style>
  <w:style w:type="character" w:styleId="Emphasis">
    <w:name w:val="Emphasis"/>
    <w:basedOn w:val="DefaultParagraphFont"/>
    <w:uiPriority w:val="20"/>
    <w:qFormat/>
    <w:rsid w:val="00357380"/>
    <w:rPr>
      <w:i/>
      <w:iCs/>
    </w:rPr>
  </w:style>
  <w:style w:type="character" w:customStyle="1" w:styleId="CommentTextChar">
    <w:name w:val="Comment Text Char"/>
    <w:basedOn w:val="DefaultParagraphFont"/>
    <w:link w:val="CommentText"/>
    <w:semiHidden/>
    <w:rsid w:val="00B334CB"/>
    <w:rPr>
      <w:rFonts w:ascii="Times New Roman" w:eastAsia="Times New Roman" w:hAnsi="Times New Roman"/>
    </w:rPr>
  </w:style>
  <w:style w:type="paragraph" w:styleId="HTMLPreformatted">
    <w:name w:val="HTML Preformatted"/>
    <w:basedOn w:val="Normal"/>
    <w:link w:val="HTMLPreformattedChar"/>
    <w:uiPriority w:val="99"/>
    <w:unhideWhenUsed/>
    <w:rsid w:val="00424339"/>
    <w:rPr>
      <w:rFonts w:ascii="Consolas" w:hAnsi="Consolas"/>
      <w:sz w:val="20"/>
      <w:szCs w:val="20"/>
    </w:rPr>
  </w:style>
  <w:style w:type="character" w:customStyle="1" w:styleId="HTMLPreformattedChar">
    <w:name w:val="HTML Preformatted Char"/>
    <w:basedOn w:val="DefaultParagraphFont"/>
    <w:link w:val="HTMLPreformatted"/>
    <w:uiPriority w:val="99"/>
    <w:rsid w:val="00424339"/>
    <w:rPr>
      <w:rFonts w:ascii="Consolas" w:eastAsia="Times New Roman"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60">
      <w:bodyDiv w:val="1"/>
      <w:marLeft w:val="0"/>
      <w:marRight w:val="0"/>
      <w:marTop w:val="0"/>
      <w:marBottom w:val="0"/>
      <w:divBdr>
        <w:top w:val="none" w:sz="0" w:space="0" w:color="auto"/>
        <w:left w:val="none" w:sz="0" w:space="0" w:color="auto"/>
        <w:bottom w:val="none" w:sz="0" w:space="0" w:color="auto"/>
        <w:right w:val="none" w:sz="0" w:space="0" w:color="auto"/>
      </w:divBdr>
    </w:div>
    <w:div w:id="5904622">
      <w:bodyDiv w:val="1"/>
      <w:marLeft w:val="0"/>
      <w:marRight w:val="0"/>
      <w:marTop w:val="0"/>
      <w:marBottom w:val="0"/>
      <w:divBdr>
        <w:top w:val="none" w:sz="0" w:space="0" w:color="auto"/>
        <w:left w:val="none" w:sz="0" w:space="0" w:color="auto"/>
        <w:bottom w:val="none" w:sz="0" w:space="0" w:color="auto"/>
        <w:right w:val="none" w:sz="0" w:space="0" w:color="auto"/>
      </w:divBdr>
      <w:divsChild>
        <w:div w:id="1016882393">
          <w:marLeft w:val="0"/>
          <w:marRight w:val="0"/>
          <w:marTop w:val="0"/>
          <w:marBottom w:val="0"/>
          <w:divBdr>
            <w:top w:val="none" w:sz="0" w:space="0" w:color="auto"/>
            <w:left w:val="none" w:sz="0" w:space="0" w:color="auto"/>
            <w:bottom w:val="none" w:sz="0" w:space="0" w:color="auto"/>
            <w:right w:val="none" w:sz="0" w:space="0" w:color="auto"/>
          </w:divBdr>
          <w:divsChild>
            <w:div w:id="604270294">
              <w:marLeft w:val="0"/>
              <w:marRight w:val="0"/>
              <w:marTop w:val="0"/>
              <w:marBottom w:val="0"/>
              <w:divBdr>
                <w:top w:val="none" w:sz="0" w:space="0" w:color="auto"/>
                <w:left w:val="none" w:sz="0" w:space="0" w:color="auto"/>
                <w:bottom w:val="none" w:sz="0" w:space="0" w:color="auto"/>
                <w:right w:val="none" w:sz="0" w:space="0" w:color="auto"/>
              </w:divBdr>
              <w:divsChild>
                <w:div w:id="330958462">
                  <w:marLeft w:val="0"/>
                  <w:marRight w:val="0"/>
                  <w:marTop w:val="0"/>
                  <w:marBottom w:val="0"/>
                  <w:divBdr>
                    <w:top w:val="none" w:sz="0" w:space="0" w:color="auto"/>
                    <w:left w:val="none" w:sz="0" w:space="0" w:color="auto"/>
                    <w:bottom w:val="none" w:sz="0" w:space="0" w:color="auto"/>
                    <w:right w:val="none" w:sz="0" w:space="0" w:color="auto"/>
                  </w:divBdr>
                  <w:divsChild>
                    <w:div w:id="1076515062">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sChild>
                            <w:div w:id="149446557">
                              <w:marLeft w:val="0"/>
                              <w:marRight w:val="0"/>
                              <w:marTop w:val="0"/>
                              <w:marBottom w:val="0"/>
                              <w:divBdr>
                                <w:top w:val="none" w:sz="0" w:space="0" w:color="auto"/>
                                <w:left w:val="none" w:sz="0" w:space="0" w:color="auto"/>
                                <w:bottom w:val="none" w:sz="0" w:space="0" w:color="auto"/>
                                <w:right w:val="none" w:sz="0" w:space="0" w:color="auto"/>
                              </w:divBdr>
                              <w:divsChild>
                                <w:div w:id="1661497659">
                                  <w:marLeft w:val="0"/>
                                  <w:marRight w:val="0"/>
                                  <w:marTop w:val="0"/>
                                  <w:marBottom w:val="0"/>
                                  <w:divBdr>
                                    <w:top w:val="none" w:sz="0" w:space="0" w:color="auto"/>
                                    <w:left w:val="none" w:sz="0" w:space="0" w:color="auto"/>
                                    <w:bottom w:val="none" w:sz="0" w:space="0" w:color="auto"/>
                                    <w:right w:val="none" w:sz="0" w:space="0" w:color="auto"/>
                                  </w:divBdr>
                                  <w:divsChild>
                                    <w:div w:id="1201556905">
                                      <w:marLeft w:val="0"/>
                                      <w:marRight w:val="0"/>
                                      <w:marTop w:val="0"/>
                                      <w:marBottom w:val="0"/>
                                      <w:divBdr>
                                        <w:top w:val="none" w:sz="0" w:space="0" w:color="auto"/>
                                        <w:left w:val="none" w:sz="0" w:space="0" w:color="auto"/>
                                        <w:bottom w:val="none" w:sz="0" w:space="0" w:color="auto"/>
                                        <w:right w:val="none" w:sz="0" w:space="0" w:color="auto"/>
                                      </w:divBdr>
                                      <w:divsChild>
                                        <w:div w:id="1891841346">
                                          <w:marLeft w:val="0"/>
                                          <w:marRight w:val="0"/>
                                          <w:marTop w:val="0"/>
                                          <w:marBottom w:val="0"/>
                                          <w:divBdr>
                                            <w:top w:val="none" w:sz="0" w:space="0" w:color="auto"/>
                                            <w:left w:val="none" w:sz="0" w:space="0" w:color="auto"/>
                                            <w:bottom w:val="none" w:sz="0" w:space="0" w:color="auto"/>
                                            <w:right w:val="none" w:sz="0" w:space="0" w:color="auto"/>
                                          </w:divBdr>
                                          <w:divsChild>
                                            <w:div w:id="1241253027">
                                              <w:marLeft w:val="0"/>
                                              <w:marRight w:val="0"/>
                                              <w:marTop w:val="0"/>
                                              <w:marBottom w:val="0"/>
                                              <w:divBdr>
                                                <w:top w:val="single" w:sz="6" w:space="0" w:color="F5F5F5"/>
                                                <w:left w:val="single" w:sz="6" w:space="0" w:color="F5F5F5"/>
                                                <w:bottom w:val="single" w:sz="6" w:space="0" w:color="F5F5F5"/>
                                                <w:right w:val="single" w:sz="6" w:space="0" w:color="F5F5F5"/>
                                              </w:divBdr>
                                              <w:divsChild>
                                                <w:div w:id="1836720989">
                                                  <w:marLeft w:val="0"/>
                                                  <w:marRight w:val="0"/>
                                                  <w:marTop w:val="0"/>
                                                  <w:marBottom w:val="0"/>
                                                  <w:divBdr>
                                                    <w:top w:val="none" w:sz="0" w:space="0" w:color="auto"/>
                                                    <w:left w:val="none" w:sz="0" w:space="0" w:color="auto"/>
                                                    <w:bottom w:val="none" w:sz="0" w:space="0" w:color="auto"/>
                                                    <w:right w:val="none" w:sz="0" w:space="0" w:color="auto"/>
                                                  </w:divBdr>
                                                  <w:divsChild>
                                                    <w:div w:id="15386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7338">
      <w:bodyDiv w:val="1"/>
      <w:marLeft w:val="0"/>
      <w:marRight w:val="0"/>
      <w:marTop w:val="0"/>
      <w:marBottom w:val="0"/>
      <w:divBdr>
        <w:top w:val="none" w:sz="0" w:space="0" w:color="auto"/>
        <w:left w:val="none" w:sz="0" w:space="0" w:color="auto"/>
        <w:bottom w:val="none" w:sz="0" w:space="0" w:color="auto"/>
        <w:right w:val="none" w:sz="0" w:space="0" w:color="auto"/>
      </w:divBdr>
    </w:div>
    <w:div w:id="21252329">
      <w:bodyDiv w:val="1"/>
      <w:marLeft w:val="0"/>
      <w:marRight w:val="0"/>
      <w:marTop w:val="0"/>
      <w:marBottom w:val="0"/>
      <w:divBdr>
        <w:top w:val="none" w:sz="0" w:space="0" w:color="auto"/>
        <w:left w:val="none" w:sz="0" w:space="0" w:color="auto"/>
        <w:bottom w:val="none" w:sz="0" w:space="0" w:color="auto"/>
        <w:right w:val="none" w:sz="0" w:space="0" w:color="auto"/>
      </w:divBdr>
    </w:div>
    <w:div w:id="23136557">
      <w:bodyDiv w:val="1"/>
      <w:marLeft w:val="0"/>
      <w:marRight w:val="0"/>
      <w:marTop w:val="0"/>
      <w:marBottom w:val="0"/>
      <w:divBdr>
        <w:top w:val="none" w:sz="0" w:space="0" w:color="auto"/>
        <w:left w:val="none" w:sz="0" w:space="0" w:color="auto"/>
        <w:bottom w:val="none" w:sz="0" w:space="0" w:color="auto"/>
        <w:right w:val="none" w:sz="0" w:space="0" w:color="auto"/>
      </w:divBdr>
    </w:div>
    <w:div w:id="33652102">
      <w:bodyDiv w:val="1"/>
      <w:marLeft w:val="0"/>
      <w:marRight w:val="0"/>
      <w:marTop w:val="0"/>
      <w:marBottom w:val="0"/>
      <w:divBdr>
        <w:top w:val="none" w:sz="0" w:space="0" w:color="auto"/>
        <w:left w:val="none" w:sz="0" w:space="0" w:color="auto"/>
        <w:bottom w:val="none" w:sz="0" w:space="0" w:color="auto"/>
        <w:right w:val="none" w:sz="0" w:space="0" w:color="auto"/>
      </w:divBdr>
    </w:div>
    <w:div w:id="36979578">
      <w:bodyDiv w:val="1"/>
      <w:marLeft w:val="0"/>
      <w:marRight w:val="0"/>
      <w:marTop w:val="0"/>
      <w:marBottom w:val="0"/>
      <w:divBdr>
        <w:top w:val="none" w:sz="0" w:space="0" w:color="auto"/>
        <w:left w:val="none" w:sz="0" w:space="0" w:color="auto"/>
        <w:bottom w:val="none" w:sz="0" w:space="0" w:color="auto"/>
        <w:right w:val="none" w:sz="0" w:space="0" w:color="auto"/>
      </w:divBdr>
    </w:div>
    <w:div w:id="38750643">
      <w:bodyDiv w:val="1"/>
      <w:marLeft w:val="0"/>
      <w:marRight w:val="0"/>
      <w:marTop w:val="0"/>
      <w:marBottom w:val="0"/>
      <w:divBdr>
        <w:top w:val="none" w:sz="0" w:space="0" w:color="auto"/>
        <w:left w:val="none" w:sz="0" w:space="0" w:color="auto"/>
        <w:bottom w:val="none" w:sz="0" w:space="0" w:color="auto"/>
        <w:right w:val="none" w:sz="0" w:space="0" w:color="auto"/>
      </w:divBdr>
    </w:div>
    <w:div w:id="39862306">
      <w:bodyDiv w:val="1"/>
      <w:marLeft w:val="0"/>
      <w:marRight w:val="0"/>
      <w:marTop w:val="0"/>
      <w:marBottom w:val="0"/>
      <w:divBdr>
        <w:top w:val="none" w:sz="0" w:space="0" w:color="auto"/>
        <w:left w:val="none" w:sz="0" w:space="0" w:color="auto"/>
        <w:bottom w:val="none" w:sz="0" w:space="0" w:color="auto"/>
        <w:right w:val="none" w:sz="0" w:space="0" w:color="auto"/>
      </w:divBdr>
    </w:div>
    <w:div w:id="41057052">
      <w:bodyDiv w:val="1"/>
      <w:marLeft w:val="0"/>
      <w:marRight w:val="0"/>
      <w:marTop w:val="0"/>
      <w:marBottom w:val="0"/>
      <w:divBdr>
        <w:top w:val="none" w:sz="0" w:space="0" w:color="auto"/>
        <w:left w:val="none" w:sz="0" w:space="0" w:color="auto"/>
        <w:bottom w:val="none" w:sz="0" w:space="0" w:color="auto"/>
        <w:right w:val="none" w:sz="0" w:space="0" w:color="auto"/>
      </w:divBdr>
    </w:div>
    <w:div w:id="42028289">
      <w:bodyDiv w:val="1"/>
      <w:marLeft w:val="0"/>
      <w:marRight w:val="0"/>
      <w:marTop w:val="0"/>
      <w:marBottom w:val="0"/>
      <w:divBdr>
        <w:top w:val="none" w:sz="0" w:space="0" w:color="auto"/>
        <w:left w:val="none" w:sz="0" w:space="0" w:color="auto"/>
        <w:bottom w:val="none" w:sz="0" w:space="0" w:color="auto"/>
        <w:right w:val="none" w:sz="0" w:space="0" w:color="auto"/>
      </w:divBdr>
    </w:div>
    <w:div w:id="44305777">
      <w:bodyDiv w:val="1"/>
      <w:marLeft w:val="0"/>
      <w:marRight w:val="0"/>
      <w:marTop w:val="0"/>
      <w:marBottom w:val="0"/>
      <w:divBdr>
        <w:top w:val="none" w:sz="0" w:space="0" w:color="auto"/>
        <w:left w:val="none" w:sz="0" w:space="0" w:color="auto"/>
        <w:bottom w:val="none" w:sz="0" w:space="0" w:color="auto"/>
        <w:right w:val="none" w:sz="0" w:space="0" w:color="auto"/>
      </w:divBdr>
    </w:div>
    <w:div w:id="55248161">
      <w:bodyDiv w:val="1"/>
      <w:marLeft w:val="0"/>
      <w:marRight w:val="0"/>
      <w:marTop w:val="0"/>
      <w:marBottom w:val="0"/>
      <w:divBdr>
        <w:top w:val="none" w:sz="0" w:space="0" w:color="auto"/>
        <w:left w:val="none" w:sz="0" w:space="0" w:color="auto"/>
        <w:bottom w:val="none" w:sz="0" w:space="0" w:color="auto"/>
        <w:right w:val="none" w:sz="0" w:space="0" w:color="auto"/>
      </w:divBdr>
    </w:div>
    <w:div w:id="56056029">
      <w:bodyDiv w:val="1"/>
      <w:marLeft w:val="0"/>
      <w:marRight w:val="0"/>
      <w:marTop w:val="0"/>
      <w:marBottom w:val="0"/>
      <w:divBdr>
        <w:top w:val="none" w:sz="0" w:space="0" w:color="auto"/>
        <w:left w:val="none" w:sz="0" w:space="0" w:color="auto"/>
        <w:bottom w:val="none" w:sz="0" w:space="0" w:color="auto"/>
        <w:right w:val="none" w:sz="0" w:space="0" w:color="auto"/>
      </w:divBdr>
    </w:div>
    <w:div w:id="69036998">
      <w:bodyDiv w:val="1"/>
      <w:marLeft w:val="0"/>
      <w:marRight w:val="0"/>
      <w:marTop w:val="0"/>
      <w:marBottom w:val="0"/>
      <w:divBdr>
        <w:top w:val="none" w:sz="0" w:space="0" w:color="auto"/>
        <w:left w:val="none" w:sz="0" w:space="0" w:color="auto"/>
        <w:bottom w:val="none" w:sz="0" w:space="0" w:color="auto"/>
        <w:right w:val="none" w:sz="0" w:space="0" w:color="auto"/>
      </w:divBdr>
    </w:div>
    <w:div w:id="78062007">
      <w:bodyDiv w:val="1"/>
      <w:marLeft w:val="0"/>
      <w:marRight w:val="0"/>
      <w:marTop w:val="0"/>
      <w:marBottom w:val="0"/>
      <w:divBdr>
        <w:top w:val="none" w:sz="0" w:space="0" w:color="auto"/>
        <w:left w:val="none" w:sz="0" w:space="0" w:color="auto"/>
        <w:bottom w:val="none" w:sz="0" w:space="0" w:color="auto"/>
        <w:right w:val="none" w:sz="0" w:space="0" w:color="auto"/>
      </w:divBdr>
    </w:div>
    <w:div w:id="79958384">
      <w:bodyDiv w:val="1"/>
      <w:marLeft w:val="0"/>
      <w:marRight w:val="0"/>
      <w:marTop w:val="0"/>
      <w:marBottom w:val="0"/>
      <w:divBdr>
        <w:top w:val="none" w:sz="0" w:space="0" w:color="auto"/>
        <w:left w:val="none" w:sz="0" w:space="0" w:color="auto"/>
        <w:bottom w:val="none" w:sz="0" w:space="0" w:color="auto"/>
        <w:right w:val="none" w:sz="0" w:space="0" w:color="auto"/>
      </w:divBdr>
    </w:div>
    <w:div w:id="80302959">
      <w:bodyDiv w:val="1"/>
      <w:marLeft w:val="0"/>
      <w:marRight w:val="0"/>
      <w:marTop w:val="0"/>
      <w:marBottom w:val="0"/>
      <w:divBdr>
        <w:top w:val="none" w:sz="0" w:space="0" w:color="auto"/>
        <w:left w:val="none" w:sz="0" w:space="0" w:color="auto"/>
        <w:bottom w:val="none" w:sz="0" w:space="0" w:color="auto"/>
        <w:right w:val="none" w:sz="0" w:space="0" w:color="auto"/>
      </w:divBdr>
    </w:div>
    <w:div w:id="81418730">
      <w:bodyDiv w:val="1"/>
      <w:marLeft w:val="0"/>
      <w:marRight w:val="0"/>
      <w:marTop w:val="0"/>
      <w:marBottom w:val="0"/>
      <w:divBdr>
        <w:top w:val="none" w:sz="0" w:space="0" w:color="auto"/>
        <w:left w:val="none" w:sz="0" w:space="0" w:color="auto"/>
        <w:bottom w:val="none" w:sz="0" w:space="0" w:color="auto"/>
        <w:right w:val="none" w:sz="0" w:space="0" w:color="auto"/>
      </w:divBdr>
      <w:divsChild>
        <w:div w:id="612711592">
          <w:marLeft w:val="0"/>
          <w:marRight w:val="0"/>
          <w:marTop w:val="0"/>
          <w:marBottom w:val="0"/>
          <w:divBdr>
            <w:top w:val="none" w:sz="0" w:space="0" w:color="auto"/>
            <w:left w:val="none" w:sz="0" w:space="0" w:color="auto"/>
            <w:bottom w:val="none" w:sz="0" w:space="0" w:color="auto"/>
            <w:right w:val="none" w:sz="0" w:space="0" w:color="auto"/>
          </w:divBdr>
          <w:divsChild>
            <w:div w:id="810752983">
              <w:marLeft w:val="0"/>
              <w:marRight w:val="0"/>
              <w:marTop w:val="0"/>
              <w:marBottom w:val="0"/>
              <w:divBdr>
                <w:top w:val="none" w:sz="0" w:space="0" w:color="auto"/>
                <w:left w:val="none" w:sz="0" w:space="0" w:color="auto"/>
                <w:bottom w:val="none" w:sz="0" w:space="0" w:color="auto"/>
                <w:right w:val="none" w:sz="0" w:space="0" w:color="auto"/>
              </w:divBdr>
              <w:divsChild>
                <w:div w:id="708340384">
                  <w:marLeft w:val="0"/>
                  <w:marRight w:val="0"/>
                  <w:marTop w:val="0"/>
                  <w:marBottom w:val="0"/>
                  <w:divBdr>
                    <w:top w:val="none" w:sz="0" w:space="0" w:color="auto"/>
                    <w:left w:val="none" w:sz="0" w:space="0" w:color="auto"/>
                    <w:bottom w:val="none" w:sz="0" w:space="0" w:color="auto"/>
                    <w:right w:val="none" w:sz="0" w:space="0" w:color="auto"/>
                  </w:divBdr>
                  <w:divsChild>
                    <w:div w:id="80227689">
                      <w:marLeft w:val="0"/>
                      <w:marRight w:val="0"/>
                      <w:marTop w:val="0"/>
                      <w:marBottom w:val="0"/>
                      <w:divBdr>
                        <w:top w:val="none" w:sz="0" w:space="0" w:color="auto"/>
                        <w:left w:val="none" w:sz="0" w:space="0" w:color="auto"/>
                        <w:bottom w:val="none" w:sz="0" w:space="0" w:color="auto"/>
                        <w:right w:val="none" w:sz="0" w:space="0" w:color="auto"/>
                      </w:divBdr>
                      <w:divsChild>
                        <w:div w:id="1552885342">
                          <w:marLeft w:val="0"/>
                          <w:marRight w:val="0"/>
                          <w:marTop w:val="0"/>
                          <w:marBottom w:val="0"/>
                          <w:divBdr>
                            <w:top w:val="none" w:sz="0" w:space="0" w:color="auto"/>
                            <w:left w:val="none" w:sz="0" w:space="0" w:color="auto"/>
                            <w:bottom w:val="none" w:sz="0" w:space="0" w:color="auto"/>
                            <w:right w:val="none" w:sz="0" w:space="0" w:color="auto"/>
                          </w:divBdr>
                          <w:divsChild>
                            <w:div w:id="1070347403">
                              <w:marLeft w:val="0"/>
                              <w:marRight w:val="0"/>
                              <w:marTop w:val="0"/>
                              <w:marBottom w:val="0"/>
                              <w:divBdr>
                                <w:top w:val="none" w:sz="0" w:space="0" w:color="auto"/>
                                <w:left w:val="none" w:sz="0" w:space="0" w:color="auto"/>
                                <w:bottom w:val="none" w:sz="0" w:space="0" w:color="auto"/>
                                <w:right w:val="none" w:sz="0" w:space="0" w:color="auto"/>
                              </w:divBdr>
                              <w:divsChild>
                                <w:div w:id="1624578105">
                                  <w:marLeft w:val="0"/>
                                  <w:marRight w:val="0"/>
                                  <w:marTop w:val="0"/>
                                  <w:marBottom w:val="0"/>
                                  <w:divBdr>
                                    <w:top w:val="none" w:sz="0" w:space="0" w:color="auto"/>
                                    <w:left w:val="none" w:sz="0" w:space="0" w:color="auto"/>
                                    <w:bottom w:val="none" w:sz="0" w:space="0" w:color="auto"/>
                                    <w:right w:val="none" w:sz="0" w:space="0" w:color="auto"/>
                                  </w:divBdr>
                                  <w:divsChild>
                                    <w:div w:id="1400708030">
                                      <w:marLeft w:val="0"/>
                                      <w:marRight w:val="0"/>
                                      <w:marTop w:val="0"/>
                                      <w:marBottom w:val="0"/>
                                      <w:divBdr>
                                        <w:top w:val="none" w:sz="0" w:space="0" w:color="auto"/>
                                        <w:left w:val="none" w:sz="0" w:space="0" w:color="auto"/>
                                        <w:bottom w:val="none" w:sz="0" w:space="0" w:color="auto"/>
                                        <w:right w:val="none" w:sz="0" w:space="0" w:color="auto"/>
                                      </w:divBdr>
                                      <w:divsChild>
                                        <w:div w:id="818033429">
                                          <w:marLeft w:val="0"/>
                                          <w:marRight w:val="0"/>
                                          <w:marTop w:val="0"/>
                                          <w:marBottom w:val="0"/>
                                          <w:divBdr>
                                            <w:top w:val="none" w:sz="0" w:space="0" w:color="auto"/>
                                            <w:left w:val="none" w:sz="0" w:space="0" w:color="auto"/>
                                            <w:bottom w:val="none" w:sz="0" w:space="0" w:color="auto"/>
                                            <w:right w:val="none" w:sz="0" w:space="0" w:color="auto"/>
                                          </w:divBdr>
                                          <w:divsChild>
                                            <w:div w:id="1728381803">
                                              <w:marLeft w:val="0"/>
                                              <w:marRight w:val="0"/>
                                              <w:marTop w:val="0"/>
                                              <w:marBottom w:val="0"/>
                                              <w:divBdr>
                                                <w:top w:val="single" w:sz="6" w:space="0" w:color="F5F5F5"/>
                                                <w:left w:val="single" w:sz="6" w:space="0" w:color="F5F5F5"/>
                                                <w:bottom w:val="single" w:sz="6" w:space="0" w:color="F5F5F5"/>
                                                <w:right w:val="single" w:sz="6" w:space="0" w:color="F5F5F5"/>
                                              </w:divBdr>
                                              <w:divsChild>
                                                <w:div w:id="1056124827">
                                                  <w:marLeft w:val="0"/>
                                                  <w:marRight w:val="0"/>
                                                  <w:marTop w:val="0"/>
                                                  <w:marBottom w:val="0"/>
                                                  <w:divBdr>
                                                    <w:top w:val="none" w:sz="0" w:space="0" w:color="auto"/>
                                                    <w:left w:val="none" w:sz="0" w:space="0" w:color="auto"/>
                                                    <w:bottom w:val="none" w:sz="0" w:space="0" w:color="auto"/>
                                                    <w:right w:val="none" w:sz="0" w:space="0" w:color="auto"/>
                                                  </w:divBdr>
                                                  <w:divsChild>
                                                    <w:div w:id="9155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84161">
      <w:bodyDiv w:val="1"/>
      <w:marLeft w:val="0"/>
      <w:marRight w:val="0"/>
      <w:marTop w:val="0"/>
      <w:marBottom w:val="0"/>
      <w:divBdr>
        <w:top w:val="none" w:sz="0" w:space="0" w:color="auto"/>
        <w:left w:val="none" w:sz="0" w:space="0" w:color="auto"/>
        <w:bottom w:val="none" w:sz="0" w:space="0" w:color="auto"/>
        <w:right w:val="none" w:sz="0" w:space="0" w:color="auto"/>
      </w:divBdr>
    </w:div>
    <w:div w:id="87119250">
      <w:bodyDiv w:val="1"/>
      <w:marLeft w:val="0"/>
      <w:marRight w:val="0"/>
      <w:marTop w:val="0"/>
      <w:marBottom w:val="0"/>
      <w:divBdr>
        <w:top w:val="none" w:sz="0" w:space="0" w:color="auto"/>
        <w:left w:val="none" w:sz="0" w:space="0" w:color="auto"/>
        <w:bottom w:val="none" w:sz="0" w:space="0" w:color="auto"/>
        <w:right w:val="none" w:sz="0" w:space="0" w:color="auto"/>
      </w:divBdr>
    </w:div>
    <w:div w:id="89593890">
      <w:bodyDiv w:val="1"/>
      <w:marLeft w:val="0"/>
      <w:marRight w:val="0"/>
      <w:marTop w:val="0"/>
      <w:marBottom w:val="0"/>
      <w:divBdr>
        <w:top w:val="none" w:sz="0" w:space="0" w:color="auto"/>
        <w:left w:val="none" w:sz="0" w:space="0" w:color="auto"/>
        <w:bottom w:val="none" w:sz="0" w:space="0" w:color="auto"/>
        <w:right w:val="none" w:sz="0" w:space="0" w:color="auto"/>
      </w:divBdr>
    </w:div>
    <w:div w:id="97605023">
      <w:bodyDiv w:val="1"/>
      <w:marLeft w:val="0"/>
      <w:marRight w:val="0"/>
      <w:marTop w:val="0"/>
      <w:marBottom w:val="0"/>
      <w:divBdr>
        <w:top w:val="none" w:sz="0" w:space="0" w:color="auto"/>
        <w:left w:val="none" w:sz="0" w:space="0" w:color="auto"/>
        <w:bottom w:val="none" w:sz="0" w:space="0" w:color="auto"/>
        <w:right w:val="none" w:sz="0" w:space="0" w:color="auto"/>
      </w:divBdr>
    </w:div>
    <w:div w:id="101078069">
      <w:bodyDiv w:val="1"/>
      <w:marLeft w:val="0"/>
      <w:marRight w:val="0"/>
      <w:marTop w:val="0"/>
      <w:marBottom w:val="0"/>
      <w:divBdr>
        <w:top w:val="none" w:sz="0" w:space="0" w:color="auto"/>
        <w:left w:val="none" w:sz="0" w:space="0" w:color="auto"/>
        <w:bottom w:val="none" w:sz="0" w:space="0" w:color="auto"/>
        <w:right w:val="none" w:sz="0" w:space="0" w:color="auto"/>
      </w:divBdr>
    </w:div>
    <w:div w:id="101460156">
      <w:bodyDiv w:val="1"/>
      <w:marLeft w:val="0"/>
      <w:marRight w:val="0"/>
      <w:marTop w:val="0"/>
      <w:marBottom w:val="0"/>
      <w:divBdr>
        <w:top w:val="none" w:sz="0" w:space="0" w:color="auto"/>
        <w:left w:val="none" w:sz="0" w:space="0" w:color="auto"/>
        <w:bottom w:val="none" w:sz="0" w:space="0" w:color="auto"/>
        <w:right w:val="none" w:sz="0" w:space="0" w:color="auto"/>
      </w:divBdr>
      <w:divsChild>
        <w:div w:id="1577780815">
          <w:marLeft w:val="0"/>
          <w:marRight w:val="0"/>
          <w:marTop w:val="0"/>
          <w:marBottom w:val="0"/>
          <w:divBdr>
            <w:top w:val="none" w:sz="0" w:space="0" w:color="auto"/>
            <w:left w:val="none" w:sz="0" w:space="0" w:color="auto"/>
            <w:bottom w:val="none" w:sz="0" w:space="0" w:color="auto"/>
            <w:right w:val="none" w:sz="0" w:space="0" w:color="auto"/>
          </w:divBdr>
          <w:divsChild>
            <w:div w:id="793207621">
              <w:marLeft w:val="0"/>
              <w:marRight w:val="0"/>
              <w:marTop w:val="0"/>
              <w:marBottom w:val="0"/>
              <w:divBdr>
                <w:top w:val="single" w:sz="6" w:space="31" w:color="F0C36D"/>
                <w:left w:val="single" w:sz="6" w:space="31" w:color="F0C36D"/>
                <w:bottom w:val="single" w:sz="6" w:space="31" w:color="F0C36D"/>
                <w:right w:val="single" w:sz="6" w:space="31" w:color="F0C36D"/>
              </w:divBdr>
            </w:div>
            <w:div w:id="913667115">
              <w:marLeft w:val="0"/>
              <w:marRight w:val="0"/>
              <w:marTop w:val="0"/>
              <w:marBottom w:val="0"/>
              <w:divBdr>
                <w:top w:val="single" w:sz="6" w:space="31" w:color="F0C36D"/>
                <w:left w:val="single" w:sz="6" w:space="31" w:color="F0C36D"/>
                <w:bottom w:val="single" w:sz="6" w:space="31" w:color="F0C36D"/>
                <w:right w:val="single" w:sz="6" w:space="31" w:color="F0C36D"/>
              </w:divBdr>
            </w:div>
            <w:div w:id="1005203045">
              <w:marLeft w:val="0"/>
              <w:marRight w:val="0"/>
              <w:marTop w:val="0"/>
              <w:marBottom w:val="0"/>
              <w:divBdr>
                <w:top w:val="none" w:sz="0" w:space="0" w:color="auto"/>
                <w:left w:val="none" w:sz="0" w:space="0" w:color="auto"/>
                <w:bottom w:val="none" w:sz="0" w:space="0" w:color="auto"/>
                <w:right w:val="none" w:sz="0" w:space="0" w:color="auto"/>
              </w:divBdr>
              <w:divsChild>
                <w:div w:id="433089452">
                  <w:marLeft w:val="0"/>
                  <w:marRight w:val="0"/>
                  <w:marTop w:val="0"/>
                  <w:marBottom w:val="0"/>
                  <w:divBdr>
                    <w:top w:val="none" w:sz="0" w:space="0" w:color="auto"/>
                    <w:left w:val="none" w:sz="0" w:space="0" w:color="auto"/>
                    <w:bottom w:val="none" w:sz="0" w:space="0" w:color="auto"/>
                    <w:right w:val="none" w:sz="0" w:space="0" w:color="auto"/>
                  </w:divBdr>
                  <w:divsChild>
                    <w:div w:id="1267351317">
                      <w:marLeft w:val="0"/>
                      <w:marRight w:val="0"/>
                      <w:marTop w:val="0"/>
                      <w:marBottom w:val="0"/>
                      <w:divBdr>
                        <w:top w:val="none" w:sz="0" w:space="0" w:color="auto"/>
                        <w:left w:val="none" w:sz="0" w:space="0" w:color="auto"/>
                        <w:bottom w:val="none" w:sz="0" w:space="0" w:color="auto"/>
                        <w:right w:val="none" w:sz="0" w:space="0" w:color="auto"/>
                      </w:divBdr>
                      <w:divsChild>
                        <w:div w:id="957951248">
                          <w:marLeft w:val="0"/>
                          <w:marRight w:val="0"/>
                          <w:marTop w:val="0"/>
                          <w:marBottom w:val="0"/>
                          <w:divBdr>
                            <w:top w:val="none" w:sz="0" w:space="0" w:color="auto"/>
                            <w:left w:val="none" w:sz="0" w:space="0" w:color="auto"/>
                            <w:bottom w:val="none" w:sz="0" w:space="0" w:color="auto"/>
                            <w:right w:val="none" w:sz="0" w:space="0" w:color="auto"/>
                          </w:divBdr>
                          <w:divsChild>
                            <w:div w:id="65153782">
                              <w:marLeft w:val="0"/>
                              <w:marRight w:val="0"/>
                              <w:marTop w:val="0"/>
                              <w:marBottom w:val="0"/>
                              <w:divBdr>
                                <w:top w:val="none" w:sz="0" w:space="0" w:color="auto"/>
                                <w:left w:val="none" w:sz="0" w:space="0" w:color="auto"/>
                                <w:bottom w:val="none" w:sz="0" w:space="0" w:color="auto"/>
                                <w:right w:val="none" w:sz="0" w:space="0" w:color="auto"/>
                              </w:divBdr>
                              <w:divsChild>
                                <w:div w:id="1085878449">
                                  <w:marLeft w:val="0"/>
                                  <w:marRight w:val="0"/>
                                  <w:marTop w:val="0"/>
                                  <w:marBottom w:val="0"/>
                                  <w:divBdr>
                                    <w:top w:val="none" w:sz="0" w:space="0" w:color="auto"/>
                                    <w:left w:val="none" w:sz="0" w:space="0" w:color="auto"/>
                                    <w:bottom w:val="none" w:sz="0" w:space="0" w:color="auto"/>
                                    <w:right w:val="none" w:sz="0" w:space="0" w:color="auto"/>
                                  </w:divBdr>
                                  <w:divsChild>
                                    <w:div w:id="525555626">
                                      <w:marLeft w:val="0"/>
                                      <w:marRight w:val="0"/>
                                      <w:marTop w:val="0"/>
                                      <w:marBottom w:val="0"/>
                                      <w:divBdr>
                                        <w:top w:val="none" w:sz="0" w:space="0" w:color="auto"/>
                                        <w:left w:val="none" w:sz="0" w:space="0" w:color="auto"/>
                                        <w:bottom w:val="none" w:sz="0" w:space="0" w:color="auto"/>
                                        <w:right w:val="none" w:sz="0" w:space="0" w:color="auto"/>
                                      </w:divBdr>
                                      <w:divsChild>
                                        <w:div w:id="367294687">
                                          <w:marLeft w:val="0"/>
                                          <w:marRight w:val="0"/>
                                          <w:marTop w:val="0"/>
                                          <w:marBottom w:val="0"/>
                                          <w:divBdr>
                                            <w:top w:val="none" w:sz="0" w:space="0" w:color="auto"/>
                                            <w:left w:val="none" w:sz="0" w:space="0" w:color="auto"/>
                                            <w:bottom w:val="none" w:sz="0" w:space="0" w:color="auto"/>
                                            <w:right w:val="none" w:sz="0" w:space="0" w:color="auto"/>
                                          </w:divBdr>
                                          <w:divsChild>
                                            <w:div w:id="674724377">
                                              <w:marLeft w:val="0"/>
                                              <w:marRight w:val="0"/>
                                              <w:marTop w:val="240"/>
                                              <w:marBottom w:val="0"/>
                                              <w:divBdr>
                                                <w:top w:val="single" w:sz="6" w:space="6" w:color="EBEBEB"/>
                                                <w:left w:val="single" w:sz="6" w:space="6" w:color="EBEBEB"/>
                                                <w:bottom w:val="single" w:sz="6" w:space="6" w:color="EBEBEB"/>
                                                <w:right w:val="single" w:sz="6" w:space="6" w:color="EBEBEB"/>
                                              </w:divBdr>
                                              <w:divsChild>
                                                <w:div w:id="1575314423">
                                                  <w:marLeft w:val="0"/>
                                                  <w:marRight w:val="0"/>
                                                  <w:marTop w:val="0"/>
                                                  <w:marBottom w:val="0"/>
                                                  <w:divBdr>
                                                    <w:top w:val="none" w:sz="0" w:space="0" w:color="auto"/>
                                                    <w:left w:val="none" w:sz="0" w:space="0" w:color="auto"/>
                                                    <w:bottom w:val="none" w:sz="0" w:space="0" w:color="auto"/>
                                                    <w:right w:val="none" w:sz="0" w:space="0" w:color="auto"/>
                                                  </w:divBdr>
                                                  <w:divsChild>
                                                    <w:div w:id="9123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33706">
                                              <w:marLeft w:val="0"/>
                                              <w:marRight w:val="0"/>
                                              <w:marTop w:val="0"/>
                                              <w:marBottom w:val="0"/>
                                              <w:divBdr>
                                                <w:top w:val="single" w:sz="6" w:space="0" w:color="F5F5F5"/>
                                                <w:left w:val="single" w:sz="6" w:space="0" w:color="F5F5F5"/>
                                                <w:bottom w:val="single" w:sz="6" w:space="0" w:color="F5F5F5"/>
                                                <w:right w:val="single" w:sz="6" w:space="0" w:color="F5F5F5"/>
                                              </w:divBdr>
                                              <w:divsChild>
                                                <w:div w:id="1024406800">
                                                  <w:marLeft w:val="0"/>
                                                  <w:marRight w:val="0"/>
                                                  <w:marTop w:val="0"/>
                                                  <w:marBottom w:val="0"/>
                                                  <w:divBdr>
                                                    <w:top w:val="none" w:sz="0" w:space="0" w:color="auto"/>
                                                    <w:left w:val="none" w:sz="0" w:space="0" w:color="auto"/>
                                                    <w:bottom w:val="none" w:sz="0" w:space="0" w:color="auto"/>
                                                    <w:right w:val="none" w:sz="0" w:space="0" w:color="auto"/>
                                                  </w:divBdr>
                                                  <w:divsChild>
                                                    <w:div w:id="22559363">
                                                      <w:marLeft w:val="0"/>
                                                      <w:marRight w:val="0"/>
                                                      <w:marTop w:val="0"/>
                                                      <w:marBottom w:val="0"/>
                                                      <w:divBdr>
                                                        <w:top w:val="none" w:sz="0" w:space="0" w:color="auto"/>
                                                        <w:left w:val="none" w:sz="0" w:space="0" w:color="auto"/>
                                                        <w:bottom w:val="none" w:sz="0" w:space="0" w:color="auto"/>
                                                        <w:right w:val="none" w:sz="0" w:space="0" w:color="auto"/>
                                                      </w:divBdr>
                                                      <w:divsChild>
                                                        <w:div w:id="1471285185">
                                                          <w:marLeft w:val="0"/>
                                                          <w:marRight w:val="120"/>
                                                          <w:marTop w:val="90"/>
                                                          <w:marBottom w:val="0"/>
                                                          <w:divBdr>
                                                            <w:top w:val="none" w:sz="0" w:space="0" w:color="auto"/>
                                                            <w:left w:val="none" w:sz="0" w:space="0" w:color="auto"/>
                                                            <w:bottom w:val="none" w:sz="0" w:space="0" w:color="auto"/>
                                                            <w:right w:val="none" w:sz="0" w:space="0" w:color="auto"/>
                                                          </w:divBdr>
                                                        </w:div>
                                                      </w:divsChild>
                                                    </w:div>
                                                    <w:div w:id="1627740792">
                                                      <w:marLeft w:val="0"/>
                                                      <w:marRight w:val="0"/>
                                                      <w:marTop w:val="0"/>
                                                      <w:marBottom w:val="0"/>
                                                      <w:divBdr>
                                                        <w:top w:val="none" w:sz="0" w:space="0" w:color="auto"/>
                                                        <w:left w:val="none" w:sz="0" w:space="0" w:color="auto"/>
                                                        <w:bottom w:val="none" w:sz="0" w:space="0" w:color="auto"/>
                                                        <w:right w:val="none" w:sz="0" w:space="0" w:color="auto"/>
                                                      </w:divBdr>
                                                      <w:divsChild>
                                                        <w:div w:id="1939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845">
                                                  <w:marLeft w:val="0"/>
                                                  <w:marRight w:val="0"/>
                                                  <w:marTop w:val="0"/>
                                                  <w:marBottom w:val="0"/>
                                                  <w:divBdr>
                                                    <w:top w:val="none" w:sz="0" w:space="0" w:color="auto"/>
                                                    <w:left w:val="none" w:sz="0" w:space="0" w:color="auto"/>
                                                    <w:bottom w:val="none" w:sz="0" w:space="0" w:color="auto"/>
                                                    <w:right w:val="none" w:sz="0" w:space="0" w:color="auto"/>
                                                  </w:divBdr>
                                                  <w:divsChild>
                                                    <w:div w:id="5233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6828">
                                              <w:marLeft w:val="0"/>
                                              <w:marRight w:val="0"/>
                                              <w:marTop w:val="0"/>
                                              <w:marBottom w:val="0"/>
                                              <w:divBdr>
                                                <w:top w:val="none" w:sz="0" w:space="0" w:color="auto"/>
                                                <w:left w:val="none" w:sz="0" w:space="0" w:color="auto"/>
                                                <w:bottom w:val="none" w:sz="0" w:space="0" w:color="auto"/>
                                                <w:right w:val="none" w:sz="0" w:space="0" w:color="auto"/>
                                              </w:divBdr>
                                            </w:div>
                                            <w:div w:id="1623993062">
                                              <w:marLeft w:val="0"/>
                                              <w:marRight w:val="0"/>
                                              <w:marTop w:val="0"/>
                                              <w:marBottom w:val="0"/>
                                              <w:divBdr>
                                                <w:top w:val="none" w:sz="0" w:space="0" w:color="auto"/>
                                                <w:left w:val="none" w:sz="0" w:space="0" w:color="auto"/>
                                                <w:bottom w:val="none" w:sz="0" w:space="0" w:color="auto"/>
                                                <w:right w:val="none" w:sz="0" w:space="0" w:color="auto"/>
                                              </w:divBdr>
                                              <w:divsChild>
                                                <w:div w:id="1463425295">
                                                  <w:marLeft w:val="0"/>
                                                  <w:marRight w:val="0"/>
                                                  <w:marTop w:val="180"/>
                                                  <w:marBottom w:val="0"/>
                                                  <w:divBdr>
                                                    <w:top w:val="single" w:sz="6" w:space="0" w:color="EBEBEB"/>
                                                    <w:left w:val="single" w:sz="6" w:space="0" w:color="EBEBEB"/>
                                                    <w:bottom w:val="single" w:sz="6" w:space="0" w:color="EBEBEB"/>
                                                    <w:right w:val="single" w:sz="6" w:space="0" w:color="EBEBEB"/>
                                                  </w:divBdr>
                                                  <w:divsChild>
                                                    <w:div w:id="1592280123">
                                                      <w:marLeft w:val="0"/>
                                                      <w:marRight w:val="0"/>
                                                      <w:marTop w:val="0"/>
                                                      <w:marBottom w:val="0"/>
                                                      <w:divBdr>
                                                        <w:top w:val="none" w:sz="0" w:space="0" w:color="auto"/>
                                                        <w:left w:val="none" w:sz="0" w:space="0" w:color="auto"/>
                                                        <w:bottom w:val="none" w:sz="0" w:space="0" w:color="auto"/>
                                                        <w:right w:val="none" w:sz="0" w:space="0" w:color="auto"/>
                                                      </w:divBdr>
                                                      <w:divsChild>
                                                        <w:div w:id="272133273">
                                                          <w:marLeft w:val="0"/>
                                                          <w:marRight w:val="0"/>
                                                          <w:marTop w:val="0"/>
                                                          <w:marBottom w:val="0"/>
                                                          <w:divBdr>
                                                            <w:top w:val="none" w:sz="0" w:space="0" w:color="auto"/>
                                                            <w:left w:val="none" w:sz="0" w:space="0" w:color="auto"/>
                                                            <w:bottom w:val="none" w:sz="0" w:space="0" w:color="auto"/>
                                                            <w:right w:val="none" w:sz="0" w:space="0" w:color="auto"/>
                                                          </w:divBdr>
                                                        </w:div>
                                                      </w:divsChild>
                                                    </w:div>
                                                    <w:div w:id="1860851657">
                                                      <w:marLeft w:val="0"/>
                                                      <w:marRight w:val="0"/>
                                                      <w:marTop w:val="0"/>
                                                      <w:marBottom w:val="0"/>
                                                      <w:divBdr>
                                                        <w:top w:val="none" w:sz="0" w:space="0" w:color="auto"/>
                                                        <w:left w:val="none" w:sz="0" w:space="0" w:color="auto"/>
                                                        <w:bottom w:val="none" w:sz="0" w:space="0" w:color="auto"/>
                                                        <w:right w:val="none" w:sz="0" w:space="0" w:color="auto"/>
                                                      </w:divBdr>
                                                      <w:divsChild>
                                                        <w:div w:id="2002391875">
                                                          <w:marLeft w:val="0"/>
                                                          <w:marRight w:val="0"/>
                                                          <w:marTop w:val="0"/>
                                                          <w:marBottom w:val="0"/>
                                                          <w:divBdr>
                                                            <w:top w:val="none" w:sz="0" w:space="0" w:color="auto"/>
                                                            <w:left w:val="none" w:sz="0" w:space="0" w:color="auto"/>
                                                            <w:bottom w:val="none" w:sz="0" w:space="0" w:color="auto"/>
                                                            <w:right w:val="none" w:sz="0" w:space="0" w:color="auto"/>
                                                          </w:divBdr>
                                                          <w:divsChild>
                                                            <w:div w:id="7186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05198">
                                              <w:marLeft w:val="0"/>
                                              <w:marRight w:val="0"/>
                                              <w:marTop w:val="0"/>
                                              <w:marBottom w:val="0"/>
                                              <w:divBdr>
                                                <w:top w:val="none" w:sz="0" w:space="0" w:color="auto"/>
                                                <w:left w:val="none" w:sz="0" w:space="0" w:color="auto"/>
                                                <w:bottom w:val="none" w:sz="0" w:space="0" w:color="auto"/>
                                                <w:right w:val="none" w:sz="0" w:space="0" w:color="auto"/>
                                              </w:divBdr>
                                              <w:divsChild>
                                                <w:div w:id="365645048">
                                                  <w:marLeft w:val="0"/>
                                                  <w:marRight w:val="0"/>
                                                  <w:marTop w:val="0"/>
                                                  <w:marBottom w:val="0"/>
                                                  <w:divBdr>
                                                    <w:top w:val="none" w:sz="0" w:space="0" w:color="auto"/>
                                                    <w:left w:val="none" w:sz="0" w:space="0" w:color="auto"/>
                                                    <w:bottom w:val="none" w:sz="0" w:space="0" w:color="auto"/>
                                                    <w:right w:val="none" w:sz="0" w:space="0" w:color="auto"/>
                                                  </w:divBdr>
                                                </w:div>
                                                <w:div w:id="507141381">
                                                  <w:marLeft w:val="0"/>
                                                  <w:marRight w:val="0"/>
                                                  <w:marTop w:val="0"/>
                                                  <w:marBottom w:val="0"/>
                                                  <w:divBdr>
                                                    <w:top w:val="none" w:sz="0" w:space="0" w:color="auto"/>
                                                    <w:left w:val="none" w:sz="0" w:space="0" w:color="auto"/>
                                                    <w:bottom w:val="none" w:sz="0" w:space="0" w:color="auto"/>
                                                    <w:right w:val="none" w:sz="0" w:space="0" w:color="auto"/>
                                                  </w:divBdr>
                                                </w:div>
                                                <w:div w:id="749040280">
                                                  <w:marLeft w:val="0"/>
                                                  <w:marRight w:val="0"/>
                                                  <w:marTop w:val="0"/>
                                                  <w:marBottom w:val="0"/>
                                                  <w:divBdr>
                                                    <w:top w:val="none" w:sz="0" w:space="0" w:color="auto"/>
                                                    <w:left w:val="none" w:sz="0" w:space="0" w:color="auto"/>
                                                    <w:bottom w:val="none" w:sz="0" w:space="0" w:color="auto"/>
                                                    <w:right w:val="none" w:sz="0" w:space="0" w:color="auto"/>
                                                  </w:divBdr>
                                                </w:div>
                                                <w:div w:id="1002510587">
                                                  <w:marLeft w:val="0"/>
                                                  <w:marRight w:val="0"/>
                                                  <w:marTop w:val="0"/>
                                                  <w:marBottom w:val="0"/>
                                                  <w:divBdr>
                                                    <w:top w:val="none" w:sz="0" w:space="0" w:color="auto"/>
                                                    <w:left w:val="none" w:sz="0" w:space="0" w:color="auto"/>
                                                    <w:bottom w:val="none" w:sz="0" w:space="0" w:color="auto"/>
                                                    <w:right w:val="none" w:sz="0" w:space="0" w:color="auto"/>
                                                  </w:divBdr>
                                                </w:div>
                                                <w:div w:id="1056662791">
                                                  <w:marLeft w:val="0"/>
                                                  <w:marRight w:val="0"/>
                                                  <w:marTop w:val="0"/>
                                                  <w:marBottom w:val="0"/>
                                                  <w:divBdr>
                                                    <w:top w:val="none" w:sz="0" w:space="0" w:color="auto"/>
                                                    <w:left w:val="none" w:sz="0" w:space="0" w:color="auto"/>
                                                    <w:bottom w:val="none" w:sz="0" w:space="0" w:color="auto"/>
                                                    <w:right w:val="none" w:sz="0" w:space="0" w:color="auto"/>
                                                  </w:divBdr>
                                                </w:div>
                                                <w:div w:id="1207841253">
                                                  <w:marLeft w:val="0"/>
                                                  <w:marRight w:val="0"/>
                                                  <w:marTop w:val="0"/>
                                                  <w:marBottom w:val="0"/>
                                                  <w:divBdr>
                                                    <w:top w:val="none" w:sz="0" w:space="0" w:color="auto"/>
                                                    <w:left w:val="none" w:sz="0" w:space="0" w:color="auto"/>
                                                    <w:bottom w:val="none" w:sz="0" w:space="0" w:color="auto"/>
                                                    <w:right w:val="none" w:sz="0" w:space="0" w:color="auto"/>
                                                  </w:divBdr>
                                                </w:div>
                                                <w:div w:id="1432119752">
                                                  <w:marLeft w:val="0"/>
                                                  <w:marRight w:val="0"/>
                                                  <w:marTop w:val="0"/>
                                                  <w:marBottom w:val="0"/>
                                                  <w:divBdr>
                                                    <w:top w:val="none" w:sz="0" w:space="0" w:color="auto"/>
                                                    <w:left w:val="none" w:sz="0" w:space="0" w:color="auto"/>
                                                    <w:bottom w:val="none" w:sz="0" w:space="0" w:color="auto"/>
                                                    <w:right w:val="none" w:sz="0" w:space="0" w:color="auto"/>
                                                  </w:divBdr>
                                                </w:div>
                                                <w:div w:id="1470783117">
                                                  <w:marLeft w:val="0"/>
                                                  <w:marRight w:val="0"/>
                                                  <w:marTop w:val="0"/>
                                                  <w:marBottom w:val="0"/>
                                                  <w:divBdr>
                                                    <w:top w:val="none" w:sz="0" w:space="0" w:color="auto"/>
                                                    <w:left w:val="none" w:sz="0" w:space="0" w:color="auto"/>
                                                    <w:bottom w:val="none" w:sz="0" w:space="0" w:color="auto"/>
                                                    <w:right w:val="none" w:sz="0" w:space="0" w:color="auto"/>
                                                  </w:divBdr>
                                                </w:div>
                                                <w:div w:id="1535531888">
                                                  <w:marLeft w:val="0"/>
                                                  <w:marRight w:val="0"/>
                                                  <w:marTop w:val="0"/>
                                                  <w:marBottom w:val="0"/>
                                                  <w:divBdr>
                                                    <w:top w:val="none" w:sz="0" w:space="0" w:color="auto"/>
                                                    <w:left w:val="none" w:sz="0" w:space="0" w:color="auto"/>
                                                    <w:bottom w:val="none" w:sz="0" w:space="0" w:color="auto"/>
                                                    <w:right w:val="none" w:sz="0" w:space="0" w:color="auto"/>
                                                  </w:divBdr>
                                                </w:div>
                                                <w:div w:id="1660693864">
                                                  <w:marLeft w:val="0"/>
                                                  <w:marRight w:val="0"/>
                                                  <w:marTop w:val="0"/>
                                                  <w:marBottom w:val="0"/>
                                                  <w:divBdr>
                                                    <w:top w:val="none" w:sz="0" w:space="0" w:color="auto"/>
                                                    <w:left w:val="none" w:sz="0" w:space="0" w:color="auto"/>
                                                    <w:bottom w:val="none" w:sz="0" w:space="0" w:color="auto"/>
                                                    <w:right w:val="none" w:sz="0" w:space="0" w:color="auto"/>
                                                  </w:divBdr>
                                                </w:div>
                                                <w:div w:id="1720977509">
                                                  <w:marLeft w:val="0"/>
                                                  <w:marRight w:val="0"/>
                                                  <w:marTop w:val="0"/>
                                                  <w:marBottom w:val="0"/>
                                                  <w:divBdr>
                                                    <w:top w:val="none" w:sz="0" w:space="0" w:color="auto"/>
                                                    <w:left w:val="none" w:sz="0" w:space="0" w:color="auto"/>
                                                    <w:bottom w:val="none" w:sz="0" w:space="0" w:color="auto"/>
                                                    <w:right w:val="none" w:sz="0" w:space="0" w:color="auto"/>
                                                  </w:divBdr>
                                                </w:div>
                                                <w:div w:id="1807628337">
                                                  <w:marLeft w:val="0"/>
                                                  <w:marRight w:val="0"/>
                                                  <w:marTop w:val="0"/>
                                                  <w:marBottom w:val="0"/>
                                                  <w:divBdr>
                                                    <w:top w:val="none" w:sz="0" w:space="0" w:color="auto"/>
                                                    <w:left w:val="none" w:sz="0" w:space="0" w:color="auto"/>
                                                    <w:bottom w:val="none" w:sz="0" w:space="0" w:color="auto"/>
                                                    <w:right w:val="none" w:sz="0" w:space="0" w:color="auto"/>
                                                  </w:divBdr>
                                                </w:div>
                                                <w:div w:id="2036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9046">
                              <w:marLeft w:val="0"/>
                              <w:marRight w:val="0"/>
                              <w:marTop w:val="240"/>
                              <w:marBottom w:val="0"/>
                              <w:divBdr>
                                <w:top w:val="none" w:sz="0" w:space="0" w:color="auto"/>
                                <w:left w:val="none" w:sz="0" w:space="0" w:color="auto"/>
                                <w:bottom w:val="none" w:sz="0" w:space="0" w:color="auto"/>
                                <w:right w:val="none" w:sz="0" w:space="0" w:color="auto"/>
                              </w:divBdr>
                            </w:div>
                            <w:div w:id="1537234318">
                              <w:marLeft w:val="0"/>
                              <w:marRight w:val="0"/>
                              <w:marTop w:val="240"/>
                              <w:marBottom w:val="525"/>
                              <w:divBdr>
                                <w:top w:val="none" w:sz="0" w:space="0" w:color="auto"/>
                                <w:left w:val="none" w:sz="0" w:space="0" w:color="auto"/>
                                <w:bottom w:val="none" w:sz="0" w:space="0" w:color="auto"/>
                                <w:right w:val="none" w:sz="0" w:space="0" w:color="auto"/>
                              </w:divBdr>
                              <w:divsChild>
                                <w:div w:id="7784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984130">
              <w:marLeft w:val="0"/>
              <w:marRight w:val="0"/>
              <w:marTop w:val="0"/>
              <w:marBottom w:val="0"/>
              <w:divBdr>
                <w:top w:val="single" w:sz="6" w:space="31" w:color="F0C36D"/>
                <w:left w:val="single" w:sz="6" w:space="31" w:color="F0C36D"/>
                <w:bottom w:val="single" w:sz="6" w:space="31" w:color="F0C36D"/>
                <w:right w:val="single" w:sz="6" w:space="31" w:color="F0C36D"/>
              </w:divBdr>
            </w:div>
            <w:div w:id="1850219778">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08163034">
      <w:bodyDiv w:val="1"/>
      <w:marLeft w:val="0"/>
      <w:marRight w:val="0"/>
      <w:marTop w:val="0"/>
      <w:marBottom w:val="0"/>
      <w:divBdr>
        <w:top w:val="none" w:sz="0" w:space="0" w:color="auto"/>
        <w:left w:val="none" w:sz="0" w:space="0" w:color="auto"/>
        <w:bottom w:val="none" w:sz="0" w:space="0" w:color="auto"/>
        <w:right w:val="none" w:sz="0" w:space="0" w:color="auto"/>
      </w:divBdr>
    </w:div>
    <w:div w:id="114252008">
      <w:bodyDiv w:val="1"/>
      <w:marLeft w:val="0"/>
      <w:marRight w:val="0"/>
      <w:marTop w:val="0"/>
      <w:marBottom w:val="0"/>
      <w:divBdr>
        <w:top w:val="none" w:sz="0" w:space="0" w:color="auto"/>
        <w:left w:val="none" w:sz="0" w:space="0" w:color="auto"/>
        <w:bottom w:val="none" w:sz="0" w:space="0" w:color="auto"/>
        <w:right w:val="none" w:sz="0" w:space="0" w:color="auto"/>
      </w:divBdr>
    </w:div>
    <w:div w:id="141578499">
      <w:bodyDiv w:val="1"/>
      <w:marLeft w:val="0"/>
      <w:marRight w:val="0"/>
      <w:marTop w:val="0"/>
      <w:marBottom w:val="0"/>
      <w:divBdr>
        <w:top w:val="none" w:sz="0" w:space="0" w:color="auto"/>
        <w:left w:val="none" w:sz="0" w:space="0" w:color="auto"/>
        <w:bottom w:val="none" w:sz="0" w:space="0" w:color="auto"/>
        <w:right w:val="none" w:sz="0" w:space="0" w:color="auto"/>
      </w:divBdr>
    </w:div>
    <w:div w:id="142504510">
      <w:bodyDiv w:val="1"/>
      <w:marLeft w:val="0"/>
      <w:marRight w:val="0"/>
      <w:marTop w:val="0"/>
      <w:marBottom w:val="0"/>
      <w:divBdr>
        <w:top w:val="none" w:sz="0" w:space="0" w:color="auto"/>
        <w:left w:val="none" w:sz="0" w:space="0" w:color="auto"/>
        <w:bottom w:val="none" w:sz="0" w:space="0" w:color="auto"/>
        <w:right w:val="none" w:sz="0" w:space="0" w:color="auto"/>
      </w:divBdr>
    </w:div>
    <w:div w:id="145317869">
      <w:bodyDiv w:val="1"/>
      <w:marLeft w:val="0"/>
      <w:marRight w:val="0"/>
      <w:marTop w:val="0"/>
      <w:marBottom w:val="0"/>
      <w:divBdr>
        <w:top w:val="none" w:sz="0" w:space="0" w:color="auto"/>
        <w:left w:val="none" w:sz="0" w:space="0" w:color="auto"/>
        <w:bottom w:val="none" w:sz="0" w:space="0" w:color="auto"/>
        <w:right w:val="none" w:sz="0" w:space="0" w:color="auto"/>
      </w:divBdr>
    </w:div>
    <w:div w:id="153687415">
      <w:bodyDiv w:val="1"/>
      <w:marLeft w:val="0"/>
      <w:marRight w:val="0"/>
      <w:marTop w:val="0"/>
      <w:marBottom w:val="0"/>
      <w:divBdr>
        <w:top w:val="none" w:sz="0" w:space="0" w:color="auto"/>
        <w:left w:val="none" w:sz="0" w:space="0" w:color="auto"/>
        <w:bottom w:val="none" w:sz="0" w:space="0" w:color="auto"/>
        <w:right w:val="none" w:sz="0" w:space="0" w:color="auto"/>
      </w:divBdr>
    </w:div>
    <w:div w:id="155147970">
      <w:bodyDiv w:val="1"/>
      <w:marLeft w:val="0"/>
      <w:marRight w:val="0"/>
      <w:marTop w:val="0"/>
      <w:marBottom w:val="0"/>
      <w:divBdr>
        <w:top w:val="none" w:sz="0" w:space="0" w:color="auto"/>
        <w:left w:val="none" w:sz="0" w:space="0" w:color="auto"/>
        <w:bottom w:val="none" w:sz="0" w:space="0" w:color="auto"/>
        <w:right w:val="none" w:sz="0" w:space="0" w:color="auto"/>
      </w:divBdr>
    </w:div>
    <w:div w:id="160775028">
      <w:bodyDiv w:val="1"/>
      <w:marLeft w:val="0"/>
      <w:marRight w:val="0"/>
      <w:marTop w:val="0"/>
      <w:marBottom w:val="0"/>
      <w:divBdr>
        <w:top w:val="none" w:sz="0" w:space="0" w:color="auto"/>
        <w:left w:val="none" w:sz="0" w:space="0" w:color="auto"/>
        <w:bottom w:val="none" w:sz="0" w:space="0" w:color="auto"/>
        <w:right w:val="none" w:sz="0" w:space="0" w:color="auto"/>
      </w:divBdr>
    </w:div>
    <w:div w:id="164517001">
      <w:bodyDiv w:val="1"/>
      <w:marLeft w:val="0"/>
      <w:marRight w:val="0"/>
      <w:marTop w:val="0"/>
      <w:marBottom w:val="0"/>
      <w:divBdr>
        <w:top w:val="none" w:sz="0" w:space="0" w:color="auto"/>
        <w:left w:val="none" w:sz="0" w:space="0" w:color="auto"/>
        <w:bottom w:val="none" w:sz="0" w:space="0" w:color="auto"/>
        <w:right w:val="none" w:sz="0" w:space="0" w:color="auto"/>
      </w:divBdr>
    </w:div>
    <w:div w:id="180828043">
      <w:bodyDiv w:val="1"/>
      <w:marLeft w:val="0"/>
      <w:marRight w:val="0"/>
      <w:marTop w:val="0"/>
      <w:marBottom w:val="0"/>
      <w:divBdr>
        <w:top w:val="none" w:sz="0" w:space="0" w:color="auto"/>
        <w:left w:val="none" w:sz="0" w:space="0" w:color="auto"/>
        <w:bottom w:val="none" w:sz="0" w:space="0" w:color="auto"/>
        <w:right w:val="none" w:sz="0" w:space="0" w:color="auto"/>
      </w:divBdr>
    </w:div>
    <w:div w:id="182405886">
      <w:bodyDiv w:val="1"/>
      <w:marLeft w:val="0"/>
      <w:marRight w:val="0"/>
      <w:marTop w:val="0"/>
      <w:marBottom w:val="0"/>
      <w:divBdr>
        <w:top w:val="none" w:sz="0" w:space="0" w:color="auto"/>
        <w:left w:val="none" w:sz="0" w:space="0" w:color="auto"/>
        <w:bottom w:val="none" w:sz="0" w:space="0" w:color="auto"/>
        <w:right w:val="none" w:sz="0" w:space="0" w:color="auto"/>
      </w:divBdr>
    </w:div>
    <w:div w:id="185947913">
      <w:bodyDiv w:val="1"/>
      <w:marLeft w:val="0"/>
      <w:marRight w:val="0"/>
      <w:marTop w:val="0"/>
      <w:marBottom w:val="0"/>
      <w:divBdr>
        <w:top w:val="none" w:sz="0" w:space="0" w:color="auto"/>
        <w:left w:val="none" w:sz="0" w:space="0" w:color="auto"/>
        <w:bottom w:val="none" w:sz="0" w:space="0" w:color="auto"/>
        <w:right w:val="none" w:sz="0" w:space="0" w:color="auto"/>
      </w:divBdr>
    </w:div>
    <w:div w:id="187379618">
      <w:bodyDiv w:val="1"/>
      <w:marLeft w:val="0"/>
      <w:marRight w:val="0"/>
      <w:marTop w:val="0"/>
      <w:marBottom w:val="0"/>
      <w:divBdr>
        <w:top w:val="none" w:sz="0" w:space="0" w:color="auto"/>
        <w:left w:val="none" w:sz="0" w:space="0" w:color="auto"/>
        <w:bottom w:val="none" w:sz="0" w:space="0" w:color="auto"/>
        <w:right w:val="none" w:sz="0" w:space="0" w:color="auto"/>
      </w:divBdr>
    </w:div>
    <w:div w:id="190919155">
      <w:bodyDiv w:val="1"/>
      <w:marLeft w:val="0"/>
      <w:marRight w:val="0"/>
      <w:marTop w:val="0"/>
      <w:marBottom w:val="0"/>
      <w:divBdr>
        <w:top w:val="none" w:sz="0" w:space="0" w:color="auto"/>
        <w:left w:val="none" w:sz="0" w:space="0" w:color="auto"/>
        <w:bottom w:val="none" w:sz="0" w:space="0" w:color="auto"/>
        <w:right w:val="none" w:sz="0" w:space="0" w:color="auto"/>
      </w:divBdr>
    </w:div>
    <w:div w:id="198015165">
      <w:bodyDiv w:val="1"/>
      <w:marLeft w:val="0"/>
      <w:marRight w:val="0"/>
      <w:marTop w:val="0"/>
      <w:marBottom w:val="0"/>
      <w:divBdr>
        <w:top w:val="none" w:sz="0" w:space="0" w:color="auto"/>
        <w:left w:val="none" w:sz="0" w:space="0" w:color="auto"/>
        <w:bottom w:val="none" w:sz="0" w:space="0" w:color="auto"/>
        <w:right w:val="none" w:sz="0" w:space="0" w:color="auto"/>
      </w:divBdr>
    </w:div>
    <w:div w:id="198318351">
      <w:bodyDiv w:val="1"/>
      <w:marLeft w:val="0"/>
      <w:marRight w:val="0"/>
      <w:marTop w:val="0"/>
      <w:marBottom w:val="0"/>
      <w:divBdr>
        <w:top w:val="none" w:sz="0" w:space="0" w:color="auto"/>
        <w:left w:val="none" w:sz="0" w:space="0" w:color="auto"/>
        <w:bottom w:val="none" w:sz="0" w:space="0" w:color="auto"/>
        <w:right w:val="none" w:sz="0" w:space="0" w:color="auto"/>
      </w:divBdr>
    </w:div>
    <w:div w:id="199247922">
      <w:bodyDiv w:val="1"/>
      <w:marLeft w:val="0"/>
      <w:marRight w:val="0"/>
      <w:marTop w:val="0"/>
      <w:marBottom w:val="0"/>
      <w:divBdr>
        <w:top w:val="none" w:sz="0" w:space="0" w:color="auto"/>
        <w:left w:val="none" w:sz="0" w:space="0" w:color="auto"/>
        <w:bottom w:val="none" w:sz="0" w:space="0" w:color="auto"/>
        <w:right w:val="none" w:sz="0" w:space="0" w:color="auto"/>
      </w:divBdr>
    </w:div>
    <w:div w:id="199365602">
      <w:bodyDiv w:val="1"/>
      <w:marLeft w:val="0"/>
      <w:marRight w:val="0"/>
      <w:marTop w:val="0"/>
      <w:marBottom w:val="0"/>
      <w:divBdr>
        <w:top w:val="none" w:sz="0" w:space="0" w:color="auto"/>
        <w:left w:val="none" w:sz="0" w:space="0" w:color="auto"/>
        <w:bottom w:val="none" w:sz="0" w:space="0" w:color="auto"/>
        <w:right w:val="none" w:sz="0" w:space="0" w:color="auto"/>
      </w:divBdr>
    </w:div>
    <w:div w:id="199903306">
      <w:bodyDiv w:val="1"/>
      <w:marLeft w:val="0"/>
      <w:marRight w:val="0"/>
      <w:marTop w:val="0"/>
      <w:marBottom w:val="0"/>
      <w:divBdr>
        <w:top w:val="none" w:sz="0" w:space="0" w:color="auto"/>
        <w:left w:val="none" w:sz="0" w:space="0" w:color="auto"/>
        <w:bottom w:val="none" w:sz="0" w:space="0" w:color="auto"/>
        <w:right w:val="none" w:sz="0" w:space="0" w:color="auto"/>
      </w:divBdr>
    </w:div>
    <w:div w:id="208497783">
      <w:bodyDiv w:val="1"/>
      <w:marLeft w:val="0"/>
      <w:marRight w:val="0"/>
      <w:marTop w:val="0"/>
      <w:marBottom w:val="0"/>
      <w:divBdr>
        <w:top w:val="none" w:sz="0" w:space="0" w:color="auto"/>
        <w:left w:val="none" w:sz="0" w:space="0" w:color="auto"/>
        <w:bottom w:val="none" w:sz="0" w:space="0" w:color="auto"/>
        <w:right w:val="none" w:sz="0" w:space="0" w:color="auto"/>
      </w:divBdr>
    </w:div>
    <w:div w:id="209538805">
      <w:bodyDiv w:val="1"/>
      <w:marLeft w:val="0"/>
      <w:marRight w:val="0"/>
      <w:marTop w:val="0"/>
      <w:marBottom w:val="0"/>
      <w:divBdr>
        <w:top w:val="none" w:sz="0" w:space="0" w:color="auto"/>
        <w:left w:val="none" w:sz="0" w:space="0" w:color="auto"/>
        <w:bottom w:val="none" w:sz="0" w:space="0" w:color="auto"/>
        <w:right w:val="none" w:sz="0" w:space="0" w:color="auto"/>
      </w:divBdr>
    </w:div>
    <w:div w:id="212158465">
      <w:bodyDiv w:val="1"/>
      <w:marLeft w:val="0"/>
      <w:marRight w:val="0"/>
      <w:marTop w:val="0"/>
      <w:marBottom w:val="0"/>
      <w:divBdr>
        <w:top w:val="none" w:sz="0" w:space="0" w:color="auto"/>
        <w:left w:val="none" w:sz="0" w:space="0" w:color="auto"/>
        <w:bottom w:val="none" w:sz="0" w:space="0" w:color="auto"/>
        <w:right w:val="none" w:sz="0" w:space="0" w:color="auto"/>
      </w:divBdr>
    </w:div>
    <w:div w:id="213736702">
      <w:bodyDiv w:val="1"/>
      <w:marLeft w:val="0"/>
      <w:marRight w:val="0"/>
      <w:marTop w:val="0"/>
      <w:marBottom w:val="0"/>
      <w:divBdr>
        <w:top w:val="none" w:sz="0" w:space="0" w:color="auto"/>
        <w:left w:val="none" w:sz="0" w:space="0" w:color="auto"/>
        <w:bottom w:val="none" w:sz="0" w:space="0" w:color="auto"/>
        <w:right w:val="none" w:sz="0" w:space="0" w:color="auto"/>
      </w:divBdr>
    </w:div>
    <w:div w:id="214853412">
      <w:bodyDiv w:val="1"/>
      <w:marLeft w:val="0"/>
      <w:marRight w:val="0"/>
      <w:marTop w:val="0"/>
      <w:marBottom w:val="0"/>
      <w:divBdr>
        <w:top w:val="none" w:sz="0" w:space="0" w:color="auto"/>
        <w:left w:val="none" w:sz="0" w:space="0" w:color="auto"/>
        <w:bottom w:val="none" w:sz="0" w:space="0" w:color="auto"/>
        <w:right w:val="none" w:sz="0" w:space="0" w:color="auto"/>
      </w:divBdr>
    </w:div>
    <w:div w:id="216473251">
      <w:bodyDiv w:val="1"/>
      <w:marLeft w:val="0"/>
      <w:marRight w:val="0"/>
      <w:marTop w:val="0"/>
      <w:marBottom w:val="0"/>
      <w:divBdr>
        <w:top w:val="none" w:sz="0" w:space="0" w:color="auto"/>
        <w:left w:val="none" w:sz="0" w:space="0" w:color="auto"/>
        <w:bottom w:val="none" w:sz="0" w:space="0" w:color="auto"/>
        <w:right w:val="none" w:sz="0" w:space="0" w:color="auto"/>
      </w:divBdr>
    </w:div>
    <w:div w:id="216629184">
      <w:bodyDiv w:val="1"/>
      <w:marLeft w:val="0"/>
      <w:marRight w:val="0"/>
      <w:marTop w:val="0"/>
      <w:marBottom w:val="0"/>
      <w:divBdr>
        <w:top w:val="none" w:sz="0" w:space="0" w:color="auto"/>
        <w:left w:val="none" w:sz="0" w:space="0" w:color="auto"/>
        <w:bottom w:val="none" w:sz="0" w:space="0" w:color="auto"/>
        <w:right w:val="none" w:sz="0" w:space="0" w:color="auto"/>
      </w:divBdr>
    </w:div>
    <w:div w:id="217983478">
      <w:bodyDiv w:val="1"/>
      <w:marLeft w:val="0"/>
      <w:marRight w:val="0"/>
      <w:marTop w:val="0"/>
      <w:marBottom w:val="0"/>
      <w:divBdr>
        <w:top w:val="none" w:sz="0" w:space="0" w:color="auto"/>
        <w:left w:val="none" w:sz="0" w:space="0" w:color="auto"/>
        <w:bottom w:val="none" w:sz="0" w:space="0" w:color="auto"/>
        <w:right w:val="none" w:sz="0" w:space="0" w:color="auto"/>
      </w:divBdr>
    </w:div>
    <w:div w:id="218632924">
      <w:bodyDiv w:val="1"/>
      <w:marLeft w:val="0"/>
      <w:marRight w:val="0"/>
      <w:marTop w:val="0"/>
      <w:marBottom w:val="0"/>
      <w:divBdr>
        <w:top w:val="none" w:sz="0" w:space="0" w:color="auto"/>
        <w:left w:val="none" w:sz="0" w:space="0" w:color="auto"/>
        <w:bottom w:val="none" w:sz="0" w:space="0" w:color="auto"/>
        <w:right w:val="none" w:sz="0" w:space="0" w:color="auto"/>
      </w:divBdr>
    </w:div>
    <w:div w:id="227813185">
      <w:bodyDiv w:val="1"/>
      <w:marLeft w:val="0"/>
      <w:marRight w:val="0"/>
      <w:marTop w:val="0"/>
      <w:marBottom w:val="0"/>
      <w:divBdr>
        <w:top w:val="none" w:sz="0" w:space="0" w:color="auto"/>
        <w:left w:val="none" w:sz="0" w:space="0" w:color="auto"/>
        <w:bottom w:val="none" w:sz="0" w:space="0" w:color="auto"/>
        <w:right w:val="none" w:sz="0" w:space="0" w:color="auto"/>
      </w:divBdr>
    </w:div>
    <w:div w:id="227881433">
      <w:bodyDiv w:val="1"/>
      <w:marLeft w:val="0"/>
      <w:marRight w:val="0"/>
      <w:marTop w:val="0"/>
      <w:marBottom w:val="0"/>
      <w:divBdr>
        <w:top w:val="none" w:sz="0" w:space="0" w:color="auto"/>
        <w:left w:val="none" w:sz="0" w:space="0" w:color="auto"/>
        <w:bottom w:val="none" w:sz="0" w:space="0" w:color="auto"/>
        <w:right w:val="none" w:sz="0" w:space="0" w:color="auto"/>
      </w:divBdr>
    </w:div>
    <w:div w:id="228619694">
      <w:bodyDiv w:val="1"/>
      <w:marLeft w:val="0"/>
      <w:marRight w:val="0"/>
      <w:marTop w:val="0"/>
      <w:marBottom w:val="0"/>
      <w:divBdr>
        <w:top w:val="none" w:sz="0" w:space="0" w:color="auto"/>
        <w:left w:val="none" w:sz="0" w:space="0" w:color="auto"/>
        <w:bottom w:val="none" w:sz="0" w:space="0" w:color="auto"/>
        <w:right w:val="none" w:sz="0" w:space="0" w:color="auto"/>
      </w:divBdr>
    </w:div>
    <w:div w:id="231158839">
      <w:bodyDiv w:val="1"/>
      <w:marLeft w:val="0"/>
      <w:marRight w:val="0"/>
      <w:marTop w:val="0"/>
      <w:marBottom w:val="0"/>
      <w:divBdr>
        <w:top w:val="none" w:sz="0" w:space="0" w:color="auto"/>
        <w:left w:val="none" w:sz="0" w:space="0" w:color="auto"/>
        <w:bottom w:val="none" w:sz="0" w:space="0" w:color="auto"/>
        <w:right w:val="none" w:sz="0" w:space="0" w:color="auto"/>
      </w:divBdr>
    </w:div>
    <w:div w:id="237056499">
      <w:bodyDiv w:val="1"/>
      <w:marLeft w:val="0"/>
      <w:marRight w:val="0"/>
      <w:marTop w:val="0"/>
      <w:marBottom w:val="0"/>
      <w:divBdr>
        <w:top w:val="none" w:sz="0" w:space="0" w:color="auto"/>
        <w:left w:val="none" w:sz="0" w:space="0" w:color="auto"/>
        <w:bottom w:val="none" w:sz="0" w:space="0" w:color="auto"/>
        <w:right w:val="none" w:sz="0" w:space="0" w:color="auto"/>
      </w:divBdr>
    </w:div>
    <w:div w:id="237449175">
      <w:bodyDiv w:val="1"/>
      <w:marLeft w:val="0"/>
      <w:marRight w:val="0"/>
      <w:marTop w:val="0"/>
      <w:marBottom w:val="0"/>
      <w:divBdr>
        <w:top w:val="none" w:sz="0" w:space="0" w:color="auto"/>
        <w:left w:val="none" w:sz="0" w:space="0" w:color="auto"/>
        <w:bottom w:val="none" w:sz="0" w:space="0" w:color="auto"/>
        <w:right w:val="none" w:sz="0" w:space="0" w:color="auto"/>
      </w:divBdr>
    </w:div>
    <w:div w:id="242642011">
      <w:bodyDiv w:val="1"/>
      <w:marLeft w:val="0"/>
      <w:marRight w:val="0"/>
      <w:marTop w:val="0"/>
      <w:marBottom w:val="0"/>
      <w:divBdr>
        <w:top w:val="none" w:sz="0" w:space="0" w:color="auto"/>
        <w:left w:val="none" w:sz="0" w:space="0" w:color="auto"/>
        <w:bottom w:val="none" w:sz="0" w:space="0" w:color="auto"/>
        <w:right w:val="none" w:sz="0" w:space="0" w:color="auto"/>
      </w:divBdr>
    </w:div>
    <w:div w:id="243340842">
      <w:bodyDiv w:val="1"/>
      <w:marLeft w:val="0"/>
      <w:marRight w:val="0"/>
      <w:marTop w:val="0"/>
      <w:marBottom w:val="0"/>
      <w:divBdr>
        <w:top w:val="none" w:sz="0" w:space="0" w:color="auto"/>
        <w:left w:val="none" w:sz="0" w:space="0" w:color="auto"/>
        <w:bottom w:val="none" w:sz="0" w:space="0" w:color="auto"/>
        <w:right w:val="none" w:sz="0" w:space="0" w:color="auto"/>
      </w:divBdr>
    </w:div>
    <w:div w:id="245501949">
      <w:bodyDiv w:val="1"/>
      <w:marLeft w:val="0"/>
      <w:marRight w:val="0"/>
      <w:marTop w:val="0"/>
      <w:marBottom w:val="0"/>
      <w:divBdr>
        <w:top w:val="none" w:sz="0" w:space="0" w:color="auto"/>
        <w:left w:val="none" w:sz="0" w:space="0" w:color="auto"/>
        <w:bottom w:val="none" w:sz="0" w:space="0" w:color="auto"/>
        <w:right w:val="none" w:sz="0" w:space="0" w:color="auto"/>
      </w:divBdr>
    </w:div>
    <w:div w:id="247345653">
      <w:bodyDiv w:val="1"/>
      <w:marLeft w:val="0"/>
      <w:marRight w:val="0"/>
      <w:marTop w:val="0"/>
      <w:marBottom w:val="0"/>
      <w:divBdr>
        <w:top w:val="none" w:sz="0" w:space="0" w:color="auto"/>
        <w:left w:val="none" w:sz="0" w:space="0" w:color="auto"/>
        <w:bottom w:val="none" w:sz="0" w:space="0" w:color="auto"/>
        <w:right w:val="none" w:sz="0" w:space="0" w:color="auto"/>
      </w:divBdr>
    </w:div>
    <w:div w:id="248544446">
      <w:bodyDiv w:val="1"/>
      <w:marLeft w:val="0"/>
      <w:marRight w:val="0"/>
      <w:marTop w:val="0"/>
      <w:marBottom w:val="0"/>
      <w:divBdr>
        <w:top w:val="none" w:sz="0" w:space="0" w:color="auto"/>
        <w:left w:val="none" w:sz="0" w:space="0" w:color="auto"/>
        <w:bottom w:val="none" w:sz="0" w:space="0" w:color="auto"/>
        <w:right w:val="none" w:sz="0" w:space="0" w:color="auto"/>
      </w:divBdr>
    </w:div>
    <w:div w:id="254821740">
      <w:bodyDiv w:val="1"/>
      <w:marLeft w:val="0"/>
      <w:marRight w:val="0"/>
      <w:marTop w:val="0"/>
      <w:marBottom w:val="0"/>
      <w:divBdr>
        <w:top w:val="none" w:sz="0" w:space="0" w:color="auto"/>
        <w:left w:val="none" w:sz="0" w:space="0" w:color="auto"/>
        <w:bottom w:val="none" w:sz="0" w:space="0" w:color="auto"/>
        <w:right w:val="none" w:sz="0" w:space="0" w:color="auto"/>
      </w:divBdr>
    </w:div>
    <w:div w:id="261954332">
      <w:bodyDiv w:val="1"/>
      <w:marLeft w:val="0"/>
      <w:marRight w:val="0"/>
      <w:marTop w:val="0"/>
      <w:marBottom w:val="0"/>
      <w:divBdr>
        <w:top w:val="none" w:sz="0" w:space="0" w:color="auto"/>
        <w:left w:val="none" w:sz="0" w:space="0" w:color="auto"/>
        <w:bottom w:val="none" w:sz="0" w:space="0" w:color="auto"/>
        <w:right w:val="none" w:sz="0" w:space="0" w:color="auto"/>
      </w:divBdr>
    </w:div>
    <w:div w:id="264966584">
      <w:bodyDiv w:val="1"/>
      <w:marLeft w:val="0"/>
      <w:marRight w:val="0"/>
      <w:marTop w:val="0"/>
      <w:marBottom w:val="0"/>
      <w:divBdr>
        <w:top w:val="none" w:sz="0" w:space="0" w:color="auto"/>
        <w:left w:val="none" w:sz="0" w:space="0" w:color="auto"/>
        <w:bottom w:val="none" w:sz="0" w:space="0" w:color="auto"/>
        <w:right w:val="none" w:sz="0" w:space="0" w:color="auto"/>
      </w:divBdr>
    </w:div>
    <w:div w:id="270093803">
      <w:bodyDiv w:val="1"/>
      <w:marLeft w:val="0"/>
      <w:marRight w:val="0"/>
      <w:marTop w:val="0"/>
      <w:marBottom w:val="0"/>
      <w:divBdr>
        <w:top w:val="none" w:sz="0" w:space="0" w:color="auto"/>
        <w:left w:val="none" w:sz="0" w:space="0" w:color="auto"/>
        <w:bottom w:val="none" w:sz="0" w:space="0" w:color="auto"/>
        <w:right w:val="none" w:sz="0" w:space="0" w:color="auto"/>
      </w:divBdr>
    </w:div>
    <w:div w:id="271016476">
      <w:bodyDiv w:val="1"/>
      <w:marLeft w:val="0"/>
      <w:marRight w:val="0"/>
      <w:marTop w:val="0"/>
      <w:marBottom w:val="0"/>
      <w:divBdr>
        <w:top w:val="none" w:sz="0" w:space="0" w:color="auto"/>
        <w:left w:val="none" w:sz="0" w:space="0" w:color="auto"/>
        <w:bottom w:val="none" w:sz="0" w:space="0" w:color="auto"/>
        <w:right w:val="none" w:sz="0" w:space="0" w:color="auto"/>
      </w:divBdr>
    </w:div>
    <w:div w:id="276302935">
      <w:bodyDiv w:val="1"/>
      <w:marLeft w:val="0"/>
      <w:marRight w:val="0"/>
      <w:marTop w:val="0"/>
      <w:marBottom w:val="0"/>
      <w:divBdr>
        <w:top w:val="none" w:sz="0" w:space="0" w:color="auto"/>
        <w:left w:val="none" w:sz="0" w:space="0" w:color="auto"/>
        <w:bottom w:val="none" w:sz="0" w:space="0" w:color="auto"/>
        <w:right w:val="none" w:sz="0" w:space="0" w:color="auto"/>
      </w:divBdr>
    </w:div>
    <w:div w:id="280691939">
      <w:bodyDiv w:val="1"/>
      <w:marLeft w:val="0"/>
      <w:marRight w:val="0"/>
      <w:marTop w:val="0"/>
      <w:marBottom w:val="0"/>
      <w:divBdr>
        <w:top w:val="none" w:sz="0" w:space="0" w:color="auto"/>
        <w:left w:val="none" w:sz="0" w:space="0" w:color="auto"/>
        <w:bottom w:val="none" w:sz="0" w:space="0" w:color="auto"/>
        <w:right w:val="none" w:sz="0" w:space="0" w:color="auto"/>
      </w:divBdr>
    </w:div>
    <w:div w:id="284119422">
      <w:bodyDiv w:val="1"/>
      <w:marLeft w:val="0"/>
      <w:marRight w:val="0"/>
      <w:marTop w:val="0"/>
      <w:marBottom w:val="0"/>
      <w:divBdr>
        <w:top w:val="none" w:sz="0" w:space="0" w:color="auto"/>
        <w:left w:val="none" w:sz="0" w:space="0" w:color="auto"/>
        <w:bottom w:val="none" w:sz="0" w:space="0" w:color="auto"/>
        <w:right w:val="none" w:sz="0" w:space="0" w:color="auto"/>
      </w:divBdr>
    </w:div>
    <w:div w:id="286858390">
      <w:bodyDiv w:val="1"/>
      <w:marLeft w:val="0"/>
      <w:marRight w:val="0"/>
      <w:marTop w:val="0"/>
      <w:marBottom w:val="0"/>
      <w:divBdr>
        <w:top w:val="none" w:sz="0" w:space="0" w:color="auto"/>
        <w:left w:val="none" w:sz="0" w:space="0" w:color="auto"/>
        <w:bottom w:val="none" w:sz="0" w:space="0" w:color="auto"/>
        <w:right w:val="none" w:sz="0" w:space="0" w:color="auto"/>
      </w:divBdr>
    </w:div>
    <w:div w:id="287206269">
      <w:bodyDiv w:val="1"/>
      <w:marLeft w:val="0"/>
      <w:marRight w:val="0"/>
      <w:marTop w:val="0"/>
      <w:marBottom w:val="0"/>
      <w:divBdr>
        <w:top w:val="none" w:sz="0" w:space="0" w:color="auto"/>
        <w:left w:val="none" w:sz="0" w:space="0" w:color="auto"/>
        <w:bottom w:val="none" w:sz="0" w:space="0" w:color="auto"/>
        <w:right w:val="none" w:sz="0" w:space="0" w:color="auto"/>
      </w:divBdr>
    </w:div>
    <w:div w:id="290670355">
      <w:bodyDiv w:val="1"/>
      <w:marLeft w:val="0"/>
      <w:marRight w:val="0"/>
      <w:marTop w:val="0"/>
      <w:marBottom w:val="0"/>
      <w:divBdr>
        <w:top w:val="none" w:sz="0" w:space="0" w:color="auto"/>
        <w:left w:val="none" w:sz="0" w:space="0" w:color="auto"/>
        <w:bottom w:val="none" w:sz="0" w:space="0" w:color="auto"/>
        <w:right w:val="none" w:sz="0" w:space="0" w:color="auto"/>
      </w:divBdr>
    </w:div>
    <w:div w:id="291667389">
      <w:bodyDiv w:val="1"/>
      <w:marLeft w:val="0"/>
      <w:marRight w:val="0"/>
      <w:marTop w:val="0"/>
      <w:marBottom w:val="0"/>
      <w:divBdr>
        <w:top w:val="none" w:sz="0" w:space="0" w:color="auto"/>
        <w:left w:val="none" w:sz="0" w:space="0" w:color="auto"/>
        <w:bottom w:val="none" w:sz="0" w:space="0" w:color="auto"/>
        <w:right w:val="none" w:sz="0" w:space="0" w:color="auto"/>
      </w:divBdr>
    </w:div>
    <w:div w:id="294068051">
      <w:bodyDiv w:val="1"/>
      <w:marLeft w:val="0"/>
      <w:marRight w:val="0"/>
      <w:marTop w:val="0"/>
      <w:marBottom w:val="0"/>
      <w:divBdr>
        <w:top w:val="none" w:sz="0" w:space="0" w:color="auto"/>
        <w:left w:val="none" w:sz="0" w:space="0" w:color="auto"/>
        <w:bottom w:val="none" w:sz="0" w:space="0" w:color="auto"/>
        <w:right w:val="none" w:sz="0" w:space="0" w:color="auto"/>
      </w:divBdr>
    </w:div>
    <w:div w:id="305815346">
      <w:bodyDiv w:val="1"/>
      <w:marLeft w:val="0"/>
      <w:marRight w:val="0"/>
      <w:marTop w:val="0"/>
      <w:marBottom w:val="0"/>
      <w:divBdr>
        <w:top w:val="none" w:sz="0" w:space="0" w:color="auto"/>
        <w:left w:val="none" w:sz="0" w:space="0" w:color="auto"/>
        <w:bottom w:val="none" w:sz="0" w:space="0" w:color="auto"/>
        <w:right w:val="none" w:sz="0" w:space="0" w:color="auto"/>
      </w:divBdr>
      <w:divsChild>
        <w:div w:id="487477214">
          <w:marLeft w:val="0"/>
          <w:marRight w:val="0"/>
          <w:marTop w:val="0"/>
          <w:marBottom w:val="0"/>
          <w:divBdr>
            <w:top w:val="none" w:sz="0" w:space="0" w:color="auto"/>
            <w:left w:val="none" w:sz="0" w:space="0" w:color="auto"/>
            <w:bottom w:val="none" w:sz="0" w:space="0" w:color="auto"/>
            <w:right w:val="none" w:sz="0" w:space="0" w:color="auto"/>
          </w:divBdr>
          <w:divsChild>
            <w:div w:id="537933131">
              <w:marLeft w:val="0"/>
              <w:marRight w:val="0"/>
              <w:marTop w:val="0"/>
              <w:marBottom w:val="0"/>
              <w:divBdr>
                <w:top w:val="none" w:sz="0" w:space="0" w:color="auto"/>
                <w:left w:val="none" w:sz="0" w:space="0" w:color="auto"/>
                <w:bottom w:val="none" w:sz="0" w:space="0" w:color="auto"/>
                <w:right w:val="none" w:sz="0" w:space="0" w:color="auto"/>
              </w:divBdr>
              <w:divsChild>
                <w:div w:id="741606254">
                  <w:marLeft w:val="0"/>
                  <w:marRight w:val="0"/>
                  <w:marTop w:val="0"/>
                  <w:marBottom w:val="0"/>
                  <w:divBdr>
                    <w:top w:val="none" w:sz="0" w:space="0" w:color="auto"/>
                    <w:left w:val="none" w:sz="0" w:space="0" w:color="auto"/>
                    <w:bottom w:val="none" w:sz="0" w:space="0" w:color="auto"/>
                    <w:right w:val="none" w:sz="0" w:space="0" w:color="auto"/>
                  </w:divBdr>
                  <w:divsChild>
                    <w:div w:id="1773667212">
                      <w:marLeft w:val="0"/>
                      <w:marRight w:val="0"/>
                      <w:marTop w:val="0"/>
                      <w:marBottom w:val="0"/>
                      <w:divBdr>
                        <w:top w:val="none" w:sz="0" w:space="0" w:color="auto"/>
                        <w:left w:val="none" w:sz="0" w:space="0" w:color="auto"/>
                        <w:bottom w:val="none" w:sz="0" w:space="0" w:color="auto"/>
                        <w:right w:val="none" w:sz="0" w:space="0" w:color="auto"/>
                      </w:divBdr>
                      <w:divsChild>
                        <w:div w:id="361521578">
                          <w:marLeft w:val="0"/>
                          <w:marRight w:val="0"/>
                          <w:marTop w:val="0"/>
                          <w:marBottom w:val="0"/>
                          <w:divBdr>
                            <w:top w:val="none" w:sz="0" w:space="0" w:color="auto"/>
                            <w:left w:val="none" w:sz="0" w:space="0" w:color="auto"/>
                            <w:bottom w:val="none" w:sz="0" w:space="0" w:color="auto"/>
                            <w:right w:val="none" w:sz="0" w:space="0" w:color="auto"/>
                          </w:divBdr>
                          <w:divsChild>
                            <w:div w:id="1033189751">
                              <w:marLeft w:val="0"/>
                              <w:marRight w:val="0"/>
                              <w:marTop w:val="0"/>
                              <w:marBottom w:val="0"/>
                              <w:divBdr>
                                <w:top w:val="none" w:sz="0" w:space="0" w:color="auto"/>
                                <w:left w:val="none" w:sz="0" w:space="0" w:color="auto"/>
                                <w:bottom w:val="none" w:sz="0" w:space="0" w:color="auto"/>
                                <w:right w:val="none" w:sz="0" w:space="0" w:color="auto"/>
                              </w:divBdr>
                              <w:divsChild>
                                <w:div w:id="497187670">
                                  <w:marLeft w:val="0"/>
                                  <w:marRight w:val="0"/>
                                  <w:marTop w:val="0"/>
                                  <w:marBottom w:val="0"/>
                                  <w:divBdr>
                                    <w:top w:val="none" w:sz="0" w:space="0" w:color="auto"/>
                                    <w:left w:val="none" w:sz="0" w:space="0" w:color="auto"/>
                                    <w:bottom w:val="none" w:sz="0" w:space="0" w:color="auto"/>
                                    <w:right w:val="none" w:sz="0" w:space="0" w:color="auto"/>
                                  </w:divBdr>
                                  <w:divsChild>
                                    <w:div w:id="1129204281">
                                      <w:marLeft w:val="0"/>
                                      <w:marRight w:val="0"/>
                                      <w:marTop w:val="0"/>
                                      <w:marBottom w:val="0"/>
                                      <w:divBdr>
                                        <w:top w:val="none" w:sz="0" w:space="0" w:color="auto"/>
                                        <w:left w:val="none" w:sz="0" w:space="0" w:color="auto"/>
                                        <w:bottom w:val="none" w:sz="0" w:space="0" w:color="auto"/>
                                        <w:right w:val="none" w:sz="0" w:space="0" w:color="auto"/>
                                      </w:divBdr>
                                      <w:divsChild>
                                        <w:div w:id="2002152851">
                                          <w:marLeft w:val="0"/>
                                          <w:marRight w:val="0"/>
                                          <w:marTop w:val="0"/>
                                          <w:marBottom w:val="0"/>
                                          <w:divBdr>
                                            <w:top w:val="none" w:sz="0" w:space="0" w:color="auto"/>
                                            <w:left w:val="none" w:sz="0" w:space="0" w:color="auto"/>
                                            <w:bottom w:val="none" w:sz="0" w:space="0" w:color="auto"/>
                                            <w:right w:val="none" w:sz="0" w:space="0" w:color="auto"/>
                                          </w:divBdr>
                                          <w:divsChild>
                                            <w:div w:id="2011591127">
                                              <w:marLeft w:val="0"/>
                                              <w:marRight w:val="0"/>
                                              <w:marTop w:val="0"/>
                                              <w:marBottom w:val="0"/>
                                              <w:divBdr>
                                                <w:top w:val="single" w:sz="6" w:space="0" w:color="F5F5F5"/>
                                                <w:left w:val="single" w:sz="6" w:space="0" w:color="F5F5F5"/>
                                                <w:bottom w:val="single" w:sz="6" w:space="0" w:color="F5F5F5"/>
                                                <w:right w:val="single" w:sz="6" w:space="0" w:color="F5F5F5"/>
                                              </w:divBdr>
                                              <w:divsChild>
                                                <w:div w:id="1899702351">
                                                  <w:marLeft w:val="0"/>
                                                  <w:marRight w:val="0"/>
                                                  <w:marTop w:val="0"/>
                                                  <w:marBottom w:val="0"/>
                                                  <w:divBdr>
                                                    <w:top w:val="none" w:sz="0" w:space="0" w:color="auto"/>
                                                    <w:left w:val="none" w:sz="0" w:space="0" w:color="auto"/>
                                                    <w:bottom w:val="none" w:sz="0" w:space="0" w:color="auto"/>
                                                    <w:right w:val="none" w:sz="0" w:space="0" w:color="auto"/>
                                                  </w:divBdr>
                                                  <w:divsChild>
                                                    <w:div w:id="6667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860954">
      <w:bodyDiv w:val="1"/>
      <w:marLeft w:val="0"/>
      <w:marRight w:val="0"/>
      <w:marTop w:val="0"/>
      <w:marBottom w:val="0"/>
      <w:divBdr>
        <w:top w:val="none" w:sz="0" w:space="0" w:color="auto"/>
        <w:left w:val="none" w:sz="0" w:space="0" w:color="auto"/>
        <w:bottom w:val="none" w:sz="0" w:space="0" w:color="auto"/>
        <w:right w:val="none" w:sz="0" w:space="0" w:color="auto"/>
      </w:divBdr>
    </w:div>
    <w:div w:id="308439831">
      <w:bodyDiv w:val="1"/>
      <w:marLeft w:val="0"/>
      <w:marRight w:val="0"/>
      <w:marTop w:val="0"/>
      <w:marBottom w:val="0"/>
      <w:divBdr>
        <w:top w:val="none" w:sz="0" w:space="0" w:color="auto"/>
        <w:left w:val="none" w:sz="0" w:space="0" w:color="auto"/>
        <w:bottom w:val="none" w:sz="0" w:space="0" w:color="auto"/>
        <w:right w:val="none" w:sz="0" w:space="0" w:color="auto"/>
      </w:divBdr>
    </w:div>
    <w:div w:id="309135764">
      <w:bodyDiv w:val="1"/>
      <w:marLeft w:val="0"/>
      <w:marRight w:val="0"/>
      <w:marTop w:val="0"/>
      <w:marBottom w:val="0"/>
      <w:divBdr>
        <w:top w:val="none" w:sz="0" w:space="0" w:color="auto"/>
        <w:left w:val="none" w:sz="0" w:space="0" w:color="auto"/>
        <w:bottom w:val="none" w:sz="0" w:space="0" w:color="auto"/>
        <w:right w:val="none" w:sz="0" w:space="0" w:color="auto"/>
      </w:divBdr>
    </w:div>
    <w:div w:id="321590884">
      <w:bodyDiv w:val="1"/>
      <w:marLeft w:val="0"/>
      <w:marRight w:val="0"/>
      <w:marTop w:val="0"/>
      <w:marBottom w:val="0"/>
      <w:divBdr>
        <w:top w:val="none" w:sz="0" w:space="0" w:color="auto"/>
        <w:left w:val="none" w:sz="0" w:space="0" w:color="auto"/>
        <w:bottom w:val="none" w:sz="0" w:space="0" w:color="auto"/>
        <w:right w:val="none" w:sz="0" w:space="0" w:color="auto"/>
      </w:divBdr>
    </w:div>
    <w:div w:id="323242036">
      <w:bodyDiv w:val="1"/>
      <w:marLeft w:val="0"/>
      <w:marRight w:val="0"/>
      <w:marTop w:val="0"/>
      <w:marBottom w:val="0"/>
      <w:divBdr>
        <w:top w:val="none" w:sz="0" w:space="0" w:color="auto"/>
        <w:left w:val="none" w:sz="0" w:space="0" w:color="auto"/>
        <w:bottom w:val="none" w:sz="0" w:space="0" w:color="auto"/>
        <w:right w:val="none" w:sz="0" w:space="0" w:color="auto"/>
      </w:divBdr>
    </w:div>
    <w:div w:id="326325761">
      <w:bodyDiv w:val="1"/>
      <w:marLeft w:val="0"/>
      <w:marRight w:val="0"/>
      <w:marTop w:val="0"/>
      <w:marBottom w:val="0"/>
      <w:divBdr>
        <w:top w:val="none" w:sz="0" w:space="0" w:color="auto"/>
        <w:left w:val="none" w:sz="0" w:space="0" w:color="auto"/>
        <w:bottom w:val="none" w:sz="0" w:space="0" w:color="auto"/>
        <w:right w:val="none" w:sz="0" w:space="0" w:color="auto"/>
      </w:divBdr>
    </w:div>
    <w:div w:id="326635674">
      <w:bodyDiv w:val="1"/>
      <w:marLeft w:val="0"/>
      <w:marRight w:val="0"/>
      <w:marTop w:val="0"/>
      <w:marBottom w:val="0"/>
      <w:divBdr>
        <w:top w:val="none" w:sz="0" w:space="0" w:color="auto"/>
        <w:left w:val="none" w:sz="0" w:space="0" w:color="auto"/>
        <w:bottom w:val="none" w:sz="0" w:space="0" w:color="auto"/>
        <w:right w:val="none" w:sz="0" w:space="0" w:color="auto"/>
      </w:divBdr>
      <w:divsChild>
        <w:div w:id="935015578">
          <w:marLeft w:val="0"/>
          <w:marRight w:val="0"/>
          <w:marTop w:val="0"/>
          <w:marBottom w:val="0"/>
          <w:divBdr>
            <w:top w:val="none" w:sz="0" w:space="0" w:color="auto"/>
            <w:left w:val="none" w:sz="0" w:space="0" w:color="auto"/>
            <w:bottom w:val="none" w:sz="0" w:space="0" w:color="auto"/>
            <w:right w:val="none" w:sz="0" w:space="0" w:color="auto"/>
          </w:divBdr>
          <w:divsChild>
            <w:div w:id="2136017592">
              <w:marLeft w:val="0"/>
              <w:marRight w:val="0"/>
              <w:marTop w:val="0"/>
              <w:marBottom w:val="0"/>
              <w:divBdr>
                <w:top w:val="none" w:sz="0" w:space="0" w:color="auto"/>
                <w:left w:val="none" w:sz="0" w:space="0" w:color="auto"/>
                <w:bottom w:val="none" w:sz="0" w:space="0" w:color="auto"/>
                <w:right w:val="none" w:sz="0" w:space="0" w:color="auto"/>
              </w:divBdr>
              <w:divsChild>
                <w:div w:id="1604606225">
                  <w:marLeft w:val="0"/>
                  <w:marRight w:val="0"/>
                  <w:marTop w:val="0"/>
                  <w:marBottom w:val="0"/>
                  <w:divBdr>
                    <w:top w:val="none" w:sz="0" w:space="0" w:color="auto"/>
                    <w:left w:val="none" w:sz="0" w:space="0" w:color="auto"/>
                    <w:bottom w:val="none" w:sz="0" w:space="0" w:color="auto"/>
                    <w:right w:val="none" w:sz="0" w:space="0" w:color="auto"/>
                  </w:divBdr>
                  <w:divsChild>
                    <w:div w:id="1267494725">
                      <w:marLeft w:val="0"/>
                      <w:marRight w:val="0"/>
                      <w:marTop w:val="0"/>
                      <w:marBottom w:val="0"/>
                      <w:divBdr>
                        <w:top w:val="none" w:sz="0" w:space="0" w:color="auto"/>
                        <w:left w:val="none" w:sz="0" w:space="0" w:color="auto"/>
                        <w:bottom w:val="none" w:sz="0" w:space="0" w:color="auto"/>
                        <w:right w:val="none" w:sz="0" w:space="0" w:color="auto"/>
                      </w:divBdr>
                      <w:divsChild>
                        <w:div w:id="1813012378">
                          <w:marLeft w:val="0"/>
                          <w:marRight w:val="0"/>
                          <w:marTop w:val="0"/>
                          <w:marBottom w:val="0"/>
                          <w:divBdr>
                            <w:top w:val="none" w:sz="0" w:space="0" w:color="auto"/>
                            <w:left w:val="none" w:sz="0" w:space="0" w:color="auto"/>
                            <w:bottom w:val="none" w:sz="0" w:space="0" w:color="auto"/>
                            <w:right w:val="none" w:sz="0" w:space="0" w:color="auto"/>
                          </w:divBdr>
                          <w:divsChild>
                            <w:div w:id="1559902108">
                              <w:marLeft w:val="0"/>
                              <w:marRight w:val="0"/>
                              <w:marTop w:val="0"/>
                              <w:marBottom w:val="0"/>
                              <w:divBdr>
                                <w:top w:val="none" w:sz="0" w:space="0" w:color="auto"/>
                                <w:left w:val="none" w:sz="0" w:space="0" w:color="auto"/>
                                <w:bottom w:val="none" w:sz="0" w:space="0" w:color="auto"/>
                                <w:right w:val="none" w:sz="0" w:space="0" w:color="auto"/>
                              </w:divBdr>
                              <w:divsChild>
                                <w:div w:id="1269390935">
                                  <w:marLeft w:val="0"/>
                                  <w:marRight w:val="0"/>
                                  <w:marTop w:val="0"/>
                                  <w:marBottom w:val="0"/>
                                  <w:divBdr>
                                    <w:top w:val="none" w:sz="0" w:space="0" w:color="auto"/>
                                    <w:left w:val="none" w:sz="0" w:space="0" w:color="auto"/>
                                    <w:bottom w:val="none" w:sz="0" w:space="0" w:color="auto"/>
                                    <w:right w:val="none" w:sz="0" w:space="0" w:color="auto"/>
                                  </w:divBdr>
                                  <w:divsChild>
                                    <w:div w:id="1192692865">
                                      <w:marLeft w:val="0"/>
                                      <w:marRight w:val="0"/>
                                      <w:marTop w:val="0"/>
                                      <w:marBottom w:val="0"/>
                                      <w:divBdr>
                                        <w:top w:val="none" w:sz="0" w:space="0" w:color="auto"/>
                                        <w:left w:val="none" w:sz="0" w:space="0" w:color="auto"/>
                                        <w:bottom w:val="none" w:sz="0" w:space="0" w:color="auto"/>
                                        <w:right w:val="none" w:sz="0" w:space="0" w:color="auto"/>
                                      </w:divBdr>
                                      <w:divsChild>
                                        <w:div w:id="1579632944">
                                          <w:marLeft w:val="0"/>
                                          <w:marRight w:val="0"/>
                                          <w:marTop w:val="0"/>
                                          <w:marBottom w:val="0"/>
                                          <w:divBdr>
                                            <w:top w:val="none" w:sz="0" w:space="0" w:color="auto"/>
                                            <w:left w:val="none" w:sz="0" w:space="0" w:color="auto"/>
                                            <w:bottom w:val="none" w:sz="0" w:space="0" w:color="auto"/>
                                            <w:right w:val="none" w:sz="0" w:space="0" w:color="auto"/>
                                          </w:divBdr>
                                          <w:divsChild>
                                            <w:div w:id="1656496429">
                                              <w:marLeft w:val="0"/>
                                              <w:marRight w:val="0"/>
                                              <w:marTop w:val="0"/>
                                              <w:marBottom w:val="0"/>
                                              <w:divBdr>
                                                <w:top w:val="single" w:sz="6" w:space="0" w:color="F5F5F5"/>
                                                <w:left w:val="single" w:sz="6" w:space="0" w:color="F5F5F5"/>
                                                <w:bottom w:val="single" w:sz="6" w:space="0" w:color="F5F5F5"/>
                                                <w:right w:val="single" w:sz="6" w:space="0" w:color="F5F5F5"/>
                                              </w:divBdr>
                                              <w:divsChild>
                                                <w:div w:id="886142877">
                                                  <w:marLeft w:val="0"/>
                                                  <w:marRight w:val="0"/>
                                                  <w:marTop w:val="0"/>
                                                  <w:marBottom w:val="0"/>
                                                  <w:divBdr>
                                                    <w:top w:val="none" w:sz="0" w:space="0" w:color="auto"/>
                                                    <w:left w:val="none" w:sz="0" w:space="0" w:color="auto"/>
                                                    <w:bottom w:val="none" w:sz="0" w:space="0" w:color="auto"/>
                                                    <w:right w:val="none" w:sz="0" w:space="0" w:color="auto"/>
                                                  </w:divBdr>
                                                  <w:divsChild>
                                                    <w:div w:id="20952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9673">
      <w:bodyDiv w:val="1"/>
      <w:marLeft w:val="0"/>
      <w:marRight w:val="0"/>
      <w:marTop w:val="0"/>
      <w:marBottom w:val="0"/>
      <w:divBdr>
        <w:top w:val="none" w:sz="0" w:space="0" w:color="auto"/>
        <w:left w:val="none" w:sz="0" w:space="0" w:color="auto"/>
        <w:bottom w:val="none" w:sz="0" w:space="0" w:color="auto"/>
        <w:right w:val="none" w:sz="0" w:space="0" w:color="auto"/>
      </w:divBdr>
    </w:div>
    <w:div w:id="336345116">
      <w:bodyDiv w:val="1"/>
      <w:marLeft w:val="0"/>
      <w:marRight w:val="0"/>
      <w:marTop w:val="0"/>
      <w:marBottom w:val="0"/>
      <w:divBdr>
        <w:top w:val="none" w:sz="0" w:space="0" w:color="auto"/>
        <w:left w:val="none" w:sz="0" w:space="0" w:color="auto"/>
        <w:bottom w:val="none" w:sz="0" w:space="0" w:color="auto"/>
        <w:right w:val="none" w:sz="0" w:space="0" w:color="auto"/>
      </w:divBdr>
    </w:div>
    <w:div w:id="339429947">
      <w:bodyDiv w:val="1"/>
      <w:marLeft w:val="0"/>
      <w:marRight w:val="0"/>
      <w:marTop w:val="0"/>
      <w:marBottom w:val="0"/>
      <w:divBdr>
        <w:top w:val="none" w:sz="0" w:space="0" w:color="auto"/>
        <w:left w:val="none" w:sz="0" w:space="0" w:color="auto"/>
        <w:bottom w:val="none" w:sz="0" w:space="0" w:color="auto"/>
        <w:right w:val="none" w:sz="0" w:space="0" w:color="auto"/>
      </w:divBdr>
    </w:div>
    <w:div w:id="345642966">
      <w:bodyDiv w:val="1"/>
      <w:marLeft w:val="0"/>
      <w:marRight w:val="0"/>
      <w:marTop w:val="0"/>
      <w:marBottom w:val="0"/>
      <w:divBdr>
        <w:top w:val="none" w:sz="0" w:space="0" w:color="auto"/>
        <w:left w:val="none" w:sz="0" w:space="0" w:color="auto"/>
        <w:bottom w:val="none" w:sz="0" w:space="0" w:color="auto"/>
        <w:right w:val="none" w:sz="0" w:space="0" w:color="auto"/>
      </w:divBdr>
    </w:div>
    <w:div w:id="346173430">
      <w:bodyDiv w:val="1"/>
      <w:marLeft w:val="0"/>
      <w:marRight w:val="0"/>
      <w:marTop w:val="0"/>
      <w:marBottom w:val="0"/>
      <w:divBdr>
        <w:top w:val="none" w:sz="0" w:space="0" w:color="auto"/>
        <w:left w:val="none" w:sz="0" w:space="0" w:color="auto"/>
        <w:bottom w:val="none" w:sz="0" w:space="0" w:color="auto"/>
        <w:right w:val="none" w:sz="0" w:space="0" w:color="auto"/>
      </w:divBdr>
    </w:div>
    <w:div w:id="346949687">
      <w:bodyDiv w:val="1"/>
      <w:marLeft w:val="0"/>
      <w:marRight w:val="0"/>
      <w:marTop w:val="0"/>
      <w:marBottom w:val="0"/>
      <w:divBdr>
        <w:top w:val="none" w:sz="0" w:space="0" w:color="auto"/>
        <w:left w:val="none" w:sz="0" w:space="0" w:color="auto"/>
        <w:bottom w:val="none" w:sz="0" w:space="0" w:color="auto"/>
        <w:right w:val="none" w:sz="0" w:space="0" w:color="auto"/>
      </w:divBdr>
    </w:div>
    <w:div w:id="352001877">
      <w:bodyDiv w:val="1"/>
      <w:marLeft w:val="0"/>
      <w:marRight w:val="0"/>
      <w:marTop w:val="0"/>
      <w:marBottom w:val="0"/>
      <w:divBdr>
        <w:top w:val="none" w:sz="0" w:space="0" w:color="auto"/>
        <w:left w:val="none" w:sz="0" w:space="0" w:color="auto"/>
        <w:bottom w:val="none" w:sz="0" w:space="0" w:color="auto"/>
        <w:right w:val="none" w:sz="0" w:space="0" w:color="auto"/>
      </w:divBdr>
    </w:div>
    <w:div w:id="355152901">
      <w:bodyDiv w:val="1"/>
      <w:marLeft w:val="0"/>
      <w:marRight w:val="0"/>
      <w:marTop w:val="0"/>
      <w:marBottom w:val="0"/>
      <w:divBdr>
        <w:top w:val="none" w:sz="0" w:space="0" w:color="auto"/>
        <w:left w:val="none" w:sz="0" w:space="0" w:color="auto"/>
        <w:bottom w:val="none" w:sz="0" w:space="0" w:color="auto"/>
        <w:right w:val="none" w:sz="0" w:space="0" w:color="auto"/>
      </w:divBdr>
    </w:div>
    <w:div w:id="359278256">
      <w:bodyDiv w:val="1"/>
      <w:marLeft w:val="0"/>
      <w:marRight w:val="0"/>
      <w:marTop w:val="0"/>
      <w:marBottom w:val="0"/>
      <w:divBdr>
        <w:top w:val="none" w:sz="0" w:space="0" w:color="auto"/>
        <w:left w:val="none" w:sz="0" w:space="0" w:color="auto"/>
        <w:bottom w:val="none" w:sz="0" w:space="0" w:color="auto"/>
        <w:right w:val="none" w:sz="0" w:space="0" w:color="auto"/>
      </w:divBdr>
    </w:div>
    <w:div w:id="362562275">
      <w:bodyDiv w:val="1"/>
      <w:marLeft w:val="0"/>
      <w:marRight w:val="0"/>
      <w:marTop w:val="0"/>
      <w:marBottom w:val="0"/>
      <w:divBdr>
        <w:top w:val="none" w:sz="0" w:space="0" w:color="auto"/>
        <w:left w:val="none" w:sz="0" w:space="0" w:color="auto"/>
        <w:bottom w:val="none" w:sz="0" w:space="0" w:color="auto"/>
        <w:right w:val="none" w:sz="0" w:space="0" w:color="auto"/>
      </w:divBdr>
    </w:div>
    <w:div w:id="369889339">
      <w:bodyDiv w:val="1"/>
      <w:marLeft w:val="0"/>
      <w:marRight w:val="0"/>
      <w:marTop w:val="0"/>
      <w:marBottom w:val="0"/>
      <w:divBdr>
        <w:top w:val="none" w:sz="0" w:space="0" w:color="auto"/>
        <w:left w:val="none" w:sz="0" w:space="0" w:color="auto"/>
        <w:bottom w:val="none" w:sz="0" w:space="0" w:color="auto"/>
        <w:right w:val="none" w:sz="0" w:space="0" w:color="auto"/>
      </w:divBdr>
    </w:div>
    <w:div w:id="369914000">
      <w:bodyDiv w:val="1"/>
      <w:marLeft w:val="0"/>
      <w:marRight w:val="0"/>
      <w:marTop w:val="0"/>
      <w:marBottom w:val="0"/>
      <w:divBdr>
        <w:top w:val="none" w:sz="0" w:space="0" w:color="auto"/>
        <w:left w:val="none" w:sz="0" w:space="0" w:color="auto"/>
        <w:bottom w:val="none" w:sz="0" w:space="0" w:color="auto"/>
        <w:right w:val="none" w:sz="0" w:space="0" w:color="auto"/>
      </w:divBdr>
    </w:div>
    <w:div w:id="375159504">
      <w:bodyDiv w:val="1"/>
      <w:marLeft w:val="0"/>
      <w:marRight w:val="0"/>
      <w:marTop w:val="0"/>
      <w:marBottom w:val="0"/>
      <w:divBdr>
        <w:top w:val="none" w:sz="0" w:space="0" w:color="auto"/>
        <w:left w:val="none" w:sz="0" w:space="0" w:color="auto"/>
        <w:bottom w:val="none" w:sz="0" w:space="0" w:color="auto"/>
        <w:right w:val="none" w:sz="0" w:space="0" w:color="auto"/>
      </w:divBdr>
    </w:div>
    <w:div w:id="377707602">
      <w:bodyDiv w:val="1"/>
      <w:marLeft w:val="0"/>
      <w:marRight w:val="0"/>
      <w:marTop w:val="0"/>
      <w:marBottom w:val="0"/>
      <w:divBdr>
        <w:top w:val="none" w:sz="0" w:space="0" w:color="auto"/>
        <w:left w:val="none" w:sz="0" w:space="0" w:color="auto"/>
        <w:bottom w:val="none" w:sz="0" w:space="0" w:color="auto"/>
        <w:right w:val="none" w:sz="0" w:space="0" w:color="auto"/>
      </w:divBdr>
    </w:div>
    <w:div w:id="382019664">
      <w:bodyDiv w:val="1"/>
      <w:marLeft w:val="0"/>
      <w:marRight w:val="0"/>
      <w:marTop w:val="0"/>
      <w:marBottom w:val="0"/>
      <w:divBdr>
        <w:top w:val="none" w:sz="0" w:space="0" w:color="auto"/>
        <w:left w:val="none" w:sz="0" w:space="0" w:color="auto"/>
        <w:bottom w:val="none" w:sz="0" w:space="0" w:color="auto"/>
        <w:right w:val="none" w:sz="0" w:space="0" w:color="auto"/>
      </w:divBdr>
    </w:div>
    <w:div w:id="384253520">
      <w:bodyDiv w:val="1"/>
      <w:marLeft w:val="0"/>
      <w:marRight w:val="0"/>
      <w:marTop w:val="0"/>
      <w:marBottom w:val="0"/>
      <w:divBdr>
        <w:top w:val="none" w:sz="0" w:space="0" w:color="auto"/>
        <w:left w:val="none" w:sz="0" w:space="0" w:color="auto"/>
        <w:bottom w:val="none" w:sz="0" w:space="0" w:color="auto"/>
        <w:right w:val="none" w:sz="0" w:space="0" w:color="auto"/>
      </w:divBdr>
    </w:div>
    <w:div w:id="385839280">
      <w:bodyDiv w:val="1"/>
      <w:marLeft w:val="0"/>
      <w:marRight w:val="0"/>
      <w:marTop w:val="0"/>
      <w:marBottom w:val="0"/>
      <w:divBdr>
        <w:top w:val="none" w:sz="0" w:space="0" w:color="auto"/>
        <w:left w:val="none" w:sz="0" w:space="0" w:color="auto"/>
        <w:bottom w:val="none" w:sz="0" w:space="0" w:color="auto"/>
        <w:right w:val="none" w:sz="0" w:space="0" w:color="auto"/>
      </w:divBdr>
    </w:div>
    <w:div w:id="387270855">
      <w:bodyDiv w:val="1"/>
      <w:marLeft w:val="0"/>
      <w:marRight w:val="0"/>
      <w:marTop w:val="0"/>
      <w:marBottom w:val="0"/>
      <w:divBdr>
        <w:top w:val="none" w:sz="0" w:space="0" w:color="auto"/>
        <w:left w:val="none" w:sz="0" w:space="0" w:color="auto"/>
        <w:bottom w:val="none" w:sz="0" w:space="0" w:color="auto"/>
        <w:right w:val="none" w:sz="0" w:space="0" w:color="auto"/>
      </w:divBdr>
    </w:div>
    <w:div w:id="394469718">
      <w:bodyDiv w:val="1"/>
      <w:marLeft w:val="0"/>
      <w:marRight w:val="0"/>
      <w:marTop w:val="0"/>
      <w:marBottom w:val="0"/>
      <w:divBdr>
        <w:top w:val="none" w:sz="0" w:space="0" w:color="auto"/>
        <w:left w:val="none" w:sz="0" w:space="0" w:color="auto"/>
        <w:bottom w:val="none" w:sz="0" w:space="0" w:color="auto"/>
        <w:right w:val="none" w:sz="0" w:space="0" w:color="auto"/>
      </w:divBdr>
    </w:div>
    <w:div w:id="405610262">
      <w:bodyDiv w:val="1"/>
      <w:marLeft w:val="0"/>
      <w:marRight w:val="0"/>
      <w:marTop w:val="0"/>
      <w:marBottom w:val="0"/>
      <w:divBdr>
        <w:top w:val="none" w:sz="0" w:space="0" w:color="auto"/>
        <w:left w:val="none" w:sz="0" w:space="0" w:color="auto"/>
        <w:bottom w:val="none" w:sz="0" w:space="0" w:color="auto"/>
        <w:right w:val="none" w:sz="0" w:space="0" w:color="auto"/>
      </w:divBdr>
    </w:div>
    <w:div w:id="409350171">
      <w:bodyDiv w:val="1"/>
      <w:marLeft w:val="0"/>
      <w:marRight w:val="0"/>
      <w:marTop w:val="0"/>
      <w:marBottom w:val="0"/>
      <w:divBdr>
        <w:top w:val="none" w:sz="0" w:space="0" w:color="auto"/>
        <w:left w:val="none" w:sz="0" w:space="0" w:color="auto"/>
        <w:bottom w:val="none" w:sz="0" w:space="0" w:color="auto"/>
        <w:right w:val="none" w:sz="0" w:space="0" w:color="auto"/>
      </w:divBdr>
    </w:div>
    <w:div w:id="410278742">
      <w:bodyDiv w:val="1"/>
      <w:marLeft w:val="0"/>
      <w:marRight w:val="0"/>
      <w:marTop w:val="0"/>
      <w:marBottom w:val="0"/>
      <w:divBdr>
        <w:top w:val="none" w:sz="0" w:space="0" w:color="auto"/>
        <w:left w:val="none" w:sz="0" w:space="0" w:color="auto"/>
        <w:bottom w:val="none" w:sz="0" w:space="0" w:color="auto"/>
        <w:right w:val="none" w:sz="0" w:space="0" w:color="auto"/>
      </w:divBdr>
    </w:div>
    <w:div w:id="420757016">
      <w:bodyDiv w:val="1"/>
      <w:marLeft w:val="0"/>
      <w:marRight w:val="0"/>
      <w:marTop w:val="0"/>
      <w:marBottom w:val="0"/>
      <w:divBdr>
        <w:top w:val="none" w:sz="0" w:space="0" w:color="auto"/>
        <w:left w:val="none" w:sz="0" w:space="0" w:color="auto"/>
        <w:bottom w:val="none" w:sz="0" w:space="0" w:color="auto"/>
        <w:right w:val="none" w:sz="0" w:space="0" w:color="auto"/>
      </w:divBdr>
    </w:div>
    <w:div w:id="422267877">
      <w:bodyDiv w:val="1"/>
      <w:marLeft w:val="0"/>
      <w:marRight w:val="0"/>
      <w:marTop w:val="0"/>
      <w:marBottom w:val="0"/>
      <w:divBdr>
        <w:top w:val="none" w:sz="0" w:space="0" w:color="auto"/>
        <w:left w:val="none" w:sz="0" w:space="0" w:color="auto"/>
        <w:bottom w:val="none" w:sz="0" w:space="0" w:color="auto"/>
        <w:right w:val="none" w:sz="0" w:space="0" w:color="auto"/>
      </w:divBdr>
    </w:div>
    <w:div w:id="422998515">
      <w:bodyDiv w:val="1"/>
      <w:marLeft w:val="0"/>
      <w:marRight w:val="0"/>
      <w:marTop w:val="0"/>
      <w:marBottom w:val="0"/>
      <w:divBdr>
        <w:top w:val="none" w:sz="0" w:space="0" w:color="auto"/>
        <w:left w:val="none" w:sz="0" w:space="0" w:color="auto"/>
        <w:bottom w:val="none" w:sz="0" w:space="0" w:color="auto"/>
        <w:right w:val="none" w:sz="0" w:space="0" w:color="auto"/>
      </w:divBdr>
    </w:div>
    <w:div w:id="428352465">
      <w:bodyDiv w:val="1"/>
      <w:marLeft w:val="0"/>
      <w:marRight w:val="0"/>
      <w:marTop w:val="0"/>
      <w:marBottom w:val="0"/>
      <w:divBdr>
        <w:top w:val="none" w:sz="0" w:space="0" w:color="auto"/>
        <w:left w:val="none" w:sz="0" w:space="0" w:color="auto"/>
        <w:bottom w:val="none" w:sz="0" w:space="0" w:color="auto"/>
        <w:right w:val="none" w:sz="0" w:space="0" w:color="auto"/>
      </w:divBdr>
    </w:div>
    <w:div w:id="433669419">
      <w:bodyDiv w:val="1"/>
      <w:marLeft w:val="0"/>
      <w:marRight w:val="0"/>
      <w:marTop w:val="0"/>
      <w:marBottom w:val="0"/>
      <w:divBdr>
        <w:top w:val="none" w:sz="0" w:space="0" w:color="auto"/>
        <w:left w:val="none" w:sz="0" w:space="0" w:color="auto"/>
        <w:bottom w:val="none" w:sz="0" w:space="0" w:color="auto"/>
        <w:right w:val="none" w:sz="0" w:space="0" w:color="auto"/>
      </w:divBdr>
    </w:div>
    <w:div w:id="436800232">
      <w:bodyDiv w:val="1"/>
      <w:marLeft w:val="0"/>
      <w:marRight w:val="0"/>
      <w:marTop w:val="0"/>
      <w:marBottom w:val="0"/>
      <w:divBdr>
        <w:top w:val="none" w:sz="0" w:space="0" w:color="auto"/>
        <w:left w:val="none" w:sz="0" w:space="0" w:color="auto"/>
        <w:bottom w:val="none" w:sz="0" w:space="0" w:color="auto"/>
        <w:right w:val="none" w:sz="0" w:space="0" w:color="auto"/>
      </w:divBdr>
    </w:div>
    <w:div w:id="443116698">
      <w:bodyDiv w:val="1"/>
      <w:marLeft w:val="0"/>
      <w:marRight w:val="0"/>
      <w:marTop w:val="0"/>
      <w:marBottom w:val="0"/>
      <w:divBdr>
        <w:top w:val="none" w:sz="0" w:space="0" w:color="auto"/>
        <w:left w:val="none" w:sz="0" w:space="0" w:color="auto"/>
        <w:bottom w:val="none" w:sz="0" w:space="0" w:color="auto"/>
        <w:right w:val="none" w:sz="0" w:space="0" w:color="auto"/>
      </w:divBdr>
    </w:div>
    <w:div w:id="444350909">
      <w:bodyDiv w:val="1"/>
      <w:marLeft w:val="0"/>
      <w:marRight w:val="0"/>
      <w:marTop w:val="0"/>
      <w:marBottom w:val="0"/>
      <w:divBdr>
        <w:top w:val="none" w:sz="0" w:space="0" w:color="auto"/>
        <w:left w:val="none" w:sz="0" w:space="0" w:color="auto"/>
        <w:bottom w:val="none" w:sz="0" w:space="0" w:color="auto"/>
        <w:right w:val="none" w:sz="0" w:space="0" w:color="auto"/>
      </w:divBdr>
    </w:div>
    <w:div w:id="448158625">
      <w:bodyDiv w:val="1"/>
      <w:marLeft w:val="0"/>
      <w:marRight w:val="0"/>
      <w:marTop w:val="0"/>
      <w:marBottom w:val="0"/>
      <w:divBdr>
        <w:top w:val="none" w:sz="0" w:space="0" w:color="auto"/>
        <w:left w:val="none" w:sz="0" w:space="0" w:color="auto"/>
        <w:bottom w:val="none" w:sz="0" w:space="0" w:color="auto"/>
        <w:right w:val="none" w:sz="0" w:space="0" w:color="auto"/>
      </w:divBdr>
    </w:div>
    <w:div w:id="448162889">
      <w:bodyDiv w:val="1"/>
      <w:marLeft w:val="0"/>
      <w:marRight w:val="0"/>
      <w:marTop w:val="0"/>
      <w:marBottom w:val="0"/>
      <w:divBdr>
        <w:top w:val="none" w:sz="0" w:space="0" w:color="auto"/>
        <w:left w:val="none" w:sz="0" w:space="0" w:color="auto"/>
        <w:bottom w:val="none" w:sz="0" w:space="0" w:color="auto"/>
        <w:right w:val="none" w:sz="0" w:space="0" w:color="auto"/>
      </w:divBdr>
    </w:div>
    <w:div w:id="448282180">
      <w:bodyDiv w:val="1"/>
      <w:marLeft w:val="0"/>
      <w:marRight w:val="0"/>
      <w:marTop w:val="0"/>
      <w:marBottom w:val="0"/>
      <w:divBdr>
        <w:top w:val="none" w:sz="0" w:space="0" w:color="auto"/>
        <w:left w:val="none" w:sz="0" w:space="0" w:color="auto"/>
        <w:bottom w:val="none" w:sz="0" w:space="0" w:color="auto"/>
        <w:right w:val="none" w:sz="0" w:space="0" w:color="auto"/>
      </w:divBdr>
    </w:div>
    <w:div w:id="449398382">
      <w:bodyDiv w:val="1"/>
      <w:marLeft w:val="0"/>
      <w:marRight w:val="0"/>
      <w:marTop w:val="0"/>
      <w:marBottom w:val="0"/>
      <w:divBdr>
        <w:top w:val="none" w:sz="0" w:space="0" w:color="auto"/>
        <w:left w:val="none" w:sz="0" w:space="0" w:color="auto"/>
        <w:bottom w:val="none" w:sz="0" w:space="0" w:color="auto"/>
        <w:right w:val="none" w:sz="0" w:space="0" w:color="auto"/>
      </w:divBdr>
    </w:div>
    <w:div w:id="449935144">
      <w:bodyDiv w:val="1"/>
      <w:marLeft w:val="0"/>
      <w:marRight w:val="0"/>
      <w:marTop w:val="0"/>
      <w:marBottom w:val="0"/>
      <w:divBdr>
        <w:top w:val="none" w:sz="0" w:space="0" w:color="auto"/>
        <w:left w:val="none" w:sz="0" w:space="0" w:color="auto"/>
        <w:bottom w:val="none" w:sz="0" w:space="0" w:color="auto"/>
        <w:right w:val="none" w:sz="0" w:space="0" w:color="auto"/>
      </w:divBdr>
    </w:div>
    <w:div w:id="450706981">
      <w:bodyDiv w:val="1"/>
      <w:marLeft w:val="0"/>
      <w:marRight w:val="0"/>
      <w:marTop w:val="0"/>
      <w:marBottom w:val="0"/>
      <w:divBdr>
        <w:top w:val="none" w:sz="0" w:space="0" w:color="auto"/>
        <w:left w:val="none" w:sz="0" w:space="0" w:color="auto"/>
        <w:bottom w:val="none" w:sz="0" w:space="0" w:color="auto"/>
        <w:right w:val="none" w:sz="0" w:space="0" w:color="auto"/>
      </w:divBdr>
    </w:div>
    <w:div w:id="453015392">
      <w:bodyDiv w:val="1"/>
      <w:marLeft w:val="0"/>
      <w:marRight w:val="0"/>
      <w:marTop w:val="0"/>
      <w:marBottom w:val="0"/>
      <w:divBdr>
        <w:top w:val="none" w:sz="0" w:space="0" w:color="auto"/>
        <w:left w:val="none" w:sz="0" w:space="0" w:color="auto"/>
        <w:bottom w:val="none" w:sz="0" w:space="0" w:color="auto"/>
        <w:right w:val="none" w:sz="0" w:space="0" w:color="auto"/>
      </w:divBdr>
    </w:div>
    <w:div w:id="462887499">
      <w:bodyDiv w:val="1"/>
      <w:marLeft w:val="0"/>
      <w:marRight w:val="0"/>
      <w:marTop w:val="0"/>
      <w:marBottom w:val="0"/>
      <w:divBdr>
        <w:top w:val="none" w:sz="0" w:space="0" w:color="auto"/>
        <w:left w:val="none" w:sz="0" w:space="0" w:color="auto"/>
        <w:bottom w:val="none" w:sz="0" w:space="0" w:color="auto"/>
        <w:right w:val="none" w:sz="0" w:space="0" w:color="auto"/>
      </w:divBdr>
    </w:div>
    <w:div w:id="463961350">
      <w:bodyDiv w:val="1"/>
      <w:marLeft w:val="0"/>
      <w:marRight w:val="0"/>
      <w:marTop w:val="0"/>
      <w:marBottom w:val="0"/>
      <w:divBdr>
        <w:top w:val="none" w:sz="0" w:space="0" w:color="auto"/>
        <w:left w:val="none" w:sz="0" w:space="0" w:color="auto"/>
        <w:bottom w:val="none" w:sz="0" w:space="0" w:color="auto"/>
        <w:right w:val="none" w:sz="0" w:space="0" w:color="auto"/>
      </w:divBdr>
    </w:div>
    <w:div w:id="468783200">
      <w:bodyDiv w:val="1"/>
      <w:marLeft w:val="0"/>
      <w:marRight w:val="0"/>
      <w:marTop w:val="0"/>
      <w:marBottom w:val="0"/>
      <w:divBdr>
        <w:top w:val="none" w:sz="0" w:space="0" w:color="auto"/>
        <w:left w:val="none" w:sz="0" w:space="0" w:color="auto"/>
        <w:bottom w:val="none" w:sz="0" w:space="0" w:color="auto"/>
        <w:right w:val="none" w:sz="0" w:space="0" w:color="auto"/>
      </w:divBdr>
    </w:div>
    <w:div w:id="477767972">
      <w:bodyDiv w:val="1"/>
      <w:marLeft w:val="0"/>
      <w:marRight w:val="0"/>
      <w:marTop w:val="0"/>
      <w:marBottom w:val="0"/>
      <w:divBdr>
        <w:top w:val="none" w:sz="0" w:space="0" w:color="auto"/>
        <w:left w:val="none" w:sz="0" w:space="0" w:color="auto"/>
        <w:bottom w:val="none" w:sz="0" w:space="0" w:color="auto"/>
        <w:right w:val="none" w:sz="0" w:space="0" w:color="auto"/>
      </w:divBdr>
    </w:div>
    <w:div w:id="479658894">
      <w:bodyDiv w:val="1"/>
      <w:marLeft w:val="0"/>
      <w:marRight w:val="0"/>
      <w:marTop w:val="0"/>
      <w:marBottom w:val="0"/>
      <w:divBdr>
        <w:top w:val="none" w:sz="0" w:space="0" w:color="auto"/>
        <w:left w:val="none" w:sz="0" w:space="0" w:color="auto"/>
        <w:bottom w:val="none" w:sz="0" w:space="0" w:color="auto"/>
        <w:right w:val="none" w:sz="0" w:space="0" w:color="auto"/>
      </w:divBdr>
    </w:div>
    <w:div w:id="479734883">
      <w:bodyDiv w:val="1"/>
      <w:marLeft w:val="0"/>
      <w:marRight w:val="0"/>
      <w:marTop w:val="0"/>
      <w:marBottom w:val="0"/>
      <w:divBdr>
        <w:top w:val="none" w:sz="0" w:space="0" w:color="auto"/>
        <w:left w:val="none" w:sz="0" w:space="0" w:color="auto"/>
        <w:bottom w:val="none" w:sz="0" w:space="0" w:color="auto"/>
        <w:right w:val="none" w:sz="0" w:space="0" w:color="auto"/>
      </w:divBdr>
      <w:divsChild>
        <w:div w:id="1040594201">
          <w:marLeft w:val="0"/>
          <w:marRight w:val="0"/>
          <w:marTop w:val="0"/>
          <w:marBottom w:val="0"/>
          <w:divBdr>
            <w:top w:val="none" w:sz="0" w:space="0" w:color="auto"/>
            <w:left w:val="none" w:sz="0" w:space="0" w:color="auto"/>
            <w:bottom w:val="none" w:sz="0" w:space="0" w:color="auto"/>
            <w:right w:val="none" w:sz="0" w:space="0" w:color="auto"/>
          </w:divBdr>
          <w:divsChild>
            <w:div w:id="1650859729">
              <w:marLeft w:val="0"/>
              <w:marRight w:val="0"/>
              <w:marTop w:val="0"/>
              <w:marBottom w:val="0"/>
              <w:divBdr>
                <w:top w:val="none" w:sz="0" w:space="0" w:color="auto"/>
                <w:left w:val="none" w:sz="0" w:space="0" w:color="auto"/>
                <w:bottom w:val="none" w:sz="0" w:space="0" w:color="auto"/>
                <w:right w:val="none" w:sz="0" w:space="0" w:color="auto"/>
              </w:divBdr>
              <w:divsChild>
                <w:div w:id="1250965987">
                  <w:marLeft w:val="0"/>
                  <w:marRight w:val="0"/>
                  <w:marTop w:val="0"/>
                  <w:marBottom w:val="0"/>
                  <w:divBdr>
                    <w:top w:val="none" w:sz="0" w:space="0" w:color="auto"/>
                    <w:left w:val="none" w:sz="0" w:space="0" w:color="auto"/>
                    <w:bottom w:val="none" w:sz="0" w:space="0" w:color="auto"/>
                    <w:right w:val="none" w:sz="0" w:space="0" w:color="auto"/>
                  </w:divBdr>
                  <w:divsChild>
                    <w:div w:id="78447208">
                      <w:marLeft w:val="0"/>
                      <w:marRight w:val="0"/>
                      <w:marTop w:val="0"/>
                      <w:marBottom w:val="0"/>
                      <w:divBdr>
                        <w:top w:val="none" w:sz="0" w:space="0" w:color="auto"/>
                        <w:left w:val="none" w:sz="0" w:space="0" w:color="auto"/>
                        <w:bottom w:val="none" w:sz="0" w:space="0" w:color="auto"/>
                        <w:right w:val="none" w:sz="0" w:space="0" w:color="auto"/>
                      </w:divBdr>
                      <w:divsChild>
                        <w:div w:id="334722600">
                          <w:marLeft w:val="0"/>
                          <w:marRight w:val="0"/>
                          <w:marTop w:val="0"/>
                          <w:marBottom w:val="0"/>
                          <w:divBdr>
                            <w:top w:val="none" w:sz="0" w:space="0" w:color="auto"/>
                            <w:left w:val="none" w:sz="0" w:space="0" w:color="auto"/>
                            <w:bottom w:val="none" w:sz="0" w:space="0" w:color="auto"/>
                            <w:right w:val="none" w:sz="0" w:space="0" w:color="auto"/>
                          </w:divBdr>
                          <w:divsChild>
                            <w:div w:id="92554736">
                              <w:marLeft w:val="0"/>
                              <w:marRight w:val="0"/>
                              <w:marTop w:val="0"/>
                              <w:marBottom w:val="0"/>
                              <w:divBdr>
                                <w:top w:val="none" w:sz="0" w:space="0" w:color="auto"/>
                                <w:left w:val="none" w:sz="0" w:space="0" w:color="auto"/>
                                <w:bottom w:val="none" w:sz="0" w:space="0" w:color="auto"/>
                                <w:right w:val="none" w:sz="0" w:space="0" w:color="auto"/>
                              </w:divBdr>
                              <w:divsChild>
                                <w:div w:id="1712529647">
                                  <w:marLeft w:val="0"/>
                                  <w:marRight w:val="0"/>
                                  <w:marTop w:val="0"/>
                                  <w:marBottom w:val="0"/>
                                  <w:divBdr>
                                    <w:top w:val="none" w:sz="0" w:space="0" w:color="auto"/>
                                    <w:left w:val="none" w:sz="0" w:space="0" w:color="auto"/>
                                    <w:bottom w:val="none" w:sz="0" w:space="0" w:color="auto"/>
                                    <w:right w:val="none" w:sz="0" w:space="0" w:color="auto"/>
                                  </w:divBdr>
                                  <w:divsChild>
                                    <w:div w:id="25373111">
                                      <w:marLeft w:val="0"/>
                                      <w:marRight w:val="0"/>
                                      <w:marTop w:val="0"/>
                                      <w:marBottom w:val="0"/>
                                      <w:divBdr>
                                        <w:top w:val="none" w:sz="0" w:space="0" w:color="auto"/>
                                        <w:left w:val="none" w:sz="0" w:space="0" w:color="auto"/>
                                        <w:bottom w:val="none" w:sz="0" w:space="0" w:color="auto"/>
                                        <w:right w:val="none" w:sz="0" w:space="0" w:color="auto"/>
                                      </w:divBdr>
                                      <w:divsChild>
                                        <w:div w:id="1042826655">
                                          <w:marLeft w:val="0"/>
                                          <w:marRight w:val="0"/>
                                          <w:marTop w:val="0"/>
                                          <w:marBottom w:val="0"/>
                                          <w:divBdr>
                                            <w:top w:val="none" w:sz="0" w:space="0" w:color="auto"/>
                                            <w:left w:val="none" w:sz="0" w:space="0" w:color="auto"/>
                                            <w:bottom w:val="none" w:sz="0" w:space="0" w:color="auto"/>
                                            <w:right w:val="none" w:sz="0" w:space="0" w:color="auto"/>
                                          </w:divBdr>
                                          <w:divsChild>
                                            <w:div w:id="2101221055">
                                              <w:marLeft w:val="0"/>
                                              <w:marRight w:val="0"/>
                                              <w:marTop w:val="0"/>
                                              <w:marBottom w:val="0"/>
                                              <w:divBdr>
                                                <w:top w:val="single" w:sz="6" w:space="0" w:color="F5F5F5"/>
                                                <w:left w:val="single" w:sz="6" w:space="0" w:color="F5F5F5"/>
                                                <w:bottom w:val="single" w:sz="6" w:space="0" w:color="F5F5F5"/>
                                                <w:right w:val="single" w:sz="6" w:space="0" w:color="F5F5F5"/>
                                              </w:divBdr>
                                              <w:divsChild>
                                                <w:div w:id="1903904669">
                                                  <w:marLeft w:val="0"/>
                                                  <w:marRight w:val="0"/>
                                                  <w:marTop w:val="0"/>
                                                  <w:marBottom w:val="0"/>
                                                  <w:divBdr>
                                                    <w:top w:val="none" w:sz="0" w:space="0" w:color="auto"/>
                                                    <w:left w:val="none" w:sz="0" w:space="0" w:color="auto"/>
                                                    <w:bottom w:val="none" w:sz="0" w:space="0" w:color="auto"/>
                                                    <w:right w:val="none" w:sz="0" w:space="0" w:color="auto"/>
                                                  </w:divBdr>
                                                  <w:divsChild>
                                                    <w:div w:id="17767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464098">
      <w:bodyDiv w:val="1"/>
      <w:marLeft w:val="0"/>
      <w:marRight w:val="0"/>
      <w:marTop w:val="0"/>
      <w:marBottom w:val="0"/>
      <w:divBdr>
        <w:top w:val="none" w:sz="0" w:space="0" w:color="auto"/>
        <w:left w:val="none" w:sz="0" w:space="0" w:color="auto"/>
        <w:bottom w:val="none" w:sz="0" w:space="0" w:color="auto"/>
        <w:right w:val="none" w:sz="0" w:space="0" w:color="auto"/>
      </w:divBdr>
    </w:div>
    <w:div w:id="481965514">
      <w:bodyDiv w:val="1"/>
      <w:marLeft w:val="0"/>
      <w:marRight w:val="0"/>
      <w:marTop w:val="0"/>
      <w:marBottom w:val="0"/>
      <w:divBdr>
        <w:top w:val="none" w:sz="0" w:space="0" w:color="auto"/>
        <w:left w:val="none" w:sz="0" w:space="0" w:color="auto"/>
        <w:bottom w:val="none" w:sz="0" w:space="0" w:color="auto"/>
        <w:right w:val="none" w:sz="0" w:space="0" w:color="auto"/>
      </w:divBdr>
    </w:div>
    <w:div w:id="485511667">
      <w:bodyDiv w:val="1"/>
      <w:marLeft w:val="0"/>
      <w:marRight w:val="0"/>
      <w:marTop w:val="0"/>
      <w:marBottom w:val="0"/>
      <w:divBdr>
        <w:top w:val="none" w:sz="0" w:space="0" w:color="auto"/>
        <w:left w:val="none" w:sz="0" w:space="0" w:color="auto"/>
        <w:bottom w:val="none" w:sz="0" w:space="0" w:color="auto"/>
        <w:right w:val="none" w:sz="0" w:space="0" w:color="auto"/>
      </w:divBdr>
      <w:divsChild>
        <w:div w:id="1528105021">
          <w:marLeft w:val="0"/>
          <w:marRight w:val="0"/>
          <w:marTop w:val="0"/>
          <w:marBottom w:val="0"/>
          <w:divBdr>
            <w:top w:val="none" w:sz="0" w:space="0" w:color="auto"/>
            <w:left w:val="none" w:sz="0" w:space="0" w:color="auto"/>
            <w:bottom w:val="none" w:sz="0" w:space="0" w:color="auto"/>
            <w:right w:val="none" w:sz="0" w:space="0" w:color="auto"/>
          </w:divBdr>
          <w:divsChild>
            <w:div w:id="788596005">
              <w:marLeft w:val="0"/>
              <w:marRight w:val="0"/>
              <w:marTop w:val="0"/>
              <w:marBottom w:val="0"/>
              <w:divBdr>
                <w:top w:val="none" w:sz="0" w:space="0" w:color="auto"/>
                <w:left w:val="none" w:sz="0" w:space="0" w:color="auto"/>
                <w:bottom w:val="none" w:sz="0" w:space="0" w:color="auto"/>
                <w:right w:val="none" w:sz="0" w:space="0" w:color="auto"/>
              </w:divBdr>
              <w:divsChild>
                <w:div w:id="108353373">
                  <w:marLeft w:val="0"/>
                  <w:marRight w:val="0"/>
                  <w:marTop w:val="0"/>
                  <w:marBottom w:val="0"/>
                  <w:divBdr>
                    <w:top w:val="none" w:sz="0" w:space="0" w:color="auto"/>
                    <w:left w:val="none" w:sz="0" w:space="0" w:color="auto"/>
                    <w:bottom w:val="none" w:sz="0" w:space="0" w:color="auto"/>
                    <w:right w:val="none" w:sz="0" w:space="0" w:color="auto"/>
                  </w:divBdr>
                  <w:divsChild>
                    <w:div w:id="207425751">
                      <w:marLeft w:val="0"/>
                      <w:marRight w:val="0"/>
                      <w:marTop w:val="0"/>
                      <w:marBottom w:val="0"/>
                      <w:divBdr>
                        <w:top w:val="none" w:sz="0" w:space="0" w:color="auto"/>
                        <w:left w:val="none" w:sz="0" w:space="0" w:color="auto"/>
                        <w:bottom w:val="none" w:sz="0" w:space="0" w:color="auto"/>
                        <w:right w:val="none" w:sz="0" w:space="0" w:color="auto"/>
                      </w:divBdr>
                      <w:divsChild>
                        <w:div w:id="1638148533">
                          <w:marLeft w:val="0"/>
                          <w:marRight w:val="0"/>
                          <w:marTop w:val="0"/>
                          <w:marBottom w:val="0"/>
                          <w:divBdr>
                            <w:top w:val="none" w:sz="0" w:space="0" w:color="auto"/>
                            <w:left w:val="none" w:sz="0" w:space="0" w:color="auto"/>
                            <w:bottom w:val="none" w:sz="0" w:space="0" w:color="auto"/>
                            <w:right w:val="none" w:sz="0" w:space="0" w:color="auto"/>
                          </w:divBdr>
                          <w:divsChild>
                            <w:div w:id="352997571">
                              <w:marLeft w:val="0"/>
                              <w:marRight w:val="0"/>
                              <w:marTop w:val="0"/>
                              <w:marBottom w:val="0"/>
                              <w:divBdr>
                                <w:top w:val="none" w:sz="0" w:space="0" w:color="auto"/>
                                <w:left w:val="none" w:sz="0" w:space="0" w:color="auto"/>
                                <w:bottom w:val="none" w:sz="0" w:space="0" w:color="auto"/>
                                <w:right w:val="none" w:sz="0" w:space="0" w:color="auto"/>
                              </w:divBdr>
                              <w:divsChild>
                                <w:div w:id="1617370798">
                                  <w:marLeft w:val="0"/>
                                  <w:marRight w:val="0"/>
                                  <w:marTop w:val="0"/>
                                  <w:marBottom w:val="0"/>
                                  <w:divBdr>
                                    <w:top w:val="none" w:sz="0" w:space="0" w:color="auto"/>
                                    <w:left w:val="none" w:sz="0" w:space="0" w:color="auto"/>
                                    <w:bottom w:val="none" w:sz="0" w:space="0" w:color="auto"/>
                                    <w:right w:val="none" w:sz="0" w:space="0" w:color="auto"/>
                                  </w:divBdr>
                                  <w:divsChild>
                                    <w:div w:id="857233797">
                                      <w:marLeft w:val="0"/>
                                      <w:marRight w:val="0"/>
                                      <w:marTop w:val="0"/>
                                      <w:marBottom w:val="0"/>
                                      <w:divBdr>
                                        <w:top w:val="none" w:sz="0" w:space="0" w:color="auto"/>
                                        <w:left w:val="none" w:sz="0" w:space="0" w:color="auto"/>
                                        <w:bottom w:val="none" w:sz="0" w:space="0" w:color="auto"/>
                                        <w:right w:val="none" w:sz="0" w:space="0" w:color="auto"/>
                                      </w:divBdr>
                                      <w:divsChild>
                                        <w:div w:id="499273958">
                                          <w:marLeft w:val="0"/>
                                          <w:marRight w:val="0"/>
                                          <w:marTop w:val="0"/>
                                          <w:marBottom w:val="0"/>
                                          <w:divBdr>
                                            <w:top w:val="none" w:sz="0" w:space="0" w:color="auto"/>
                                            <w:left w:val="none" w:sz="0" w:space="0" w:color="auto"/>
                                            <w:bottom w:val="none" w:sz="0" w:space="0" w:color="auto"/>
                                            <w:right w:val="none" w:sz="0" w:space="0" w:color="auto"/>
                                          </w:divBdr>
                                          <w:divsChild>
                                            <w:div w:id="152456218">
                                              <w:marLeft w:val="0"/>
                                              <w:marRight w:val="0"/>
                                              <w:marTop w:val="0"/>
                                              <w:marBottom w:val="0"/>
                                              <w:divBdr>
                                                <w:top w:val="single" w:sz="6" w:space="0" w:color="F5F5F5"/>
                                                <w:left w:val="single" w:sz="6" w:space="0" w:color="F5F5F5"/>
                                                <w:bottom w:val="single" w:sz="6" w:space="0" w:color="F5F5F5"/>
                                                <w:right w:val="single" w:sz="6" w:space="0" w:color="F5F5F5"/>
                                              </w:divBdr>
                                              <w:divsChild>
                                                <w:div w:id="365058071">
                                                  <w:marLeft w:val="0"/>
                                                  <w:marRight w:val="0"/>
                                                  <w:marTop w:val="0"/>
                                                  <w:marBottom w:val="0"/>
                                                  <w:divBdr>
                                                    <w:top w:val="none" w:sz="0" w:space="0" w:color="auto"/>
                                                    <w:left w:val="none" w:sz="0" w:space="0" w:color="auto"/>
                                                    <w:bottom w:val="none" w:sz="0" w:space="0" w:color="auto"/>
                                                    <w:right w:val="none" w:sz="0" w:space="0" w:color="auto"/>
                                                  </w:divBdr>
                                                  <w:divsChild>
                                                    <w:div w:id="4530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895432">
      <w:bodyDiv w:val="1"/>
      <w:marLeft w:val="0"/>
      <w:marRight w:val="0"/>
      <w:marTop w:val="0"/>
      <w:marBottom w:val="0"/>
      <w:divBdr>
        <w:top w:val="none" w:sz="0" w:space="0" w:color="auto"/>
        <w:left w:val="none" w:sz="0" w:space="0" w:color="auto"/>
        <w:bottom w:val="none" w:sz="0" w:space="0" w:color="auto"/>
        <w:right w:val="none" w:sz="0" w:space="0" w:color="auto"/>
      </w:divBdr>
    </w:div>
    <w:div w:id="489953431">
      <w:bodyDiv w:val="1"/>
      <w:marLeft w:val="0"/>
      <w:marRight w:val="0"/>
      <w:marTop w:val="0"/>
      <w:marBottom w:val="0"/>
      <w:divBdr>
        <w:top w:val="none" w:sz="0" w:space="0" w:color="auto"/>
        <w:left w:val="none" w:sz="0" w:space="0" w:color="auto"/>
        <w:bottom w:val="none" w:sz="0" w:space="0" w:color="auto"/>
        <w:right w:val="none" w:sz="0" w:space="0" w:color="auto"/>
      </w:divBdr>
    </w:div>
    <w:div w:id="491920331">
      <w:bodyDiv w:val="1"/>
      <w:marLeft w:val="0"/>
      <w:marRight w:val="0"/>
      <w:marTop w:val="0"/>
      <w:marBottom w:val="0"/>
      <w:divBdr>
        <w:top w:val="none" w:sz="0" w:space="0" w:color="auto"/>
        <w:left w:val="none" w:sz="0" w:space="0" w:color="auto"/>
        <w:bottom w:val="none" w:sz="0" w:space="0" w:color="auto"/>
        <w:right w:val="none" w:sz="0" w:space="0" w:color="auto"/>
      </w:divBdr>
    </w:div>
    <w:div w:id="492263238">
      <w:bodyDiv w:val="1"/>
      <w:marLeft w:val="0"/>
      <w:marRight w:val="0"/>
      <w:marTop w:val="0"/>
      <w:marBottom w:val="0"/>
      <w:divBdr>
        <w:top w:val="none" w:sz="0" w:space="0" w:color="auto"/>
        <w:left w:val="none" w:sz="0" w:space="0" w:color="auto"/>
        <w:bottom w:val="none" w:sz="0" w:space="0" w:color="auto"/>
        <w:right w:val="none" w:sz="0" w:space="0" w:color="auto"/>
      </w:divBdr>
    </w:div>
    <w:div w:id="492766752">
      <w:bodyDiv w:val="1"/>
      <w:marLeft w:val="0"/>
      <w:marRight w:val="0"/>
      <w:marTop w:val="0"/>
      <w:marBottom w:val="0"/>
      <w:divBdr>
        <w:top w:val="none" w:sz="0" w:space="0" w:color="auto"/>
        <w:left w:val="none" w:sz="0" w:space="0" w:color="auto"/>
        <w:bottom w:val="none" w:sz="0" w:space="0" w:color="auto"/>
        <w:right w:val="none" w:sz="0" w:space="0" w:color="auto"/>
      </w:divBdr>
    </w:div>
    <w:div w:id="499589081">
      <w:bodyDiv w:val="1"/>
      <w:marLeft w:val="0"/>
      <w:marRight w:val="0"/>
      <w:marTop w:val="0"/>
      <w:marBottom w:val="0"/>
      <w:divBdr>
        <w:top w:val="none" w:sz="0" w:space="0" w:color="auto"/>
        <w:left w:val="none" w:sz="0" w:space="0" w:color="auto"/>
        <w:bottom w:val="none" w:sz="0" w:space="0" w:color="auto"/>
        <w:right w:val="none" w:sz="0" w:space="0" w:color="auto"/>
      </w:divBdr>
    </w:div>
    <w:div w:id="502018261">
      <w:bodyDiv w:val="1"/>
      <w:marLeft w:val="0"/>
      <w:marRight w:val="0"/>
      <w:marTop w:val="0"/>
      <w:marBottom w:val="0"/>
      <w:divBdr>
        <w:top w:val="none" w:sz="0" w:space="0" w:color="auto"/>
        <w:left w:val="none" w:sz="0" w:space="0" w:color="auto"/>
        <w:bottom w:val="none" w:sz="0" w:space="0" w:color="auto"/>
        <w:right w:val="none" w:sz="0" w:space="0" w:color="auto"/>
      </w:divBdr>
    </w:div>
    <w:div w:id="505050089">
      <w:bodyDiv w:val="1"/>
      <w:marLeft w:val="0"/>
      <w:marRight w:val="0"/>
      <w:marTop w:val="0"/>
      <w:marBottom w:val="0"/>
      <w:divBdr>
        <w:top w:val="none" w:sz="0" w:space="0" w:color="auto"/>
        <w:left w:val="none" w:sz="0" w:space="0" w:color="auto"/>
        <w:bottom w:val="none" w:sz="0" w:space="0" w:color="auto"/>
        <w:right w:val="none" w:sz="0" w:space="0" w:color="auto"/>
      </w:divBdr>
    </w:div>
    <w:div w:id="506019821">
      <w:bodyDiv w:val="1"/>
      <w:marLeft w:val="0"/>
      <w:marRight w:val="0"/>
      <w:marTop w:val="0"/>
      <w:marBottom w:val="0"/>
      <w:divBdr>
        <w:top w:val="none" w:sz="0" w:space="0" w:color="auto"/>
        <w:left w:val="none" w:sz="0" w:space="0" w:color="auto"/>
        <w:bottom w:val="none" w:sz="0" w:space="0" w:color="auto"/>
        <w:right w:val="none" w:sz="0" w:space="0" w:color="auto"/>
      </w:divBdr>
    </w:div>
    <w:div w:id="511339986">
      <w:bodyDiv w:val="1"/>
      <w:marLeft w:val="0"/>
      <w:marRight w:val="0"/>
      <w:marTop w:val="0"/>
      <w:marBottom w:val="0"/>
      <w:divBdr>
        <w:top w:val="none" w:sz="0" w:space="0" w:color="auto"/>
        <w:left w:val="none" w:sz="0" w:space="0" w:color="auto"/>
        <w:bottom w:val="none" w:sz="0" w:space="0" w:color="auto"/>
        <w:right w:val="none" w:sz="0" w:space="0" w:color="auto"/>
      </w:divBdr>
    </w:div>
    <w:div w:id="513544480">
      <w:bodyDiv w:val="1"/>
      <w:marLeft w:val="0"/>
      <w:marRight w:val="0"/>
      <w:marTop w:val="0"/>
      <w:marBottom w:val="0"/>
      <w:divBdr>
        <w:top w:val="none" w:sz="0" w:space="0" w:color="auto"/>
        <w:left w:val="none" w:sz="0" w:space="0" w:color="auto"/>
        <w:bottom w:val="none" w:sz="0" w:space="0" w:color="auto"/>
        <w:right w:val="none" w:sz="0" w:space="0" w:color="auto"/>
      </w:divBdr>
    </w:div>
    <w:div w:id="516966011">
      <w:bodyDiv w:val="1"/>
      <w:marLeft w:val="0"/>
      <w:marRight w:val="0"/>
      <w:marTop w:val="0"/>
      <w:marBottom w:val="0"/>
      <w:divBdr>
        <w:top w:val="none" w:sz="0" w:space="0" w:color="auto"/>
        <w:left w:val="none" w:sz="0" w:space="0" w:color="auto"/>
        <w:bottom w:val="none" w:sz="0" w:space="0" w:color="auto"/>
        <w:right w:val="none" w:sz="0" w:space="0" w:color="auto"/>
      </w:divBdr>
    </w:div>
    <w:div w:id="519200862">
      <w:bodyDiv w:val="1"/>
      <w:marLeft w:val="0"/>
      <w:marRight w:val="0"/>
      <w:marTop w:val="0"/>
      <w:marBottom w:val="0"/>
      <w:divBdr>
        <w:top w:val="none" w:sz="0" w:space="0" w:color="auto"/>
        <w:left w:val="none" w:sz="0" w:space="0" w:color="auto"/>
        <w:bottom w:val="none" w:sz="0" w:space="0" w:color="auto"/>
        <w:right w:val="none" w:sz="0" w:space="0" w:color="auto"/>
      </w:divBdr>
    </w:div>
    <w:div w:id="524487420">
      <w:bodyDiv w:val="1"/>
      <w:marLeft w:val="0"/>
      <w:marRight w:val="0"/>
      <w:marTop w:val="0"/>
      <w:marBottom w:val="0"/>
      <w:divBdr>
        <w:top w:val="none" w:sz="0" w:space="0" w:color="auto"/>
        <w:left w:val="none" w:sz="0" w:space="0" w:color="auto"/>
        <w:bottom w:val="none" w:sz="0" w:space="0" w:color="auto"/>
        <w:right w:val="none" w:sz="0" w:space="0" w:color="auto"/>
      </w:divBdr>
    </w:div>
    <w:div w:id="526024122">
      <w:bodyDiv w:val="1"/>
      <w:marLeft w:val="0"/>
      <w:marRight w:val="0"/>
      <w:marTop w:val="0"/>
      <w:marBottom w:val="0"/>
      <w:divBdr>
        <w:top w:val="none" w:sz="0" w:space="0" w:color="auto"/>
        <w:left w:val="none" w:sz="0" w:space="0" w:color="auto"/>
        <w:bottom w:val="none" w:sz="0" w:space="0" w:color="auto"/>
        <w:right w:val="none" w:sz="0" w:space="0" w:color="auto"/>
      </w:divBdr>
    </w:div>
    <w:div w:id="528687927">
      <w:bodyDiv w:val="1"/>
      <w:marLeft w:val="0"/>
      <w:marRight w:val="0"/>
      <w:marTop w:val="0"/>
      <w:marBottom w:val="0"/>
      <w:divBdr>
        <w:top w:val="none" w:sz="0" w:space="0" w:color="auto"/>
        <w:left w:val="none" w:sz="0" w:space="0" w:color="auto"/>
        <w:bottom w:val="none" w:sz="0" w:space="0" w:color="auto"/>
        <w:right w:val="none" w:sz="0" w:space="0" w:color="auto"/>
      </w:divBdr>
    </w:div>
    <w:div w:id="544290315">
      <w:bodyDiv w:val="1"/>
      <w:marLeft w:val="0"/>
      <w:marRight w:val="0"/>
      <w:marTop w:val="0"/>
      <w:marBottom w:val="0"/>
      <w:divBdr>
        <w:top w:val="none" w:sz="0" w:space="0" w:color="auto"/>
        <w:left w:val="none" w:sz="0" w:space="0" w:color="auto"/>
        <w:bottom w:val="none" w:sz="0" w:space="0" w:color="auto"/>
        <w:right w:val="none" w:sz="0" w:space="0" w:color="auto"/>
      </w:divBdr>
    </w:div>
    <w:div w:id="545068104">
      <w:bodyDiv w:val="1"/>
      <w:marLeft w:val="0"/>
      <w:marRight w:val="0"/>
      <w:marTop w:val="0"/>
      <w:marBottom w:val="0"/>
      <w:divBdr>
        <w:top w:val="none" w:sz="0" w:space="0" w:color="auto"/>
        <w:left w:val="none" w:sz="0" w:space="0" w:color="auto"/>
        <w:bottom w:val="none" w:sz="0" w:space="0" w:color="auto"/>
        <w:right w:val="none" w:sz="0" w:space="0" w:color="auto"/>
      </w:divBdr>
    </w:div>
    <w:div w:id="547765582">
      <w:bodyDiv w:val="1"/>
      <w:marLeft w:val="0"/>
      <w:marRight w:val="0"/>
      <w:marTop w:val="0"/>
      <w:marBottom w:val="0"/>
      <w:divBdr>
        <w:top w:val="none" w:sz="0" w:space="0" w:color="auto"/>
        <w:left w:val="none" w:sz="0" w:space="0" w:color="auto"/>
        <w:bottom w:val="none" w:sz="0" w:space="0" w:color="auto"/>
        <w:right w:val="none" w:sz="0" w:space="0" w:color="auto"/>
      </w:divBdr>
    </w:div>
    <w:div w:id="549390689">
      <w:bodyDiv w:val="1"/>
      <w:marLeft w:val="0"/>
      <w:marRight w:val="0"/>
      <w:marTop w:val="0"/>
      <w:marBottom w:val="0"/>
      <w:divBdr>
        <w:top w:val="none" w:sz="0" w:space="0" w:color="auto"/>
        <w:left w:val="none" w:sz="0" w:space="0" w:color="auto"/>
        <w:bottom w:val="none" w:sz="0" w:space="0" w:color="auto"/>
        <w:right w:val="none" w:sz="0" w:space="0" w:color="auto"/>
      </w:divBdr>
    </w:div>
    <w:div w:id="549995312">
      <w:bodyDiv w:val="1"/>
      <w:marLeft w:val="0"/>
      <w:marRight w:val="0"/>
      <w:marTop w:val="0"/>
      <w:marBottom w:val="0"/>
      <w:divBdr>
        <w:top w:val="none" w:sz="0" w:space="0" w:color="auto"/>
        <w:left w:val="none" w:sz="0" w:space="0" w:color="auto"/>
        <w:bottom w:val="none" w:sz="0" w:space="0" w:color="auto"/>
        <w:right w:val="none" w:sz="0" w:space="0" w:color="auto"/>
      </w:divBdr>
    </w:div>
    <w:div w:id="558172292">
      <w:bodyDiv w:val="1"/>
      <w:marLeft w:val="0"/>
      <w:marRight w:val="0"/>
      <w:marTop w:val="0"/>
      <w:marBottom w:val="0"/>
      <w:divBdr>
        <w:top w:val="none" w:sz="0" w:space="0" w:color="auto"/>
        <w:left w:val="none" w:sz="0" w:space="0" w:color="auto"/>
        <w:bottom w:val="none" w:sz="0" w:space="0" w:color="auto"/>
        <w:right w:val="none" w:sz="0" w:space="0" w:color="auto"/>
      </w:divBdr>
    </w:div>
    <w:div w:id="560291874">
      <w:bodyDiv w:val="1"/>
      <w:marLeft w:val="0"/>
      <w:marRight w:val="0"/>
      <w:marTop w:val="0"/>
      <w:marBottom w:val="0"/>
      <w:divBdr>
        <w:top w:val="none" w:sz="0" w:space="0" w:color="auto"/>
        <w:left w:val="none" w:sz="0" w:space="0" w:color="auto"/>
        <w:bottom w:val="none" w:sz="0" w:space="0" w:color="auto"/>
        <w:right w:val="none" w:sz="0" w:space="0" w:color="auto"/>
      </w:divBdr>
    </w:div>
    <w:div w:id="565454770">
      <w:bodyDiv w:val="1"/>
      <w:marLeft w:val="0"/>
      <w:marRight w:val="0"/>
      <w:marTop w:val="0"/>
      <w:marBottom w:val="0"/>
      <w:divBdr>
        <w:top w:val="none" w:sz="0" w:space="0" w:color="auto"/>
        <w:left w:val="none" w:sz="0" w:space="0" w:color="auto"/>
        <w:bottom w:val="none" w:sz="0" w:space="0" w:color="auto"/>
        <w:right w:val="none" w:sz="0" w:space="0" w:color="auto"/>
      </w:divBdr>
    </w:div>
    <w:div w:id="571740042">
      <w:bodyDiv w:val="1"/>
      <w:marLeft w:val="0"/>
      <w:marRight w:val="0"/>
      <w:marTop w:val="0"/>
      <w:marBottom w:val="0"/>
      <w:divBdr>
        <w:top w:val="none" w:sz="0" w:space="0" w:color="auto"/>
        <w:left w:val="none" w:sz="0" w:space="0" w:color="auto"/>
        <w:bottom w:val="none" w:sz="0" w:space="0" w:color="auto"/>
        <w:right w:val="none" w:sz="0" w:space="0" w:color="auto"/>
      </w:divBdr>
    </w:div>
    <w:div w:id="576980454">
      <w:bodyDiv w:val="1"/>
      <w:marLeft w:val="0"/>
      <w:marRight w:val="0"/>
      <w:marTop w:val="0"/>
      <w:marBottom w:val="0"/>
      <w:divBdr>
        <w:top w:val="none" w:sz="0" w:space="0" w:color="auto"/>
        <w:left w:val="none" w:sz="0" w:space="0" w:color="auto"/>
        <w:bottom w:val="none" w:sz="0" w:space="0" w:color="auto"/>
        <w:right w:val="none" w:sz="0" w:space="0" w:color="auto"/>
      </w:divBdr>
    </w:div>
    <w:div w:id="586034324">
      <w:bodyDiv w:val="1"/>
      <w:marLeft w:val="0"/>
      <w:marRight w:val="0"/>
      <w:marTop w:val="0"/>
      <w:marBottom w:val="0"/>
      <w:divBdr>
        <w:top w:val="none" w:sz="0" w:space="0" w:color="auto"/>
        <w:left w:val="none" w:sz="0" w:space="0" w:color="auto"/>
        <w:bottom w:val="none" w:sz="0" w:space="0" w:color="auto"/>
        <w:right w:val="none" w:sz="0" w:space="0" w:color="auto"/>
      </w:divBdr>
    </w:div>
    <w:div w:id="586042301">
      <w:bodyDiv w:val="1"/>
      <w:marLeft w:val="0"/>
      <w:marRight w:val="0"/>
      <w:marTop w:val="0"/>
      <w:marBottom w:val="0"/>
      <w:divBdr>
        <w:top w:val="none" w:sz="0" w:space="0" w:color="auto"/>
        <w:left w:val="none" w:sz="0" w:space="0" w:color="auto"/>
        <w:bottom w:val="none" w:sz="0" w:space="0" w:color="auto"/>
        <w:right w:val="none" w:sz="0" w:space="0" w:color="auto"/>
      </w:divBdr>
    </w:div>
    <w:div w:id="587083716">
      <w:bodyDiv w:val="1"/>
      <w:marLeft w:val="0"/>
      <w:marRight w:val="0"/>
      <w:marTop w:val="0"/>
      <w:marBottom w:val="0"/>
      <w:divBdr>
        <w:top w:val="none" w:sz="0" w:space="0" w:color="auto"/>
        <w:left w:val="none" w:sz="0" w:space="0" w:color="auto"/>
        <w:bottom w:val="none" w:sz="0" w:space="0" w:color="auto"/>
        <w:right w:val="none" w:sz="0" w:space="0" w:color="auto"/>
      </w:divBdr>
    </w:div>
    <w:div w:id="587690460">
      <w:bodyDiv w:val="1"/>
      <w:marLeft w:val="0"/>
      <w:marRight w:val="0"/>
      <w:marTop w:val="0"/>
      <w:marBottom w:val="0"/>
      <w:divBdr>
        <w:top w:val="none" w:sz="0" w:space="0" w:color="auto"/>
        <w:left w:val="none" w:sz="0" w:space="0" w:color="auto"/>
        <w:bottom w:val="none" w:sz="0" w:space="0" w:color="auto"/>
        <w:right w:val="none" w:sz="0" w:space="0" w:color="auto"/>
      </w:divBdr>
    </w:div>
    <w:div w:id="598416960">
      <w:bodyDiv w:val="1"/>
      <w:marLeft w:val="0"/>
      <w:marRight w:val="0"/>
      <w:marTop w:val="0"/>
      <w:marBottom w:val="0"/>
      <w:divBdr>
        <w:top w:val="none" w:sz="0" w:space="0" w:color="auto"/>
        <w:left w:val="none" w:sz="0" w:space="0" w:color="auto"/>
        <w:bottom w:val="none" w:sz="0" w:space="0" w:color="auto"/>
        <w:right w:val="none" w:sz="0" w:space="0" w:color="auto"/>
      </w:divBdr>
    </w:div>
    <w:div w:id="599458374">
      <w:bodyDiv w:val="1"/>
      <w:marLeft w:val="0"/>
      <w:marRight w:val="0"/>
      <w:marTop w:val="0"/>
      <w:marBottom w:val="0"/>
      <w:divBdr>
        <w:top w:val="none" w:sz="0" w:space="0" w:color="auto"/>
        <w:left w:val="none" w:sz="0" w:space="0" w:color="auto"/>
        <w:bottom w:val="none" w:sz="0" w:space="0" w:color="auto"/>
        <w:right w:val="none" w:sz="0" w:space="0" w:color="auto"/>
      </w:divBdr>
    </w:div>
    <w:div w:id="599484925">
      <w:bodyDiv w:val="1"/>
      <w:marLeft w:val="0"/>
      <w:marRight w:val="0"/>
      <w:marTop w:val="0"/>
      <w:marBottom w:val="0"/>
      <w:divBdr>
        <w:top w:val="none" w:sz="0" w:space="0" w:color="auto"/>
        <w:left w:val="none" w:sz="0" w:space="0" w:color="auto"/>
        <w:bottom w:val="none" w:sz="0" w:space="0" w:color="auto"/>
        <w:right w:val="none" w:sz="0" w:space="0" w:color="auto"/>
      </w:divBdr>
    </w:div>
    <w:div w:id="611132147">
      <w:bodyDiv w:val="1"/>
      <w:marLeft w:val="0"/>
      <w:marRight w:val="0"/>
      <w:marTop w:val="0"/>
      <w:marBottom w:val="0"/>
      <w:divBdr>
        <w:top w:val="none" w:sz="0" w:space="0" w:color="auto"/>
        <w:left w:val="none" w:sz="0" w:space="0" w:color="auto"/>
        <w:bottom w:val="none" w:sz="0" w:space="0" w:color="auto"/>
        <w:right w:val="none" w:sz="0" w:space="0" w:color="auto"/>
      </w:divBdr>
    </w:div>
    <w:div w:id="621033283">
      <w:bodyDiv w:val="1"/>
      <w:marLeft w:val="0"/>
      <w:marRight w:val="0"/>
      <w:marTop w:val="0"/>
      <w:marBottom w:val="0"/>
      <w:divBdr>
        <w:top w:val="none" w:sz="0" w:space="0" w:color="auto"/>
        <w:left w:val="none" w:sz="0" w:space="0" w:color="auto"/>
        <w:bottom w:val="none" w:sz="0" w:space="0" w:color="auto"/>
        <w:right w:val="none" w:sz="0" w:space="0" w:color="auto"/>
      </w:divBdr>
    </w:div>
    <w:div w:id="622737138">
      <w:bodyDiv w:val="1"/>
      <w:marLeft w:val="0"/>
      <w:marRight w:val="0"/>
      <w:marTop w:val="0"/>
      <w:marBottom w:val="0"/>
      <w:divBdr>
        <w:top w:val="none" w:sz="0" w:space="0" w:color="auto"/>
        <w:left w:val="none" w:sz="0" w:space="0" w:color="auto"/>
        <w:bottom w:val="none" w:sz="0" w:space="0" w:color="auto"/>
        <w:right w:val="none" w:sz="0" w:space="0" w:color="auto"/>
      </w:divBdr>
      <w:divsChild>
        <w:div w:id="27337338">
          <w:marLeft w:val="0"/>
          <w:marRight w:val="0"/>
          <w:marTop w:val="0"/>
          <w:marBottom w:val="0"/>
          <w:divBdr>
            <w:top w:val="none" w:sz="0" w:space="0" w:color="auto"/>
            <w:left w:val="none" w:sz="0" w:space="0" w:color="auto"/>
            <w:bottom w:val="none" w:sz="0" w:space="0" w:color="auto"/>
            <w:right w:val="none" w:sz="0" w:space="0" w:color="auto"/>
          </w:divBdr>
          <w:divsChild>
            <w:div w:id="13639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6473">
      <w:bodyDiv w:val="1"/>
      <w:marLeft w:val="0"/>
      <w:marRight w:val="0"/>
      <w:marTop w:val="0"/>
      <w:marBottom w:val="0"/>
      <w:divBdr>
        <w:top w:val="none" w:sz="0" w:space="0" w:color="auto"/>
        <w:left w:val="none" w:sz="0" w:space="0" w:color="auto"/>
        <w:bottom w:val="none" w:sz="0" w:space="0" w:color="auto"/>
        <w:right w:val="none" w:sz="0" w:space="0" w:color="auto"/>
      </w:divBdr>
      <w:divsChild>
        <w:div w:id="955407230">
          <w:marLeft w:val="0"/>
          <w:marRight w:val="0"/>
          <w:marTop w:val="0"/>
          <w:marBottom w:val="0"/>
          <w:divBdr>
            <w:top w:val="none" w:sz="0" w:space="0" w:color="auto"/>
            <w:left w:val="none" w:sz="0" w:space="0" w:color="auto"/>
            <w:bottom w:val="none" w:sz="0" w:space="0" w:color="auto"/>
            <w:right w:val="none" w:sz="0" w:space="0" w:color="auto"/>
          </w:divBdr>
          <w:divsChild>
            <w:div w:id="1783573809">
              <w:marLeft w:val="0"/>
              <w:marRight w:val="0"/>
              <w:marTop w:val="0"/>
              <w:marBottom w:val="0"/>
              <w:divBdr>
                <w:top w:val="none" w:sz="0" w:space="0" w:color="auto"/>
                <w:left w:val="none" w:sz="0" w:space="0" w:color="auto"/>
                <w:bottom w:val="none" w:sz="0" w:space="0" w:color="auto"/>
                <w:right w:val="none" w:sz="0" w:space="0" w:color="auto"/>
              </w:divBdr>
              <w:divsChild>
                <w:div w:id="1186945109">
                  <w:marLeft w:val="0"/>
                  <w:marRight w:val="0"/>
                  <w:marTop w:val="0"/>
                  <w:marBottom w:val="0"/>
                  <w:divBdr>
                    <w:top w:val="none" w:sz="0" w:space="0" w:color="auto"/>
                    <w:left w:val="none" w:sz="0" w:space="0" w:color="auto"/>
                    <w:bottom w:val="none" w:sz="0" w:space="0" w:color="auto"/>
                    <w:right w:val="none" w:sz="0" w:space="0" w:color="auto"/>
                  </w:divBdr>
                  <w:divsChild>
                    <w:div w:id="271591425">
                      <w:marLeft w:val="0"/>
                      <w:marRight w:val="0"/>
                      <w:marTop w:val="0"/>
                      <w:marBottom w:val="0"/>
                      <w:divBdr>
                        <w:top w:val="none" w:sz="0" w:space="0" w:color="auto"/>
                        <w:left w:val="none" w:sz="0" w:space="0" w:color="auto"/>
                        <w:bottom w:val="none" w:sz="0" w:space="0" w:color="auto"/>
                        <w:right w:val="none" w:sz="0" w:space="0" w:color="auto"/>
                      </w:divBdr>
                      <w:divsChild>
                        <w:div w:id="744037281">
                          <w:marLeft w:val="0"/>
                          <w:marRight w:val="0"/>
                          <w:marTop w:val="0"/>
                          <w:marBottom w:val="0"/>
                          <w:divBdr>
                            <w:top w:val="none" w:sz="0" w:space="0" w:color="auto"/>
                            <w:left w:val="none" w:sz="0" w:space="0" w:color="auto"/>
                            <w:bottom w:val="none" w:sz="0" w:space="0" w:color="auto"/>
                            <w:right w:val="none" w:sz="0" w:space="0" w:color="auto"/>
                          </w:divBdr>
                          <w:divsChild>
                            <w:div w:id="847258911">
                              <w:marLeft w:val="0"/>
                              <w:marRight w:val="0"/>
                              <w:marTop w:val="0"/>
                              <w:marBottom w:val="0"/>
                              <w:divBdr>
                                <w:top w:val="none" w:sz="0" w:space="0" w:color="auto"/>
                                <w:left w:val="none" w:sz="0" w:space="0" w:color="auto"/>
                                <w:bottom w:val="none" w:sz="0" w:space="0" w:color="auto"/>
                                <w:right w:val="none" w:sz="0" w:space="0" w:color="auto"/>
                              </w:divBdr>
                              <w:divsChild>
                                <w:div w:id="1178891053">
                                  <w:marLeft w:val="0"/>
                                  <w:marRight w:val="0"/>
                                  <w:marTop w:val="0"/>
                                  <w:marBottom w:val="0"/>
                                  <w:divBdr>
                                    <w:top w:val="none" w:sz="0" w:space="0" w:color="auto"/>
                                    <w:left w:val="none" w:sz="0" w:space="0" w:color="auto"/>
                                    <w:bottom w:val="none" w:sz="0" w:space="0" w:color="auto"/>
                                    <w:right w:val="none" w:sz="0" w:space="0" w:color="auto"/>
                                  </w:divBdr>
                                  <w:divsChild>
                                    <w:div w:id="538515212">
                                      <w:marLeft w:val="0"/>
                                      <w:marRight w:val="0"/>
                                      <w:marTop w:val="0"/>
                                      <w:marBottom w:val="0"/>
                                      <w:divBdr>
                                        <w:top w:val="none" w:sz="0" w:space="0" w:color="auto"/>
                                        <w:left w:val="none" w:sz="0" w:space="0" w:color="auto"/>
                                        <w:bottom w:val="none" w:sz="0" w:space="0" w:color="auto"/>
                                        <w:right w:val="none" w:sz="0" w:space="0" w:color="auto"/>
                                      </w:divBdr>
                                      <w:divsChild>
                                        <w:div w:id="48966753">
                                          <w:marLeft w:val="0"/>
                                          <w:marRight w:val="0"/>
                                          <w:marTop w:val="0"/>
                                          <w:marBottom w:val="0"/>
                                          <w:divBdr>
                                            <w:top w:val="none" w:sz="0" w:space="0" w:color="auto"/>
                                            <w:left w:val="none" w:sz="0" w:space="0" w:color="auto"/>
                                            <w:bottom w:val="none" w:sz="0" w:space="0" w:color="auto"/>
                                            <w:right w:val="none" w:sz="0" w:space="0" w:color="auto"/>
                                          </w:divBdr>
                                          <w:divsChild>
                                            <w:div w:id="465467877">
                                              <w:marLeft w:val="0"/>
                                              <w:marRight w:val="0"/>
                                              <w:marTop w:val="0"/>
                                              <w:marBottom w:val="0"/>
                                              <w:divBdr>
                                                <w:top w:val="single" w:sz="6" w:space="0" w:color="F5F5F5"/>
                                                <w:left w:val="single" w:sz="6" w:space="0" w:color="F5F5F5"/>
                                                <w:bottom w:val="single" w:sz="6" w:space="0" w:color="F5F5F5"/>
                                                <w:right w:val="single" w:sz="6" w:space="0" w:color="F5F5F5"/>
                                              </w:divBdr>
                                              <w:divsChild>
                                                <w:div w:id="474225363">
                                                  <w:marLeft w:val="0"/>
                                                  <w:marRight w:val="0"/>
                                                  <w:marTop w:val="0"/>
                                                  <w:marBottom w:val="0"/>
                                                  <w:divBdr>
                                                    <w:top w:val="none" w:sz="0" w:space="0" w:color="auto"/>
                                                    <w:left w:val="none" w:sz="0" w:space="0" w:color="auto"/>
                                                    <w:bottom w:val="none" w:sz="0" w:space="0" w:color="auto"/>
                                                    <w:right w:val="none" w:sz="0" w:space="0" w:color="auto"/>
                                                  </w:divBdr>
                                                  <w:divsChild>
                                                    <w:div w:id="2369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1790159">
      <w:bodyDiv w:val="1"/>
      <w:marLeft w:val="0"/>
      <w:marRight w:val="0"/>
      <w:marTop w:val="0"/>
      <w:marBottom w:val="0"/>
      <w:divBdr>
        <w:top w:val="none" w:sz="0" w:space="0" w:color="auto"/>
        <w:left w:val="none" w:sz="0" w:space="0" w:color="auto"/>
        <w:bottom w:val="none" w:sz="0" w:space="0" w:color="auto"/>
        <w:right w:val="none" w:sz="0" w:space="0" w:color="auto"/>
      </w:divBdr>
    </w:div>
    <w:div w:id="633559291">
      <w:bodyDiv w:val="1"/>
      <w:marLeft w:val="0"/>
      <w:marRight w:val="0"/>
      <w:marTop w:val="0"/>
      <w:marBottom w:val="0"/>
      <w:divBdr>
        <w:top w:val="none" w:sz="0" w:space="0" w:color="auto"/>
        <w:left w:val="none" w:sz="0" w:space="0" w:color="auto"/>
        <w:bottom w:val="none" w:sz="0" w:space="0" w:color="auto"/>
        <w:right w:val="none" w:sz="0" w:space="0" w:color="auto"/>
      </w:divBdr>
    </w:div>
    <w:div w:id="636767664">
      <w:bodyDiv w:val="1"/>
      <w:marLeft w:val="0"/>
      <w:marRight w:val="0"/>
      <w:marTop w:val="0"/>
      <w:marBottom w:val="0"/>
      <w:divBdr>
        <w:top w:val="none" w:sz="0" w:space="0" w:color="auto"/>
        <w:left w:val="none" w:sz="0" w:space="0" w:color="auto"/>
        <w:bottom w:val="none" w:sz="0" w:space="0" w:color="auto"/>
        <w:right w:val="none" w:sz="0" w:space="0" w:color="auto"/>
      </w:divBdr>
    </w:div>
    <w:div w:id="637689746">
      <w:bodyDiv w:val="1"/>
      <w:marLeft w:val="0"/>
      <w:marRight w:val="0"/>
      <w:marTop w:val="0"/>
      <w:marBottom w:val="0"/>
      <w:divBdr>
        <w:top w:val="none" w:sz="0" w:space="0" w:color="auto"/>
        <w:left w:val="none" w:sz="0" w:space="0" w:color="auto"/>
        <w:bottom w:val="none" w:sz="0" w:space="0" w:color="auto"/>
        <w:right w:val="none" w:sz="0" w:space="0" w:color="auto"/>
      </w:divBdr>
    </w:div>
    <w:div w:id="641008256">
      <w:bodyDiv w:val="1"/>
      <w:marLeft w:val="0"/>
      <w:marRight w:val="0"/>
      <w:marTop w:val="0"/>
      <w:marBottom w:val="0"/>
      <w:divBdr>
        <w:top w:val="none" w:sz="0" w:space="0" w:color="auto"/>
        <w:left w:val="none" w:sz="0" w:space="0" w:color="auto"/>
        <w:bottom w:val="none" w:sz="0" w:space="0" w:color="auto"/>
        <w:right w:val="none" w:sz="0" w:space="0" w:color="auto"/>
      </w:divBdr>
      <w:divsChild>
        <w:div w:id="152140860">
          <w:marLeft w:val="0"/>
          <w:marRight w:val="0"/>
          <w:marTop w:val="0"/>
          <w:marBottom w:val="0"/>
          <w:divBdr>
            <w:top w:val="none" w:sz="0" w:space="0" w:color="auto"/>
            <w:left w:val="none" w:sz="0" w:space="0" w:color="auto"/>
            <w:bottom w:val="none" w:sz="0" w:space="0" w:color="auto"/>
            <w:right w:val="none" w:sz="0" w:space="0" w:color="auto"/>
          </w:divBdr>
          <w:divsChild>
            <w:div w:id="472522451">
              <w:marLeft w:val="0"/>
              <w:marRight w:val="0"/>
              <w:marTop w:val="0"/>
              <w:marBottom w:val="0"/>
              <w:divBdr>
                <w:top w:val="none" w:sz="0" w:space="0" w:color="auto"/>
                <w:left w:val="none" w:sz="0" w:space="0" w:color="auto"/>
                <w:bottom w:val="none" w:sz="0" w:space="0" w:color="auto"/>
                <w:right w:val="none" w:sz="0" w:space="0" w:color="auto"/>
              </w:divBdr>
              <w:divsChild>
                <w:div w:id="1698190749">
                  <w:marLeft w:val="0"/>
                  <w:marRight w:val="0"/>
                  <w:marTop w:val="0"/>
                  <w:marBottom w:val="0"/>
                  <w:divBdr>
                    <w:top w:val="none" w:sz="0" w:space="0" w:color="auto"/>
                    <w:left w:val="none" w:sz="0" w:space="0" w:color="auto"/>
                    <w:bottom w:val="none" w:sz="0" w:space="0" w:color="auto"/>
                    <w:right w:val="none" w:sz="0" w:space="0" w:color="auto"/>
                  </w:divBdr>
                  <w:divsChild>
                    <w:div w:id="2056998543">
                      <w:marLeft w:val="0"/>
                      <w:marRight w:val="0"/>
                      <w:marTop w:val="0"/>
                      <w:marBottom w:val="0"/>
                      <w:divBdr>
                        <w:top w:val="none" w:sz="0" w:space="0" w:color="auto"/>
                        <w:left w:val="none" w:sz="0" w:space="0" w:color="auto"/>
                        <w:bottom w:val="none" w:sz="0" w:space="0" w:color="auto"/>
                        <w:right w:val="none" w:sz="0" w:space="0" w:color="auto"/>
                      </w:divBdr>
                      <w:divsChild>
                        <w:div w:id="62223238">
                          <w:marLeft w:val="0"/>
                          <w:marRight w:val="0"/>
                          <w:marTop w:val="0"/>
                          <w:marBottom w:val="0"/>
                          <w:divBdr>
                            <w:top w:val="none" w:sz="0" w:space="0" w:color="auto"/>
                            <w:left w:val="none" w:sz="0" w:space="0" w:color="auto"/>
                            <w:bottom w:val="none" w:sz="0" w:space="0" w:color="auto"/>
                            <w:right w:val="none" w:sz="0" w:space="0" w:color="auto"/>
                          </w:divBdr>
                          <w:divsChild>
                            <w:div w:id="951673186">
                              <w:marLeft w:val="0"/>
                              <w:marRight w:val="0"/>
                              <w:marTop w:val="0"/>
                              <w:marBottom w:val="0"/>
                              <w:divBdr>
                                <w:top w:val="none" w:sz="0" w:space="0" w:color="auto"/>
                                <w:left w:val="none" w:sz="0" w:space="0" w:color="auto"/>
                                <w:bottom w:val="none" w:sz="0" w:space="0" w:color="auto"/>
                                <w:right w:val="none" w:sz="0" w:space="0" w:color="auto"/>
                              </w:divBdr>
                              <w:divsChild>
                                <w:div w:id="2022118076">
                                  <w:marLeft w:val="0"/>
                                  <w:marRight w:val="0"/>
                                  <w:marTop w:val="0"/>
                                  <w:marBottom w:val="0"/>
                                  <w:divBdr>
                                    <w:top w:val="none" w:sz="0" w:space="0" w:color="auto"/>
                                    <w:left w:val="none" w:sz="0" w:space="0" w:color="auto"/>
                                    <w:bottom w:val="none" w:sz="0" w:space="0" w:color="auto"/>
                                    <w:right w:val="none" w:sz="0" w:space="0" w:color="auto"/>
                                  </w:divBdr>
                                  <w:divsChild>
                                    <w:div w:id="1510440902">
                                      <w:marLeft w:val="0"/>
                                      <w:marRight w:val="0"/>
                                      <w:marTop w:val="0"/>
                                      <w:marBottom w:val="0"/>
                                      <w:divBdr>
                                        <w:top w:val="none" w:sz="0" w:space="0" w:color="auto"/>
                                        <w:left w:val="none" w:sz="0" w:space="0" w:color="auto"/>
                                        <w:bottom w:val="none" w:sz="0" w:space="0" w:color="auto"/>
                                        <w:right w:val="none" w:sz="0" w:space="0" w:color="auto"/>
                                      </w:divBdr>
                                      <w:divsChild>
                                        <w:div w:id="1744519852">
                                          <w:marLeft w:val="0"/>
                                          <w:marRight w:val="0"/>
                                          <w:marTop w:val="0"/>
                                          <w:marBottom w:val="0"/>
                                          <w:divBdr>
                                            <w:top w:val="none" w:sz="0" w:space="0" w:color="auto"/>
                                            <w:left w:val="none" w:sz="0" w:space="0" w:color="auto"/>
                                            <w:bottom w:val="none" w:sz="0" w:space="0" w:color="auto"/>
                                            <w:right w:val="none" w:sz="0" w:space="0" w:color="auto"/>
                                          </w:divBdr>
                                          <w:divsChild>
                                            <w:div w:id="648171398">
                                              <w:marLeft w:val="0"/>
                                              <w:marRight w:val="0"/>
                                              <w:marTop w:val="0"/>
                                              <w:marBottom w:val="0"/>
                                              <w:divBdr>
                                                <w:top w:val="single" w:sz="6" w:space="0" w:color="F5F5F5"/>
                                                <w:left w:val="single" w:sz="6" w:space="0" w:color="F5F5F5"/>
                                                <w:bottom w:val="single" w:sz="6" w:space="0" w:color="F5F5F5"/>
                                                <w:right w:val="single" w:sz="6" w:space="0" w:color="F5F5F5"/>
                                              </w:divBdr>
                                              <w:divsChild>
                                                <w:div w:id="1603612983">
                                                  <w:marLeft w:val="0"/>
                                                  <w:marRight w:val="0"/>
                                                  <w:marTop w:val="0"/>
                                                  <w:marBottom w:val="0"/>
                                                  <w:divBdr>
                                                    <w:top w:val="none" w:sz="0" w:space="0" w:color="auto"/>
                                                    <w:left w:val="none" w:sz="0" w:space="0" w:color="auto"/>
                                                    <w:bottom w:val="none" w:sz="0" w:space="0" w:color="auto"/>
                                                    <w:right w:val="none" w:sz="0" w:space="0" w:color="auto"/>
                                                  </w:divBdr>
                                                  <w:divsChild>
                                                    <w:div w:id="17857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314678">
      <w:bodyDiv w:val="1"/>
      <w:marLeft w:val="0"/>
      <w:marRight w:val="0"/>
      <w:marTop w:val="0"/>
      <w:marBottom w:val="0"/>
      <w:divBdr>
        <w:top w:val="none" w:sz="0" w:space="0" w:color="auto"/>
        <w:left w:val="none" w:sz="0" w:space="0" w:color="auto"/>
        <w:bottom w:val="none" w:sz="0" w:space="0" w:color="auto"/>
        <w:right w:val="none" w:sz="0" w:space="0" w:color="auto"/>
      </w:divBdr>
    </w:div>
    <w:div w:id="647176309">
      <w:bodyDiv w:val="1"/>
      <w:marLeft w:val="0"/>
      <w:marRight w:val="0"/>
      <w:marTop w:val="0"/>
      <w:marBottom w:val="0"/>
      <w:divBdr>
        <w:top w:val="none" w:sz="0" w:space="0" w:color="auto"/>
        <w:left w:val="none" w:sz="0" w:space="0" w:color="auto"/>
        <w:bottom w:val="none" w:sz="0" w:space="0" w:color="auto"/>
        <w:right w:val="none" w:sz="0" w:space="0" w:color="auto"/>
      </w:divBdr>
    </w:div>
    <w:div w:id="648363428">
      <w:bodyDiv w:val="1"/>
      <w:marLeft w:val="0"/>
      <w:marRight w:val="0"/>
      <w:marTop w:val="0"/>
      <w:marBottom w:val="0"/>
      <w:divBdr>
        <w:top w:val="none" w:sz="0" w:space="0" w:color="auto"/>
        <w:left w:val="none" w:sz="0" w:space="0" w:color="auto"/>
        <w:bottom w:val="none" w:sz="0" w:space="0" w:color="auto"/>
        <w:right w:val="none" w:sz="0" w:space="0" w:color="auto"/>
      </w:divBdr>
    </w:div>
    <w:div w:id="652293822">
      <w:bodyDiv w:val="1"/>
      <w:marLeft w:val="0"/>
      <w:marRight w:val="0"/>
      <w:marTop w:val="0"/>
      <w:marBottom w:val="0"/>
      <w:divBdr>
        <w:top w:val="none" w:sz="0" w:space="0" w:color="auto"/>
        <w:left w:val="none" w:sz="0" w:space="0" w:color="auto"/>
        <w:bottom w:val="none" w:sz="0" w:space="0" w:color="auto"/>
        <w:right w:val="none" w:sz="0" w:space="0" w:color="auto"/>
      </w:divBdr>
    </w:div>
    <w:div w:id="665204288">
      <w:bodyDiv w:val="1"/>
      <w:marLeft w:val="0"/>
      <w:marRight w:val="0"/>
      <w:marTop w:val="0"/>
      <w:marBottom w:val="0"/>
      <w:divBdr>
        <w:top w:val="none" w:sz="0" w:space="0" w:color="auto"/>
        <w:left w:val="none" w:sz="0" w:space="0" w:color="auto"/>
        <w:bottom w:val="none" w:sz="0" w:space="0" w:color="auto"/>
        <w:right w:val="none" w:sz="0" w:space="0" w:color="auto"/>
      </w:divBdr>
    </w:div>
    <w:div w:id="667556039">
      <w:bodyDiv w:val="1"/>
      <w:marLeft w:val="0"/>
      <w:marRight w:val="0"/>
      <w:marTop w:val="0"/>
      <w:marBottom w:val="0"/>
      <w:divBdr>
        <w:top w:val="none" w:sz="0" w:space="0" w:color="auto"/>
        <w:left w:val="none" w:sz="0" w:space="0" w:color="auto"/>
        <w:bottom w:val="none" w:sz="0" w:space="0" w:color="auto"/>
        <w:right w:val="none" w:sz="0" w:space="0" w:color="auto"/>
      </w:divBdr>
    </w:div>
    <w:div w:id="667681333">
      <w:bodyDiv w:val="1"/>
      <w:marLeft w:val="0"/>
      <w:marRight w:val="0"/>
      <w:marTop w:val="0"/>
      <w:marBottom w:val="0"/>
      <w:divBdr>
        <w:top w:val="none" w:sz="0" w:space="0" w:color="auto"/>
        <w:left w:val="none" w:sz="0" w:space="0" w:color="auto"/>
        <w:bottom w:val="none" w:sz="0" w:space="0" w:color="auto"/>
        <w:right w:val="none" w:sz="0" w:space="0" w:color="auto"/>
      </w:divBdr>
    </w:div>
    <w:div w:id="674916911">
      <w:bodyDiv w:val="1"/>
      <w:marLeft w:val="0"/>
      <w:marRight w:val="0"/>
      <w:marTop w:val="0"/>
      <w:marBottom w:val="0"/>
      <w:divBdr>
        <w:top w:val="none" w:sz="0" w:space="0" w:color="auto"/>
        <w:left w:val="none" w:sz="0" w:space="0" w:color="auto"/>
        <w:bottom w:val="none" w:sz="0" w:space="0" w:color="auto"/>
        <w:right w:val="none" w:sz="0" w:space="0" w:color="auto"/>
      </w:divBdr>
    </w:div>
    <w:div w:id="676350321">
      <w:bodyDiv w:val="1"/>
      <w:marLeft w:val="0"/>
      <w:marRight w:val="0"/>
      <w:marTop w:val="0"/>
      <w:marBottom w:val="0"/>
      <w:divBdr>
        <w:top w:val="none" w:sz="0" w:space="0" w:color="auto"/>
        <w:left w:val="none" w:sz="0" w:space="0" w:color="auto"/>
        <w:bottom w:val="none" w:sz="0" w:space="0" w:color="auto"/>
        <w:right w:val="none" w:sz="0" w:space="0" w:color="auto"/>
      </w:divBdr>
    </w:div>
    <w:div w:id="678312484">
      <w:bodyDiv w:val="1"/>
      <w:marLeft w:val="0"/>
      <w:marRight w:val="0"/>
      <w:marTop w:val="0"/>
      <w:marBottom w:val="0"/>
      <w:divBdr>
        <w:top w:val="none" w:sz="0" w:space="0" w:color="auto"/>
        <w:left w:val="none" w:sz="0" w:space="0" w:color="auto"/>
        <w:bottom w:val="none" w:sz="0" w:space="0" w:color="auto"/>
        <w:right w:val="none" w:sz="0" w:space="0" w:color="auto"/>
      </w:divBdr>
    </w:div>
    <w:div w:id="679817548">
      <w:bodyDiv w:val="1"/>
      <w:marLeft w:val="0"/>
      <w:marRight w:val="0"/>
      <w:marTop w:val="0"/>
      <w:marBottom w:val="0"/>
      <w:divBdr>
        <w:top w:val="none" w:sz="0" w:space="0" w:color="auto"/>
        <w:left w:val="none" w:sz="0" w:space="0" w:color="auto"/>
        <w:bottom w:val="none" w:sz="0" w:space="0" w:color="auto"/>
        <w:right w:val="none" w:sz="0" w:space="0" w:color="auto"/>
      </w:divBdr>
    </w:div>
    <w:div w:id="684745409">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89844210">
      <w:bodyDiv w:val="1"/>
      <w:marLeft w:val="0"/>
      <w:marRight w:val="0"/>
      <w:marTop w:val="0"/>
      <w:marBottom w:val="0"/>
      <w:divBdr>
        <w:top w:val="none" w:sz="0" w:space="0" w:color="auto"/>
        <w:left w:val="none" w:sz="0" w:space="0" w:color="auto"/>
        <w:bottom w:val="none" w:sz="0" w:space="0" w:color="auto"/>
        <w:right w:val="none" w:sz="0" w:space="0" w:color="auto"/>
      </w:divBdr>
    </w:div>
    <w:div w:id="694237729">
      <w:bodyDiv w:val="1"/>
      <w:marLeft w:val="0"/>
      <w:marRight w:val="0"/>
      <w:marTop w:val="0"/>
      <w:marBottom w:val="0"/>
      <w:divBdr>
        <w:top w:val="none" w:sz="0" w:space="0" w:color="auto"/>
        <w:left w:val="none" w:sz="0" w:space="0" w:color="auto"/>
        <w:bottom w:val="none" w:sz="0" w:space="0" w:color="auto"/>
        <w:right w:val="none" w:sz="0" w:space="0" w:color="auto"/>
      </w:divBdr>
    </w:div>
    <w:div w:id="695808109">
      <w:bodyDiv w:val="1"/>
      <w:marLeft w:val="0"/>
      <w:marRight w:val="0"/>
      <w:marTop w:val="0"/>
      <w:marBottom w:val="0"/>
      <w:divBdr>
        <w:top w:val="none" w:sz="0" w:space="0" w:color="auto"/>
        <w:left w:val="none" w:sz="0" w:space="0" w:color="auto"/>
        <w:bottom w:val="none" w:sz="0" w:space="0" w:color="auto"/>
        <w:right w:val="none" w:sz="0" w:space="0" w:color="auto"/>
      </w:divBdr>
    </w:div>
    <w:div w:id="698622030">
      <w:bodyDiv w:val="1"/>
      <w:marLeft w:val="0"/>
      <w:marRight w:val="0"/>
      <w:marTop w:val="0"/>
      <w:marBottom w:val="0"/>
      <w:divBdr>
        <w:top w:val="none" w:sz="0" w:space="0" w:color="auto"/>
        <w:left w:val="none" w:sz="0" w:space="0" w:color="auto"/>
        <w:bottom w:val="none" w:sz="0" w:space="0" w:color="auto"/>
        <w:right w:val="none" w:sz="0" w:space="0" w:color="auto"/>
      </w:divBdr>
    </w:div>
    <w:div w:id="700283591">
      <w:bodyDiv w:val="1"/>
      <w:marLeft w:val="0"/>
      <w:marRight w:val="0"/>
      <w:marTop w:val="0"/>
      <w:marBottom w:val="0"/>
      <w:divBdr>
        <w:top w:val="none" w:sz="0" w:space="0" w:color="auto"/>
        <w:left w:val="none" w:sz="0" w:space="0" w:color="auto"/>
        <w:bottom w:val="none" w:sz="0" w:space="0" w:color="auto"/>
        <w:right w:val="none" w:sz="0" w:space="0" w:color="auto"/>
      </w:divBdr>
    </w:div>
    <w:div w:id="700980662">
      <w:bodyDiv w:val="1"/>
      <w:marLeft w:val="0"/>
      <w:marRight w:val="0"/>
      <w:marTop w:val="0"/>
      <w:marBottom w:val="0"/>
      <w:divBdr>
        <w:top w:val="none" w:sz="0" w:space="0" w:color="auto"/>
        <w:left w:val="none" w:sz="0" w:space="0" w:color="auto"/>
        <w:bottom w:val="none" w:sz="0" w:space="0" w:color="auto"/>
        <w:right w:val="none" w:sz="0" w:space="0" w:color="auto"/>
      </w:divBdr>
    </w:div>
    <w:div w:id="709694837">
      <w:bodyDiv w:val="1"/>
      <w:marLeft w:val="0"/>
      <w:marRight w:val="0"/>
      <w:marTop w:val="0"/>
      <w:marBottom w:val="0"/>
      <w:divBdr>
        <w:top w:val="none" w:sz="0" w:space="0" w:color="auto"/>
        <w:left w:val="none" w:sz="0" w:space="0" w:color="auto"/>
        <w:bottom w:val="none" w:sz="0" w:space="0" w:color="auto"/>
        <w:right w:val="none" w:sz="0" w:space="0" w:color="auto"/>
      </w:divBdr>
    </w:div>
    <w:div w:id="709960058">
      <w:bodyDiv w:val="1"/>
      <w:marLeft w:val="0"/>
      <w:marRight w:val="0"/>
      <w:marTop w:val="0"/>
      <w:marBottom w:val="0"/>
      <w:divBdr>
        <w:top w:val="none" w:sz="0" w:space="0" w:color="auto"/>
        <w:left w:val="none" w:sz="0" w:space="0" w:color="auto"/>
        <w:bottom w:val="none" w:sz="0" w:space="0" w:color="auto"/>
        <w:right w:val="none" w:sz="0" w:space="0" w:color="auto"/>
      </w:divBdr>
    </w:div>
    <w:div w:id="712653755">
      <w:bodyDiv w:val="1"/>
      <w:marLeft w:val="0"/>
      <w:marRight w:val="0"/>
      <w:marTop w:val="0"/>
      <w:marBottom w:val="0"/>
      <w:divBdr>
        <w:top w:val="none" w:sz="0" w:space="0" w:color="auto"/>
        <w:left w:val="none" w:sz="0" w:space="0" w:color="auto"/>
        <w:bottom w:val="none" w:sz="0" w:space="0" w:color="auto"/>
        <w:right w:val="none" w:sz="0" w:space="0" w:color="auto"/>
      </w:divBdr>
    </w:div>
    <w:div w:id="713776333">
      <w:bodyDiv w:val="1"/>
      <w:marLeft w:val="0"/>
      <w:marRight w:val="0"/>
      <w:marTop w:val="0"/>
      <w:marBottom w:val="0"/>
      <w:divBdr>
        <w:top w:val="none" w:sz="0" w:space="0" w:color="auto"/>
        <w:left w:val="none" w:sz="0" w:space="0" w:color="auto"/>
        <w:bottom w:val="none" w:sz="0" w:space="0" w:color="auto"/>
        <w:right w:val="none" w:sz="0" w:space="0" w:color="auto"/>
      </w:divBdr>
    </w:div>
    <w:div w:id="722559625">
      <w:bodyDiv w:val="1"/>
      <w:marLeft w:val="0"/>
      <w:marRight w:val="0"/>
      <w:marTop w:val="0"/>
      <w:marBottom w:val="0"/>
      <w:divBdr>
        <w:top w:val="none" w:sz="0" w:space="0" w:color="auto"/>
        <w:left w:val="none" w:sz="0" w:space="0" w:color="auto"/>
        <w:bottom w:val="none" w:sz="0" w:space="0" w:color="auto"/>
        <w:right w:val="none" w:sz="0" w:space="0" w:color="auto"/>
      </w:divBdr>
    </w:div>
    <w:div w:id="728499516">
      <w:bodyDiv w:val="1"/>
      <w:marLeft w:val="0"/>
      <w:marRight w:val="0"/>
      <w:marTop w:val="0"/>
      <w:marBottom w:val="0"/>
      <w:divBdr>
        <w:top w:val="none" w:sz="0" w:space="0" w:color="auto"/>
        <w:left w:val="none" w:sz="0" w:space="0" w:color="auto"/>
        <w:bottom w:val="none" w:sz="0" w:space="0" w:color="auto"/>
        <w:right w:val="none" w:sz="0" w:space="0" w:color="auto"/>
      </w:divBdr>
    </w:div>
    <w:div w:id="729428913">
      <w:bodyDiv w:val="1"/>
      <w:marLeft w:val="0"/>
      <w:marRight w:val="0"/>
      <w:marTop w:val="0"/>
      <w:marBottom w:val="0"/>
      <w:divBdr>
        <w:top w:val="none" w:sz="0" w:space="0" w:color="auto"/>
        <w:left w:val="none" w:sz="0" w:space="0" w:color="auto"/>
        <w:bottom w:val="none" w:sz="0" w:space="0" w:color="auto"/>
        <w:right w:val="none" w:sz="0" w:space="0" w:color="auto"/>
      </w:divBdr>
    </w:div>
    <w:div w:id="732122729">
      <w:bodyDiv w:val="1"/>
      <w:marLeft w:val="0"/>
      <w:marRight w:val="0"/>
      <w:marTop w:val="0"/>
      <w:marBottom w:val="0"/>
      <w:divBdr>
        <w:top w:val="none" w:sz="0" w:space="0" w:color="auto"/>
        <w:left w:val="none" w:sz="0" w:space="0" w:color="auto"/>
        <w:bottom w:val="none" w:sz="0" w:space="0" w:color="auto"/>
        <w:right w:val="none" w:sz="0" w:space="0" w:color="auto"/>
      </w:divBdr>
    </w:div>
    <w:div w:id="740061332">
      <w:bodyDiv w:val="1"/>
      <w:marLeft w:val="0"/>
      <w:marRight w:val="0"/>
      <w:marTop w:val="0"/>
      <w:marBottom w:val="0"/>
      <w:divBdr>
        <w:top w:val="none" w:sz="0" w:space="0" w:color="auto"/>
        <w:left w:val="none" w:sz="0" w:space="0" w:color="auto"/>
        <w:bottom w:val="none" w:sz="0" w:space="0" w:color="auto"/>
        <w:right w:val="none" w:sz="0" w:space="0" w:color="auto"/>
      </w:divBdr>
    </w:div>
    <w:div w:id="742921215">
      <w:bodyDiv w:val="1"/>
      <w:marLeft w:val="0"/>
      <w:marRight w:val="0"/>
      <w:marTop w:val="0"/>
      <w:marBottom w:val="0"/>
      <w:divBdr>
        <w:top w:val="none" w:sz="0" w:space="0" w:color="auto"/>
        <w:left w:val="none" w:sz="0" w:space="0" w:color="auto"/>
        <w:bottom w:val="none" w:sz="0" w:space="0" w:color="auto"/>
        <w:right w:val="none" w:sz="0" w:space="0" w:color="auto"/>
      </w:divBdr>
    </w:div>
    <w:div w:id="745802013">
      <w:bodyDiv w:val="1"/>
      <w:marLeft w:val="0"/>
      <w:marRight w:val="0"/>
      <w:marTop w:val="0"/>
      <w:marBottom w:val="0"/>
      <w:divBdr>
        <w:top w:val="none" w:sz="0" w:space="0" w:color="auto"/>
        <w:left w:val="none" w:sz="0" w:space="0" w:color="auto"/>
        <w:bottom w:val="none" w:sz="0" w:space="0" w:color="auto"/>
        <w:right w:val="none" w:sz="0" w:space="0" w:color="auto"/>
      </w:divBdr>
    </w:div>
    <w:div w:id="746147072">
      <w:bodyDiv w:val="1"/>
      <w:marLeft w:val="0"/>
      <w:marRight w:val="0"/>
      <w:marTop w:val="0"/>
      <w:marBottom w:val="0"/>
      <w:divBdr>
        <w:top w:val="none" w:sz="0" w:space="0" w:color="auto"/>
        <w:left w:val="none" w:sz="0" w:space="0" w:color="auto"/>
        <w:bottom w:val="none" w:sz="0" w:space="0" w:color="auto"/>
        <w:right w:val="none" w:sz="0" w:space="0" w:color="auto"/>
      </w:divBdr>
    </w:div>
    <w:div w:id="749808920">
      <w:bodyDiv w:val="1"/>
      <w:marLeft w:val="0"/>
      <w:marRight w:val="0"/>
      <w:marTop w:val="0"/>
      <w:marBottom w:val="0"/>
      <w:divBdr>
        <w:top w:val="none" w:sz="0" w:space="0" w:color="auto"/>
        <w:left w:val="none" w:sz="0" w:space="0" w:color="auto"/>
        <w:bottom w:val="none" w:sz="0" w:space="0" w:color="auto"/>
        <w:right w:val="none" w:sz="0" w:space="0" w:color="auto"/>
      </w:divBdr>
    </w:div>
    <w:div w:id="751313884">
      <w:bodyDiv w:val="1"/>
      <w:marLeft w:val="0"/>
      <w:marRight w:val="0"/>
      <w:marTop w:val="0"/>
      <w:marBottom w:val="0"/>
      <w:divBdr>
        <w:top w:val="none" w:sz="0" w:space="0" w:color="auto"/>
        <w:left w:val="none" w:sz="0" w:space="0" w:color="auto"/>
        <w:bottom w:val="none" w:sz="0" w:space="0" w:color="auto"/>
        <w:right w:val="none" w:sz="0" w:space="0" w:color="auto"/>
      </w:divBdr>
    </w:div>
    <w:div w:id="755133210">
      <w:bodyDiv w:val="1"/>
      <w:marLeft w:val="0"/>
      <w:marRight w:val="0"/>
      <w:marTop w:val="0"/>
      <w:marBottom w:val="0"/>
      <w:divBdr>
        <w:top w:val="none" w:sz="0" w:space="0" w:color="auto"/>
        <w:left w:val="none" w:sz="0" w:space="0" w:color="auto"/>
        <w:bottom w:val="none" w:sz="0" w:space="0" w:color="auto"/>
        <w:right w:val="none" w:sz="0" w:space="0" w:color="auto"/>
      </w:divBdr>
    </w:div>
    <w:div w:id="761488553">
      <w:bodyDiv w:val="1"/>
      <w:marLeft w:val="0"/>
      <w:marRight w:val="0"/>
      <w:marTop w:val="0"/>
      <w:marBottom w:val="0"/>
      <w:divBdr>
        <w:top w:val="none" w:sz="0" w:space="0" w:color="auto"/>
        <w:left w:val="none" w:sz="0" w:space="0" w:color="auto"/>
        <w:bottom w:val="none" w:sz="0" w:space="0" w:color="auto"/>
        <w:right w:val="none" w:sz="0" w:space="0" w:color="auto"/>
      </w:divBdr>
    </w:div>
    <w:div w:id="763771170">
      <w:bodyDiv w:val="1"/>
      <w:marLeft w:val="0"/>
      <w:marRight w:val="0"/>
      <w:marTop w:val="0"/>
      <w:marBottom w:val="0"/>
      <w:divBdr>
        <w:top w:val="none" w:sz="0" w:space="0" w:color="auto"/>
        <w:left w:val="none" w:sz="0" w:space="0" w:color="auto"/>
        <w:bottom w:val="none" w:sz="0" w:space="0" w:color="auto"/>
        <w:right w:val="none" w:sz="0" w:space="0" w:color="auto"/>
      </w:divBdr>
    </w:div>
    <w:div w:id="764498340">
      <w:bodyDiv w:val="1"/>
      <w:marLeft w:val="0"/>
      <w:marRight w:val="0"/>
      <w:marTop w:val="0"/>
      <w:marBottom w:val="0"/>
      <w:divBdr>
        <w:top w:val="none" w:sz="0" w:space="0" w:color="auto"/>
        <w:left w:val="none" w:sz="0" w:space="0" w:color="auto"/>
        <w:bottom w:val="none" w:sz="0" w:space="0" w:color="auto"/>
        <w:right w:val="none" w:sz="0" w:space="0" w:color="auto"/>
      </w:divBdr>
    </w:div>
    <w:div w:id="765539973">
      <w:bodyDiv w:val="1"/>
      <w:marLeft w:val="0"/>
      <w:marRight w:val="0"/>
      <w:marTop w:val="0"/>
      <w:marBottom w:val="0"/>
      <w:divBdr>
        <w:top w:val="none" w:sz="0" w:space="0" w:color="auto"/>
        <w:left w:val="none" w:sz="0" w:space="0" w:color="auto"/>
        <w:bottom w:val="none" w:sz="0" w:space="0" w:color="auto"/>
        <w:right w:val="none" w:sz="0" w:space="0" w:color="auto"/>
      </w:divBdr>
    </w:div>
    <w:div w:id="767232203">
      <w:bodyDiv w:val="1"/>
      <w:marLeft w:val="0"/>
      <w:marRight w:val="0"/>
      <w:marTop w:val="0"/>
      <w:marBottom w:val="0"/>
      <w:divBdr>
        <w:top w:val="none" w:sz="0" w:space="0" w:color="auto"/>
        <w:left w:val="none" w:sz="0" w:space="0" w:color="auto"/>
        <w:bottom w:val="none" w:sz="0" w:space="0" w:color="auto"/>
        <w:right w:val="none" w:sz="0" w:space="0" w:color="auto"/>
      </w:divBdr>
    </w:div>
    <w:div w:id="772432874">
      <w:bodyDiv w:val="1"/>
      <w:marLeft w:val="0"/>
      <w:marRight w:val="0"/>
      <w:marTop w:val="0"/>
      <w:marBottom w:val="0"/>
      <w:divBdr>
        <w:top w:val="none" w:sz="0" w:space="0" w:color="auto"/>
        <w:left w:val="none" w:sz="0" w:space="0" w:color="auto"/>
        <w:bottom w:val="none" w:sz="0" w:space="0" w:color="auto"/>
        <w:right w:val="none" w:sz="0" w:space="0" w:color="auto"/>
      </w:divBdr>
    </w:div>
    <w:div w:id="773207052">
      <w:bodyDiv w:val="1"/>
      <w:marLeft w:val="0"/>
      <w:marRight w:val="0"/>
      <w:marTop w:val="0"/>
      <w:marBottom w:val="0"/>
      <w:divBdr>
        <w:top w:val="none" w:sz="0" w:space="0" w:color="auto"/>
        <w:left w:val="none" w:sz="0" w:space="0" w:color="auto"/>
        <w:bottom w:val="none" w:sz="0" w:space="0" w:color="auto"/>
        <w:right w:val="none" w:sz="0" w:space="0" w:color="auto"/>
      </w:divBdr>
    </w:div>
    <w:div w:id="776213324">
      <w:bodyDiv w:val="1"/>
      <w:marLeft w:val="0"/>
      <w:marRight w:val="0"/>
      <w:marTop w:val="0"/>
      <w:marBottom w:val="0"/>
      <w:divBdr>
        <w:top w:val="none" w:sz="0" w:space="0" w:color="auto"/>
        <w:left w:val="none" w:sz="0" w:space="0" w:color="auto"/>
        <w:bottom w:val="none" w:sz="0" w:space="0" w:color="auto"/>
        <w:right w:val="none" w:sz="0" w:space="0" w:color="auto"/>
      </w:divBdr>
    </w:div>
    <w:div w:id="778372945">
      <w:bodyDiv w:val="1"/>
      <w:marLeft w:val="0"/>
      <w:marRight w:val="0"/>
      <w:marTop w:val="0"/>
      <w:marBottom w:val="0"/>
      <w:divBdr>
        <w:top w:val="none" w:sz="0" w:space="0" w:color="auto"/>
        <w:left w:val="none" w:sz="0" w:space="0" w:color="auto"/>
        <w:bottom w:val="none" w:sz="0" w:space="0" w:color="auto"/>
        <w:right w:val="none" w:sz="0" w:space="0" w:color="auto"/>
      </w:divBdr>
    </w:div>
    <w:div w:id="779378050">
      <w:bodyDiv w:val="1"/>
      <w:marLeft w:val="0"/>
      <w:marRight w:val="0"/>
      <w:marTop w:val="0"/>
      <w:marBottom w:val="0"/>
      <w:divBdr>
        <w:top w:val="none" w:sz="0" w:space="0" w:color="auto"/>
        <w:left w:val="none" w:sz="0" w:space="0" w:color="auto"/>
        <w:bottom w:val="none" w:sz="0" w:space="0" w:color="auto"/>
        <w:right w:val="none" w:sz="0" w:space="0" w:color="auto"/>
      </w:divBdr>
    </w:div>
    <w:div w:id="780105251">
      <w:bodyDiv w:val="1"/>
      <w:marLeft w:val="0"/>
      <w:marRight w:val="0"/>
      <w:marTop w:val="0"/>
      <w:marBottom w:val="0"/>
      <w:divBdr>
        <w:top w:val="none" w:sz="0" w:space="0" w:color="auto"/>
        <w:left w:val="none" w:sz="0" w:space="0" w:color="auto"/>
        <w:bottom w:val="none" w:sz="0" w:space="0" w:color="auto"/>
        <w:right w:val="none" w:sz="0" w:space="0" w:color="auto"/>
      </w:divBdr>
    </w:div>
    <w:div w:id="782188210">
      <w:bodyDiv w:val="1"/>
      <w:marLeft w:val="0"/>
      <w:marRight w:val="0"/>
      <w:marTop w:val="0"/>
      <w:marBottom w:val="0"/>
      <w:divBdr>
        <w:top w:val="none" w:sz="0" w:space="0" w:color="auto"/>
        <w:left w:val="none" w:sz="0" w:space="0" w:color="auto"/>
        <w:bottom w:val="none" w:sz="0" w:space="0" w:color="auto"/>
        <w:right w:val="none" w:sz="0" w:space="0" w:color="auto"/>
      </w:divBdr>
    </w:div>
    <w:div w:id="786312841">
      <w:bodyDiv w:val="1"/>
      <w:marLeft w:val="0"/>
      <w:marRight w:val="0"/>
      <w:marTop w:val="0"/>
      <w:marBottom w:val="0"/>
      <w:divBdr>
        <w:top w:val="none" w:sz="0" w:space="0" w:color="auto"/>
        <w:left w:val="none" w:sz="0" w:space="0" w:color="auto"/>
        <w:bottom w:val="none" w:sz="0" w:space="0" w:color="auto"/>
        <w:right w:val="none" w:sz="0" w:space="0" w:color="auto"/>
      </w:divBdr>
    </w:div>
    <w:div w:id="787164150">
      <w:bodyDiv w:val="1"/>
      <w:marLeft w:val="0"/>
      <w:marRight w:val="0"/>
      <w:marTop w:val="0"/>
      <w:marBottom w:val="0"/>
      <w:divBdr>
        <w:top w:val="none" w:sz="0" w:space="0" w:color="auto"/>
        <w:left w:val="none" w:sz="0" w:space="0" w:color="auto"/>
        <w:bottom w:val="none" w:sz="0" w:space="0" w:color="auto"/>
        <w:right w:val="none" w:sz="0" w:space="0" w:color="auto"/>
      </w:divBdr>
    </w:div>
    <w:div w:id="787890261">
      <w:bodyDiv w:val="1"/>
      <w:marLeft w:val="0"/>
      <w:marRight w:val="0"/>
      <w:marTop w:val="0"/>
      <w:marBottom w:val="0"/>
      <w:divBdr>
        <w:top w:val="none" w:sz="0" w:space="0" w:color="auto"/>
        <w:left w:val="none" w:sz="0" w:space="0" w:color="auto"/>
        <w:bottom w:val="none" w:sz="0" w:space="0" w:color="auto"/>
        <w:right w:val="none" w:sz="0" w:space="0" w:color="auto"/>
      </w:divBdr>
    </w:div>
    <w:div w:id="798954378">
      <w:bodyDiv w:val="1"/>
      <w:marLeft w:val="0"/>
      <w:marRight w:val="0"/>
      <w:marTop w:val="0"/>
      <w:marBottom w:val="0"/>
      <w:divBdr>
        <w:top w:val="none" w:sz="0" w:space="0" w:color="auto"/>
        <w:left w:val="none" w:sz="0" w:space="0" w:color="auto"/>
        <w:bottom w:val="none" w:sz="0" w:space="0" w:color="auto"/>
        <w:right w:val="none" w:sz="0" w:space="0" w:color="auto"/>
      </w:divBdr>
      <w:divsChild>
        <w:div w:id="1388189539">
          <w:marLeft w:val="0"/>
          <w:marRight w:val="0"/>
          <w:marTop w:val="0"/>
          <w:marBottom w:val="0"/>
          <w:divBdr>
            <w:top w:val="none" w:sz="0" w:space="0" w:color="auto"/>
            <w:left w:val="none" w:sz="0" w:space="0" w:color="auto"/>
            <w:bottom w:val="none" w:sz="0" w:space="0" w:color="auto"/>
            <w:right w:val="none" w:sz="0" w:space="0" w:color="auto"/>
          </w:divBdr>
          <w:divsChild>
            <w:div w:id="1850679380">
              <w:marLeft w:val="0"/>
              <w:marRight w:val="0"/>
              <w:marTop w:val="0"/>
              <w:marBottom w:val="0"/>
              <w:divBdr>
                <w:top w:val="none" w:sz="0" w:space="0" w:color="auto"/>
                <w:left w:val="none" w:sz="0" w:space="0" w:color="auto"/>
                <w:bottom w:val="none" w:sz="0" w:space="0" w:color="auto"/>
                <w:right w:val="none" w:sz="0" w:space="0" w:color="auto"/>
              </w:divBdr>
              <w:divsChild>
                <w:div w:id="1698896003">
                  <w:marLeft w:val="0"/>
                  <w:marRight w:val="0"/>
                  <w:marTop w:val="0"/>
                  <w:marBottom w:val="0"/>
                  <w:divBdr>
                    <w:top w:val="none" w:sz="0" w:space="0" w:color="auto"/>
                    <w:left w:val="none" w:sz="0" w:space="0" w:color="auto"/>
                    <w:bottom w:val="none" w:sz="0" w:space="0" w:color="auto"/>
                    <w:right w:val="none" w:sz="0" w:space="0" w:color="auto"/>
                  </w:divBdr>
                  <w:divsChild>
                    <w:div w:id="41753531">
                      <w:marLeft w:val="0"/>
                      <w:marRight w:val="0"/>
                      <w:marTop w:val="0"/>
                      <w:marBottom w:val="0"/>
                      <w:divBdr>
                        <w:top w:val="none" w:sz="0" w:space="0" w:color="auto"/>
                        <w:left w:val="none" w:sz="0" w:space="0" w:color="auto"/>
                        <w:bottom w:val="none" w:sz="0" w:space="0" w:color="auto"/>
                        <w:right w:val="none" w:sz="0" w:space="0" w:color="auto"/>
                      </w:divBdr>
                      <w:divsChild>
                        <w:div w:id="1954091403">
                          <w:marLeft w:val="0"/>
                          <w:marRight w:val="0"/>
                          <w:marTop w:val="0"/>
                          <w:marBottom w:val="0"/>
                          <w:divBdr>
                            <w:top w:val="none" w:sz="0" w:space="0" w:color="auto"/>
                            <w:left w:val="none" w:sz="0" w:space="0" w:color="auto"/>
                            <w:bottom w:val="none" w:sz="0" w:space="0" w:color="auto"/>
                            <w:right w:val="none" w:sz="0" w:space="0" w:color="auto"/>
                          </w:divBdr>
                          <w:divsChild>
                            <w:div w:id="2099675074">
                              <w:marLeft w:val="0"/>
                              <w:marRight w:val="0"/>
                              <w:marTop w:val="0"/>
                              <w:marBottom w:val="0"/>
                              <w:divBdr>
                                <w:top w:val="none" w:sz="0" w:space="0" w:color="auto"/>
                                <w:left w:val="none" w:sz="0" w:space="0" w:color="auto"/>
                                <w:bottom w:val="none" w:sz="0" w:space="0" w:color="auto"/>
                                <w:right w:val="none" w:sz="0" w:space="0" w:color="auto"/>
                              </w:divBdr>
                              <w:divsChild>
                                <w:div w:id="1956255021">
                                  <w:marLeft w:val="0"/>
                                  <w:marRight w:val="0"/>
                                  <w:marTop w:val="0"/>
                                  <w:marBottom w:val="0"/>
                                  <w:divBdr>
                                    <w:top w:val="none" w:sz="0" w:space="0" w:color="auto"/>
                                    <w:left w:val="none" w:sz="0" w:space="0" w:color="auto"/>
                                    <w:bottom w:val="none" w:sz="0" w:space="0" w:color="auto"/>
                                    <w:right w:val="none" w:sz="0" w:space="0" w:color="auto"/>
                                  </w:divBdr>
                                  <w:divsChild>
                                    <w:div w:id="975843094">
                                      <w:marLeft w:val="0"/>
                                      <w:marRight w:val="0"/>
                                      <w:marTop w:val="0"/>
                                      <w:marBottom w:val="0"/>
                                      <w:divBdr>
                                        <w:top w:val="none" w:sz="0" w:space="0" w:color="auto"/>
                                        <w:left w:val="none" w:sz="0" w:space="0" w:color="auto"/>
                                        <w:bottom w:val="none" w:sz="0" w:space="0" w:color="auto"/>
                                        <w:right w:val="none" w:sz="0" w:space="0" w:color="auto"/>
                                      </w:divBdr>
                                      <w:divsChild>
                                        <w:div w:id="536965480">
                                          <w:marLeft w:val="0"/>
                                          <w:marRight w:val="0"/>
                                          <w:marTop w:val="0"/>
                                          <w:marBottom w:val="0"/>
                                          <w:divBdr>
                                            <w:top w:val="none" w:sz="0" w:space="0" w:color="auto"/>
                                            <w:left w:val="none" w:sz="0" w:space="0" w:color="auto"/>
                                            <w:bottom w:val="none" w:sz="0" w:space="0" w:color="auto"/>
                                            <w:right w:val="none" w:sz="0" w:space="0" w:color="auto"/>
                                          </w:divBdr>
                                          <w:divsChild>
                                            <w:div w:id="318510125">
                                              <w:marLeft w:val="0"/>
                                              <w:marRight w:val="0"/>
                                              <w:marTop w:val="0"/>
                                              <w:marBottom w:val="0"/>
                                              <w:divBdr>
                                                <w:top w:val="single" w:sz="6" w:space="0" w:color="F5F5F5"/>
                                                <w:left w:val="single" w:sz="6" w:space="0" w:color="F5F5F5"/>
                                                <w:bottom w:val="single" w:sz="6" w:space="0" w:color="F5F5F5"/>
                                                <w:right w:val="single" w:sz="6" w:space="0" w:color="F5F5F5"/>
                                              </w:divBdr>
                                              <w:divsChild>
                                                <w:div w:id="1843859741">
                                                  <w:marLeft w:val="0"/>
                                                  <w:marRight w:val="0"/>
                                                  <w:marTop w:val="0"/>
                                                  <w:marBottom w:val="0"/>
                                                  <w:divBdr>
                                                    <w:top w:val="none" w:sz="0" w:space="0" w:color="auto"/>
                                                    <w:left w:val="none" w:sz="0" w:space="0" w:color="auto"/>
                                                    <w:bottom w:val="none" w:sz="0" w:space="0" w:color="auto"/>
                                                    <w:right w:val="none" w:sz="0" w:space="0" w:color="auto"/>
                                                  </w:divBdr>
                                                  <w:divsChild>
                                                    <w:div w:id="7585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551902">
      <w:bodyDiv w:val="1"/>
      <w:marLeft w:val="0"/>
      <w:marRight w:val="0"/>
      <w:marTop w:val="0"/>
      <w:marBottom w:val="0"/>
      <w:divBdr>
        <w:top w:val="none" w:sz="0" w:space="0" w:color="auto"/>
        <w:left w:val="none" w:sz="0" w:space="0" w:color="auto"/>
        <w:bottom w:val="none" w:sz="0" w:space="0" w:color="auto"/>
        <w:right w:val="none" w:sz="0" w:space="0" w:color="auto"/>
      </w:divBdr>
    </w:div>
    <w:div w:id="806976067">
      <w:bodyDiv w:val="1"/>
      <w:marLeft w:val="0"/>
      <w:marRight w:val="0"/>
      <w:marTop w:val="0"/>
      <w:marBottom w:val="0"/>
      <w:divBdr>
        <w:top w:val="none" w:sz="0" w:space="0" w:color="auto"/>
        <w:left w:val="none" w:sz="0" w:space="0" w:color="auto"/>
        <w:bottom w:val="none" w:sz="0" w:space="0" w:color="auto"/>
        <w:right w:val="none" w:sz="0" w:space="0" w:color="auto"/>
      </w:divBdr>
    </w:div>
    <w:div w:id="807669326">
      <w:bodyDiv w:val="1"/>
      <w:marLeft w:val="0"/>
      <w:marRight w:val="0"/>
      <w:marTop w:val="0"/>
      <w:marBottom w:val="0"/>
      <w:divBdr>
        <w:top w:val="none" w:sz="0" w:space="0" w:color="auto"/>
        <w:left w:val="none" w:sz="0" w:space="0" w:color="auto"/>
        <w:bottom w:val="none" w:sz="0" w:space="0" w:color="auto"/>
        <w:right w:val="none" w:sz="0" w:space="0" w:color="auto"/>
      </w:divBdr>
    </w:div>
    <w:div w:id="809789614">
      <w:bodyDiv w:val="1"/>
      <w:marLeft w:val="0"/>
      <w:marRight w:val="0"/>
      <w:marTop w:val="0"/>
      <w:marBottom w:val="0"/>
      <w:divBdr>
        <w:top w:val="none" w:sz="0" w:space="0" w:color="auto"/>
        <w:left w:val="none" w:sz="0" w:space="0" w:color="auto"/>
        <w:bottom w:val="none" w:sz="0" w:space="0" w:color="auto"/>
        <w:right w:val="none" w:sz="0" w:space="0" w:color="auto"/>
      </w:divBdr>
    </w:div>
    <w:div w:id="810833100">
      <w:bodyDiv w:val="1"/>
      <w:marLeft w:val="0"/>
      <w:marRight w:val="0"/>
      <w:marTop w:val="0"/>
      <w:marBottom w:val="0"/>
      <w:divBdr>
        <w:top w:val="none" w:sz="0" w:space="0" w:color="auto"/>
        <w:left w:val="none" w:sz="0" w:space="0" w:color="auto"/>
        <w:bottom w:val="none" w:sz="0" w:space="0" w:color="auto"/>
        <w:right w:val="none" w:sz="0" w:space="0" w:color="auto"/>
      </w:divBdr>
    </w:div>
    <w:div w:id="813523802">
      <w:bodyDiv w:val="1"/>
      <w:marLeft w:val="0"/>
      <w:marRight w:val="0"/>
      <w:marTop w:val="0"/>
      <w:marBottom w:val="0"/>
      <w:divBdr>
        <w:top w:val="none" w:sz="0" w:space="0" w:color="auto"/>
        <w:left w:val="none" w:sz="0" w:space="0" w:color="auto"/>
        <w:bottom w:val="none" w:sz="0" w:space="0" w:color="auto"/>
        <w:right w:val="none" w:sz="0" w:space="0" w:color="auto"/>
      </w:divBdr>
    </w:div>
    <w:div w:id="818614567">
      <w:bodyDiv w:val="1"/>
      <w:marLeft w:val="0"/>
      <w:marRight w:val="0"/>
      <w:marTop w:val="0"/>
      <w:marBottom w:val="0"/>
      <w:divBdr>
        <w:top w:val="none" w:sz="0" w:space="0" w:color="auto"/>
        <w:left w:val="none" w:sz="0" w:space="0" w:color="auto"/>
        <w:bottom w:val="none" w:sz="0" w:space="0" w:color="auto"/>
        <w:right w:val="none" w:sz="0" w:space="0" w:color="auto"/>
      </w:divBdr>
    </w:div>
    <w:div w:id="823007894">
      <w:bodyDiv w:val="1"/>
      <w:marLeft w:val="0"/>
      <w:marRight w:val="0"/>
      <w:marTop w:val="0"/>
      <w:marBottom w:val="0"/>
      <w:divBdr>
        <w:top w:val="none" w:sz="0" w:space="0" w:color="auto"/>
        <w:left w:val="none" w:sz="0" w:space="0" w:color="auto"/>
        <w:bottom w:val="none" w:sz="0" w:space="0" w:color="auto"/>
        <w:right w:val="none" w:sz="0" w:space="0" w:color="auto"/>
      </w:divBdr>
    </w:div>
    <w:div w:id="824202909">
      <w:bodyDiv w:val="1"/>
      <w:marLeft w:val="0"/>
      <w:marRight w:val="0"/>
      <w:marTop w:val="0"/>
      <w:marBottom w:val="0"/>
      <w:divBdr>
        <w:top w:val="none" w:sz="0" w:space="0" w:color="auto"/>
        <w:left w:val="none" w:sz="0" w:space="0" w:color="auto"/>
        <w:bottom w:val="none" w:sz="0" w:space="0" w:color="auto"/>
        <w:right w:val="none" w:sz="0" w:space="0" w:color="auto"/>
      </w:divBdr>
    </w:div>
    <w:div w:id="824736372">
      <w:bodyDiv w:val="1"/>
      <w:marLeft w:val="0"/>
      <w:marRight w:val="0"/>
      <w:marTop w:val="0"/>
      <w:marBottom w:val="0"/>
      <w:divBdr>
        <w:top w:val="none" w:sz="0" w:space="0" w:color="auto"/>
        <w:left w:val="none" w:sz="0" w:space="0" w:color="auto"/>
        <w:bottom w:val="none" w:sz="0" w:space="0" w:color="auto"/>
        <w:right w:val="none" w:sz="0" w:space="0" w:color="auto"/>
      </w:divBdr>
    </w:div>
    <w:div w:id="826091149">
      <w:bodyDiv w:val="1"/>
      <w:marLeft w:val="0"/>
      <w:marRight w:val="0"/>
      <w:marTop w:val="0"/>
      <w:marBottom w:val="0"/>
      <w:divBdr>
        <w:top w:val="none" w:sz="0" w:space="0" w:color="auto"/>
        <w:left w:val="none" w:sz="0" w:space="0" w:color="auto"/>
        <w:bottom w:val="none" w:sz="0" w:space="0" w:color="auto"/>
        <w:right w:val="none" w:sz="0" w:space="0" w:color="auto"/>
      </w:divBdr>
    </w:div>
    <w:div w:id="827597698">
      <w:bodyDiv w:val="1"/>
      <w:marLeft w:val="0"/>
      <w:marRight w:val="0"/>
      <w:marTop w:val="0"/>
      <w:marBottom w:val="0"/>
      <w:divBdr>
        <w:top w:val="none" w:sz="0" w:space="0" w:color="auto"/>
        <w:left w:val="none" w:sz="0" w:space="0" w:color="auto"/>
        <w:bottom w:val="none" w:sz="0" w:space="0" w:color="auto"/>
        <w:right w:val="none" w:sz="0" w:space="0" w:color="auto"/>
      </w:divBdr>
    </w:div>
    <w:div w:id="829567612">
      <w:bodyDiv w:val="1"/>
      <w:marLeft w:val="0"/>
      <w:marRight w:val="0"/>
      <w:marTop w:val="0"/>
      <w:marBottom w:val="0"/>
      <w:divBdr>
        <w:top w:val="none" w:sz="0" w:space="0" w:color="auto"/>
        <w:left w:val="none" w:sz="0" w:space="0" w:color="auto"/>
        <w:bottom w:val="none" w:sz="0" w:space="0" w:color="auto"/>
        <w:right w:val="none" w:sz="0" w:space="0" w:color="auto"/>
      </w:divBdr>
    </w:div>
    <w:div w:id="830827256">
      <w:bodyDiv w:val="1"/>
      <w:marLeft w:val="0"/>
      <w:marRight w:val="0"/>
      <w:marTop w:val="0"/>
      <w:marBottom w:val="0"/>
      <w:divBdr>
        <w:top w:val="none" w:sz="0" w:space="0" w:color="auto"/>
        <w:left w:val="none" w:sz="0" w:space="0" w:color="auto"/>
        <w:bottom w:val="none" w:sz="0" w:space="0" w:color="auto"/>
        <w:right w:val="none" w:sz="0" w:space="0" w:color="auto"/>
      </w:divBdr>
    </w:div>
    <w:div w:id="833228743">
      <w:bodyDiv w:val="1"/>
      <w:marLeft w:val="0"/>
      <w:marRight w:val="0"/>
      <w:marTop w:val="0"/>
      <w:marBottom w:val="0"/>
      <w:divBdr>
        <w:top w:val="none" w:sz="0" w:space="0" w:color="auto"/>
        <w:left w:val="none" w:sz="0" w:space="0" w:color="auto"/>
        <w:bottom w:val="none" w:sz="0" w:space="0" w:color="auto"/>
        <w:right w:val="none" w:sz="0" w:space="0" w:color="auto"/>
      </w:divBdr>
    </w:div>
    <w:div w:id="837621288">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43204806">
      <w:bodyDiv w:val="1"/>
      <w:marLeft w:val="0"/>
      <w:marRight w:val="0"/>
      <w:marTop w:val="0"/>
      <w:marBottom w:val="0"/>
      <w:divBdr>
        <w:top w:val="none" w:sz="0" w:space="0" w:color="auto"/>
        <w:left w:val="none" w:sz="0" w:space="0" w:color="auto"/>
        <w:bottom w:val="none" w:sz="0" w:space="0" w:color="auto"/>
        <w:right w:val="none" w:sz="0" w:space="0" w:color="auto"/>
      </w:divBdr>
    </w:div>
    <w:div w:id="850294316">
      <w:bodyDiv w:val="1"/>
      <w:marLeft w:val="0"/>
      <w:marRight w:val="0"/>
      <w:marTop w:val="0"/>
      <w:marBottom w:val="0"/>
      <w:divBdr>
        <w:top w:val="none" w:sz="0" w:space="0" w:color="auto"/>
        <w:left w:val="none" w:sz="0" w:space="0" w:color="auto"/>
        <w:bottom w:val="none" w:sz="0" w:space="0" w:color="auto"/>
        <w:right w:val="none" w:sz="0" w:space="0" w:color="auto"/>
      </w:divBdr>
    </w:div>
    <w:div w:id="851410347">
      <w:bodyDiv w:val="1"/>
      <w:marLeft w:val="0"/>
      <w:marRight w:val="0"/>
      <w:marTop w:val="0"/>
      <w:marBottom w:val="0"/>
      <w:divBdr>
        <w:top w:val="none" w:sz="0" w:space="0" w:color="auto"/>
        <w:left w:val="none" w:sz="0" w:space="0" w:color="auto"/>
        <w:bottom w:val="none" w:sz="0" w:space="0" w:color="auto"/>
        <w:right w:val="none" w:sz="0" w:space="0" w:color="auto"/>
      </w:divBdr>
    </w:div>
    <w:div w:id="853347552">
      <w:bodyDiv w:val="1"/>
      <w:marLeft w:val="0"/>
      <w:marRight w:val="0"/>
      <w:marTop w:val="0"/>
      <w:marBottom w:val="0"/>
      <w:divBdr>
        <w:top w:val="none" w:sz="0" w:space="0" w:color="auto"/>
        <w:left w:val="none" w:sz="0" w:space="0" w:color="auto"/>
        <w:bottom w:val="none" w:sz="0" w:space="0" w:color="auto"/>
        <w:right w:val="none" w:sz="0" w:space="0" w:color="auto"/>
      </w:divBdr>
    </w:div>
    <w:div w:id="853347814">
      <w:bodyDiv w:val="1"/>
      <w:marLeft w:val="0"/>
      <w:marRight w:val="0"/>
      <w:marTop w:val="0"/>
      <w:marBottom w:val="0"/>
      <w:divBdr>
        <w:top w:val="none" w:sz="0" w:space="0" w:color="auto"/>
        <w:left w:val="none" w:sz="0" w:space="0" w:color="auto"/>
        <w:bottom w:val="none" w:sz="0" w:space="0" w:color="auto"/>
        <w:right w:val="none" w:sz="0" w:space="0" w:color="auto"/>
      </w:divBdr>
    </w:div>
    <w:div w:id="857814753">
      <w:bodyDiv w:val="1"/>
      <w:marLeft w:val="0"/>
      <w:marRight w:val="0"/>
      <w:marTop w:val="0"/>
      <w:marBottom w:val="0"/>
      <w:divBdr>
        <w:top w:val="none" w:sz="0" w:space="0" w:color="auto"/>
        <w:left w:val="none" w:sz="0" w:space="0" w:color="auto"/>
        <w:bottom w:val="none" w:sz="0" w:space="0" w:color="auto"/>
        <w:right w:val="none" w:sz="0" w:space="0" w:color="auto"/>
      </w:divBdr>
    </w:div>
    <w:div w:id="864053974">
      <w:bodyDiv w:val="1"/>
      <w:marLeft w:val="0"/>
      <w:marRight w:val="0"/>
      <w:marTop w:val="0"/>
      <w:marBottom w:val="0"/>
      <w:divBdr>
        <w:top w:val="none" w:sz="0" w:space="0" w:color="auto"/>
        <w:left w:val="none" w:sz="0" w:space="0" w:color="auto"/>
        <w:bottom w:val="none" w:sz="0" w:space="0" w:color="auto"/>
        <w:right w:val="none" w:sz="0" w:space="0" w:color="auto"/>
      </w:divBdr>
    </w:div>
    <w:div w:id="865026980">
      <w:bodyDiv w:val="1"/>
      <w:marLeft w:val="0"/>
      <w:marRight w:val="0"/>
      <w:marTop w:val="0"/>
      <w:marBottom w:val="0"/>
      <w:divBdr>
        <w:top w:val="none" w:sz="0" w:space="0" w:color="auto"/>
        <w:left w:val="none" w:sz="0" w:space="0" w:color="auto"/>
        <w:bottom w:val="none" w:sz="0" w:space="0" w:color="auto"/>
        <w:right w:val="none" w:sz="0" w:space="0" w:color="auto"/>
      </w:divBdr>
    </w:div>
    <w:div w:id="868224915">
      <w:bodyDiv w:val="1"/>
      <w:marLeft w:val="0"/>
      <w:marRight w:val="0"/>
      <w:marTop w:val="0"/>
      <w:marBottom w:val="0"/>
      <w:divBdr>
        <w:top w:val="none" w:sz="0" w:space="0" w:color="auto"/>
        <w:left w:val="none" w:sz="0" w:space="0" w:color="auto"/>
        <w:bottom w:val="none" w:sz="0" w:space="0" w:color="auto"/>
        <w:right w:val="none" w:sz="0" w:space="0" w:color="auto"/>
      </w:divBdr>
    </w:div>
    <w:div w:id="869611588">
      <w:bodyDiv w:val="1"/>
      <w:marLeft w:val="0"/>
      <w:marRight w:val="0"/>
      <w:marTop w:val="0"/>
      <w:marBottom w:val="0"/>
      <w:divBdr>
        <w:top w:val="none" w:sz="0" w:space="0" w:color="auto"/>
        <w:left w:val="none" w:sz="0" w:space="0" w:color="auto"/>
        <w:bottom w:val="none" w:sz="0" w:space="0" w:color="auto"/>
        <w:right w:val="none" w:sz="0" w:space="0" w:color="auto"/>
      </w:divBdr>
    </w:div>
    <w:div w:id="872153846">
      <w:bodyDiv w:val="1"/>
      <w:marLeft w:val="0"/>
      <w:marRight w:val="0"/>
      <w:marTop w:val="0"/>
      <w:marBottom w:val="0"/>
      <w:divBdr>
        <w:top w:val="none" w:sz="0" w:space="0" w:color="auto"/>
        <w:left w:val="none" w:sz="0" w:space="0" w:color="auto"/>
        <w:bottom w:val="none" w:sz="0" w:space="0" w:color="auto"/>
        <w:right w:val="none" w:sz="0" w:space="0" w:color="auto"/>
      </w:divBdr>
    </w:div>
    <w:div w:id="872771511">
      <w:bodyDiv w:val="1"/>
      <w:marLeft w:val="0"/>
      <w:marRight w:val="0"/>
      <w:marTop w:val="0"/>
      <w:marBottom w:val="0"/>
      <w:divBdr>
        <w:top w:val="none" w:sz="0" w:space="0" w:color="auto"/>
        <w:left w:val="none" w:sz="0" w:space="0" w:color="auto"/>
        <w:bottom w:val="none" w:sz="0" w:space="0" w:color="auto"/>
        <w:right w:val="none" w:sz="0" w:space="0" w:color="auto"/>
      </w:divBdr>
    </w:div>
    <w:div w:id="881599184">
      <w:bodyDiv w:val="1"/>
      <w:marLeft w:val="0"/>
      <w:marRight w:val="0"/>
      <w:marTop w:val="0"/>
      <w:marBottom w:val="0"/>
      <w:divBdr>
        <w:top w:val="none" w:sz="0" w:space="0" w:color="auto"/>
        <w:left w:val="none" w:sz="0" w:space="0" w:color="auto"/>
        <w:bottom w:val="none" w:sz="0" w:space="0" w:color="auto"/>
        <w:right w:val="none" w:sz="0" w:space="0" w:color="auto"/>
      </w:divBdr>
    </w:div>
    <w:div w:id="881939728">
      <w:bodyDiv w:val="1"/>
      <w:marLeft w:val="0"/>
      <w:marRight w:val="0"/>
      <w:marTop w:val="0"/>
      <w:marBottom w:val="0"/>
      <w:divBdr>
        <w:top w:val="none" w:sz="0" w:space="0" w:color="auto"/>
        <w:left w:val="none" w:sz="0" w:space="0" w:color="auto"/>
        <w:bottom w:val="none" w:sz="0" w:space="0" w:color="auto"/>
        <w:right w:val="none" w:sz="0" w:space="0" w:color="auto"/>
      </w:divBdr>
    </w:div>
    <w:div w:id="891035442">
      <w:bodyDiv w:val="1"/>
      <w:marLeft w:val="0"/>
      <w:marRight w:val="0"/>
      <w:marTop w:val="0"/>
      <w:marBottom w:val="0"/>
      <w:divBdr>
        <w:top w:val="none" w:sz="0" w:space="0" w:color="auto"/>
        <w:left w:val="none" w:sz="0" w:space="0" w:color="auto"/>
        <w:bottom w:val="none" w:sz="0" w:space="0" w:color="auto"/>
        <w:right w:val="none" w:sz="0" w:space="0" w:color="auto"/>
      </w:divBdr>
    </w:div>
    <w:div w:id="893272558">
      <w:bodyDiv w:val="1"/>
      <w:marLeft w:val="0"/>
      <w:marRight w:val="0"/>
      <w:marTop w:val="0"/>
      <w:marBottom w:val="0"/>
      <w:divBdr>
        <w:top w:val="none" w:sz="0" w:space="0" w:color="auto"/>
        <w:left w:val="none" w:sz="0" w:space="0" w:color="auto"/>
        <w:bottom w:val="none" w:sz="0" w:space="0" w:color="auto"/>
        <w:right w:val="none" w:sz="0" w:space="0" w:color="auto"/>
      </w:divBdr>
    </w:div>
    <w:div w:id="894051154">
      <w:bodyDiv w:val="1"/>
      <w:marLeft w:val="0"/>
      <w:marRight w:val="0"/>
      <w:marTop w:val="0"/>
      <w:marBottom w:val="0"/>
      <w:divBdr>
        <w:top w:val="none" w:sz="0" w:space="0" w:color="auto"/>
        <w:left w:val="none" w:sz="0" w:space="0" w:color="auto"/>
        <w:bottom w:val="none" w:sz="0" w:space="0" w:color="auto"/>
        <w:right w:val="none" w:sz="0" w:space="0" w:color="auto"/>
      </w:divBdr>
    </w:div>
    <w:div w:id="901646669">
      <w:bodyDiv w:val="1"/>
      <w:marLeft w:val="0"/>
      <w:marRight w:val="0"/>
      <w:marTop w:val="0"/>
      <w:marBottom w:val="0"/>
      <w:divBdr>
        <w:top w:val="none" w:sz="0" w:space="0" w:color="auto"/>
        <w:left w:val="none" w:sz="0" w:space="0" w:color="auto"/>
        <w:bottom w:val="none" w:sz="0" w:space="0" w:color="auto"/>
        <w:right w:val="none" w:sz="0" w:space="0" w:color="auto"/>
      </w:divBdr>
    </w:div>
    <w:div w:id="903563984">
      <w:bodyDiv w:val="1"/>
      <w:marLeft w:val="0"/>
      <w:marRight w:val="0"/>
      <w:marTop w:val="0"/>
      <w:marBottom w:val="0"/>
      <w:divBdr>
        <w:top w:val="none" w:sz="0" w:space="0" w:color="auto"/>
        <w:left w:val="none" w:sz="0" w:space="0" w:color="auto"/>
        <w:bottom w:val="none" w:sz="0" w:space="0" w:color="auto"/>
        <w:right w:val="none" w:sz="0" w:space="0" w:color="auto"/>
      </w:divBdr>
    </w:div>
    <w:div w:id="905191875">
      <w:bodyDiv w:val="1"/>
      <w:marLeft w:val="0"/>
      <w:marRight w:val="0"/>
      <w:marTop w:val="0"/>
      <w:marBottom w:val="0"/>
      <w:divBdr>
        <w:top w:val="none" w:sz="0" w:space="0" w:color="auto"/>
        <w:left w:val="none" w:sz="0" w:space="0" w:color="auto"/>
        <w:bottom w:val="none" w:sz="0" w:space="0" w:color="auto"/>
        <w:right w:val="none" w:sz="0" w:space="0" w:color="auto"/>
      </w:divBdr>
    </w:div>
    <w:div w:id="907304755">
      <w:bodyDiv w:val="1"/>
      <w:marLeft w:val="0"/>
      <w:marRight w:val="0"/>
      <w:marTop w:val="0"/>
      <w:marBottom w:val="0"/>
      <w:divBdr>
        <w:top w:val="none" w:sz="0" w:space="0" w:color="auto"/>
        <w:left w:val="none" w:sz="0" w:space="0" w:color="auto"/>
        <w:bottom w:val="none" w:sz="0" w:space="0" w:color="auto"/>
        <w:right w:val="none" w:sz="0" w:space="0" w:color="auto"/>
      </w:divBdr>
    </w:div>
    <w:div w:id="914163775">
      <w:bodyDiv w:val="1"/>
      <w:marLeft w:val="0"/>
      <w:marRight w:val="0"/>
      <w:marTop w:val="0"/>
      <w:marBottom w:val="0"/>
      <w:divBdr>
        <w:top w:val="none" w:sz="0" w:space="0" w:color="auto"/>
        <w:left w:val="none" w:sz="0" w:space="0" w:color="auto"/>
        <w:bottom w:val="none" w:sz="0" w:space="0" w:color="auto"/>
        <w:right w:val="none" w:sz="0" w:space="0" w:color="auto"/>
      </w:divBdr>
    </w:div>
    <w:div w:id="919604338">
      <w:bodyDiv w:val="1"/>
      <w:marLeft w:val="0"/>
      <w:marRight w:val="0"/>
      <w:marTop w:val="0"/>
      <w:marBottom w:val="0"/>
      <w:divBdr>
        <w:top w:val="none" w:sz="0" w:space="0" w:color="auto"/>
        <w:left w:val="none" w:sz="0" w:space="0" w:color="auto"/>
        <w:bottom w:val="none" w:sz="0" w:space="0" w:color="auto"/>
        <w:right w:val="none" w:sz="0" w:space="0" w:color="auto"/>
      </w:divBdr>
    </w:div>
    <w:div w:id="919867423">
      <w:bodyDiv w:val="1"/>
      <w:marLeft w:val="0"/>
      <w:marRight w:val="0"/>
      <w:marTop w:val="0"/>
      <w:marBottom w:val="0"/>
      <w:divBdr>
        <w:top w:val="none" w:sz="0" w:space="0" w:color="auto"/>
        <w:left w:val="none" w:sz="0" w:space="0" w:color="auto"/>
        <w:bottom w:val="none" w:sz="0" w:space="0" w:color="auto"/>
        <w:right w:val="none" w:sz="0" w:space="0" w:color="auto"/>
      </w:divBdr>
    </w:div>
    <w:div w:id="919869504">
      <w:bodyDiv w:val="1"/>
      <w:marLeft w:val="0"/>
      <w:marRight w:val="0"/>
      <w:marTop w:val="0"/>
      <w:marBottom w:val="0"/>
      <w:divBdr>
        <w:top w:val="none" w:sz="0" w:space="0" w:color="auto"/>
        <w:left w:val="none" w:sz="0" w:space="0" w:color="auto"/>
        <w:bottom w:val="none" w:sz="0" w:space="0" w:color="auto"/>
        <w:right w:val="none" w:sz="0" w:space="0" w:color="auto"/>
      </w:divBdr>
    </w:div>
    <w:div w:id="938417289">
      <w:bodyDiv w:val="1"/>
      <w:marLeft w:val="0"/>
      <w:marRight w:val="0"/>
      <w:marTop w:val="0"/>
      <w:marBottom w:val="0"/>
      <w:divBdr>
        <w:top w:val="none" w:sz="0" w:space="0" w:color="auto"/>
        <w:left w:val="none" w:sz="0" w:space="0" w:color="auto"/>
        <w:bottom w:val="none" w:sz="0" w:space="0" w:color="auto"/>
        <w:right w:val="none" w:sz="0" w:space="0" w:color="auto"/>
      </w:divBdr>
    </w:div>
    <w:div w:id="940381150">
      <w:bodyDiv w:val="1"/>
      <w:marLeft w:val="0"/>
      <w:marRight w:val="0"/>
      <w:marTop w:val="0"/>
      <w:marBottom w:val="0"/>
      <w:divBdr>
        <w:top w:val="none" w:sz="0" w:space="0" w:color="auto"/>
        <w:left w:val="none" w:sz="0" w:space="0" w:color="auto"/>
        <w:bottom w:val="none" w:sz="0" w:space="0" w:color="auto"/>
        <w:right w:val="none" w:sz="0" w:space="0" w:color="auto"/>
      </w:divBdr>
    </w:div>
    <w:div w:id="941646526">
      <w:bodyDiv w:val="1"/>
      <w:marLeft w:val="0"/>
      <w:marRight w:val="0"/>
      <w:marTop w:val="0"/>
      <w:marBottom w:val="0"/>
      <w:divBdr>
        <w:top w:val="none" w:sz="0" w:space="0" w:color="auto"/>
        <w:left w:val="none" w:sz="0" w:space="0" w:color="auto"/>
        <w:bottom w:val="none" w:sz="0" w:space="0" w:color="auto"/>
        <w:right w:val="none" w:sz="0" w:space="0" w:color="auto"/>
      </w:divBdr>
    </w:div>
    <w:div w:id="946890568">
      <w:bodyDiv w:val="1"/>
      <w:marLeft w:val="0"/>
      <w:marRight w:val="0"/>
      <w:marTop w:val="0"/>
      <w:marBottom w:val="0"/>
      <w:divBdr>
        <w:top w:val="none" w:sz="0" w:space="0" w:color="auto"/>
        <w:left w:val="none" w:sz="0" w:space="0" w:color="auto"/>
        <w:bottom w:val="none" w:sz="0" w:space="0" w:color="auto"/>
        <w:right w:val="none" w:sz="0" w:space="0" w:color="auto"/>
      </w:divBdr>
    </w:div>
    <w:div w:id="948390578">
      <w:bodyDiv w:val="1"/>
      <w:marLeft w:val="0"/>
      <w:marRight w:val="0"/>
      <w:marTop w:val="0"/>
      <w:marBottom w:val="0"/>
      <w:divBdr>
        <w:top w:val="none" w:sz="0" w:space="0" w:color="auto"/>
        <w:left w:val="none" w:sz="0" w:space="0" w:color="auto"/>
        <w:bottom w:val="none" w:sz="0" w:space="0" w:color="auto"/>
        <w:right w:val="none" w:sz="0" w:space="0" w:color="auto"/>
      </w:divBdr>
    </w:div>
    <w:div w:id="957029187">
      <w:bodyDiv w:val="1"/>
      <w:marLeft w:val="0"/>
      <w:marRight w:val="0"/>
      <w:marTop w:val="0"/>
      <w:marBottom w:val="0"/>
      <w:divBdr>
        <w:top w:val="none" w:sz="0" w:space="0" w:color="auto"/>
        <w:left w:val="none" w:sz="0" w:space="0" w:color="auto"/>
        <w:bottom w:val="none" w:sz="0" w:space="0" w:color="auto"/>
        <w:right w:val="none" w:sz="0" w:space="0" w:color="auto"/>
      </w:divBdr>
    </w:div>
    <w:div w:id="958609625">
      <w:bodyDiv w:val="1"/>
      <w:marLeft w:val="0"/>
      <w:marRight w:val="0"/>
      <w:marTop w:val="0"/>
      <w:marBottom w:val="0"/>
      <w:divBdr>
        <w:top w:val="none" w:sz="0" w:space="0" w:color="auto"/>
        <w:left w:val="none" w:sz="0" w:space="0" w:color="auto"/>
        <w:bottom w:val="none" w:sz="0" w:space="0" w:color="auto"/>
        <w:right w:val="none" w:sz="0" w:space="0" w:color="auto"/>
      </w:divBdr>
    </w:div>
    <w:div w:id="961377914">
      <w:bodyDiv w:val="1"/>
      <w:marLeft w:val="0"/>
      <w:marRight w:val="0"/>
      <w:marTop w:val="0"/>
      <w:marBottom w:val="0"/>
      <w:divBdr>
        <w:top w:val="none" w:sz="0" w:space="0" w:color="auto"/>
        <w:left w:val="none" w:sz="0" w:space="0" w:color="auto"/>
        <w:bottom w:val="none" w:sz="0" w:space="0" w:color="auto"/>
        <w:right w:val="none" w:sz="0" w:space="0" w:color="auto"/>
      </w:divBdr>
    </w:div>
    <w:div w:id="962997325">
      <w:bodyDiv w:val="1"/>
      <w:marLeft w:val="0"/>
      <w:marRight w:val="0"/>
      <w:marTop w:val="0"/>
      <w:marBottom w:val="0"/>
      <w:divBdr>
        <w:top w:val="none" w:sz="0" w:space="0" w:color="auto"/>
        <w:left w:val="none" w:sz="0" w:space="0" w:color="auto"/>
        <w:bottom w:val="none" w:sz="0" w:space="0" w:color="auto"/>
        <w:right w:val="none" w:sz="0" w:space="0" w:color="auto"/>
      </w:divBdr>
    </w:div>
    <w:div w:id="964896604">
      <w:bodyDiv w:val="1"/>
      <w:marLeft w:val="0"/>
      <w:marRight w:val="0"/>
      <w:marTop w:val="0"/>
      <w:marBottom w:val="0"/>
      <w:divBdr>
        <w:top w:val="none" w:sz="0" w:space="0" w:color="auto"/>
        <w:left w:val="none" w:sz="0" w:space="0" w:color="auto"/>
        <w:bottom w:val="none" w:sz="0" w:space="0" w:color="auto"/>
        <w:right w:val="none" w:sz="0" w:space="0" w:color="auto"/>
      </w:divBdr>
    </w:div>
    <w:div w:id="967323784">
      <w:bodyDiv w:val="1"/>
      <w:marLeft w:val="0"/>
      <w:marRight w:val="0"/>
      <w:marTop w:val="0"/>
      <w:marBottom w:val="0"/>
      <w:divBdr>
        <w:top w:val="none" w:sz="0" w:space="0" w:color="auto"/>
        <w:left w:val="none" w:sz="0" w:space="0" w:color="auto"/>
        <w:bottom w:val="none" w:sz="0" w:space="0" w:color="auto"/>
        <w:right w:val="none" w:sz="0" w:space="0" w:color="auto"/>
      </w:divBdr>
    </w:div>
    <w:div w:id="968051959">
      <w:bodyDiv w:val="1"/>
      <w:marLeft w:val="0"/>
      <w:marRight w:val="0"/>
      <w:marTop w:val="0"/>
      <w:marBottom w:val="0"/>
      <w:divBdr>
        <w:top w:val="none" w:sz="0" w:space="0" w:color="auto"/>
        <w:left w:val="none" w:sz="0" w:space="0" w:color="auto"/>
        <w:bottom w:val="none" w:sz="0" w:space="0" w:color="auto"/>
        <w:right w:val="none" w:sz="0" w:space="0" w:color="auto"/>
      </w:divBdr>
    </w:div>
    <w:div w:id="968441754">
      <w:bodyDiv w:val="1"/>
      <w:marLeft w:val="0"/>
      <w:marRight w:val="0"/>
      <w:marTop w:val="0"/>
      <w:marBottom w:val="0"/>
      <w:divBdr>
        <w:top w:val="none" w:sz="0" w:space="0" w:color="auto"/>
        <w:left w:val="none" w:sz="0" w:space="0" w:color="auto"/>
        <w:bottom w:val="none" w:sz="0" w:space="0" w:color="auto"/>
        <w:right w:val="none" w:sz="0" w:space="0" w:color="auto"/>
      </w:divBdr>
    </w:div>
    <w:div w:id="969360053">
      <w:bodyDiv w:val="1"/>
      <w:marLeft w:val="0"/>
      <w:marRight w:val="0"/>
      <w:marTop w:val="0"/>
      <w:marBottom w:val="0"/>
      <w:divBdr>
        <w:top w:val="none" w:sz="0" w:space="0" w:color="auto"/>
        <w:left w:val="none" w:sz="0" w:space="0" w:color="auto"/>
        <w:bottom w:val="none" w:sz="0" w:space="0" w:color="auto"/>
        <w:right w:val="none" w:sz="0" w:space="0" w:color="auto"/>
      </w:divBdr>
    </w:div>
    <w:div w:id="972832633">
      <w:bodyDiv w:val="1"/>
      <w:marLeft w:val="0"/>
      <w:marRight w:val="0"/>
      <w:marTop w:val="0"/>
      <w:marBottom w:val="0"/>
      <w:divBdr>
        <w:top w:val="none" w:sz="0" w:space="0" w:color="auto"/>
        <w:left w:val="none" w:sz="0" w:space="0" w:color="auto"/>
        <w:bottom w:val="none" w:sz="0" w:space="0" w:color="auto"/>
        <w:right w:val="none" w:sz="0" w:space="0" w:color="auto"/>
      </w:divBdr>
    </w:div>
    <w:div w:id="976110483">
      <w:bodyDiv w:val="1"/>
      <w:marLeft w:val="0"/>
      <w:marRight w:val="0"/>
      <w:marTop w:val="0"/>
      <w:marBottom w:val="0"/>
      <w:divBdr>
        <w:top w:val="none" w:sz="0" w:space="0" w:color="auto"/>
        <w:left w:val="none" w:sz="0" w:space="0" w:color="auto"/>
        <w:bottom w:val="none" w:sz="0" w:space="0" w:color="auto"/>
        <w:right w:val="none" w:sz="0" w:space="0" w:color="auto"/>
      </w:divBdr>
    </w:div>
    <w:div w:id="978152338">
      <w:bodyDiv w:val="1"/>
      <w:marLeft w:val="0"/>
      <w:marRight w:val="0"/>
      <w:marTop w:val="0"/>
      <w:marBottom w:val="0"/>
      <w:divBdr>
        <w:top w:val="none" w:sz="0" w:space="0" w:color="auto"/>
        <w:left w:val="none" w:sz="0" w:space="0" w:color="auto"/>
        <w:bottom w:val="none" w:sz="0" w:space="0" w:color="auto"/>
        <w:right w:val="none" w:sz="0" w:space="0" w:color="auto"/>
      </w:divBdr>
    </w:div>
    <w:div w:id="978876878">
      <w:bodyDiv w:val="1"/>
      <w:marLeft w:val="0"/>
      <w:marRight w:val="0"/>
      <w:marTop w:val="0"/>
      <w:marBottom w:val="0"/>
      <w:divBdr>
        <w:top w:val="none" w:sz="0" w:space="0" w:color="auto"/>
        <w:left w:val="none" w:sz="0" w:space="0" w:color="auto"/>
        <w:bottom w:val="none" w:sz="0" w:space="0" w:color="auto"/>
        <w:right w:val="none" w:sz="0" w:space="0" w:color="auto"/>
      </w:divBdr>
    </w:div>
    <w:div w:id="979387911">
      <w:bodyDiv w:val="1"/>
      <w:marLeft w:val="0"/>
      <w:marRight w:val="0"/>
      <w:marTop w:val="0"/>
      <w:marBottom w:val="0"/>
      <w:divBdr>
        <w:top w:val="none" w:sz="0" w:space="0" w:color="auto"/>
        <w:left w:val="none" w:sz="0" w:space="0" w:color="auto"/>
        <w:bottom w:val="none" w:sz="0" w:space="0" w:color="auto"/>
        <w:right w:val="none" w:sz="0" w:space="0" w:color="auto"/>
      </w:divBdr>
    </w:div>
    <w:div w:id="980353772">
      <w:bodyDiv w:val="1"/>
      <w:marLeft w:val="0"/>
      <w:marRight w:val="0"/>
      <w:marTop w:val="0"/>
      <w:marBottom w:val="0"/>
      <w:divBdr>
        <w:top w:val="none" w:sz="0" w:space="0" w:color="auto"/>
        <w:left w:val="none" w:sz="0" w:space="0" w:color="auto"/>
        <w:bottom w:val="none" w:sz="0" w:space="0" w:color="auto"/>
        <w:right w:val="none" w:sz="0" w:space="0" w:color="auto"/>
      </w:divBdr>
    </w:div>
    <w:div w:id="986012616">
      <w:bodyDiv w:val="1"/>
      <w:marLeft w:val="0"/>
      <w:marRight w:val="0"/>
      <w:marTop w:val="0"/>
      <w:marBottom w:val="0"/>
      <w:divBdr>
        <w:top w:val="none" w:sz="0" w:space="0" w:color="auto"/>
        <w:left w:val="none" w:sz="0" w:space="0" w:color="auto"/>
        <w:bottom w:val="none" w:sz="0" w:space="0" w:color="auto"/>
        <w:right w:val="none" w:sz="0" w:space="0" w:color="auto"/>
      </w:divBdr>
    </w:div>
    <w:div w:id="990982053">
      <w:bodyDiv w:val="1"/>
      <w:marLeft w:val="0"/>
      <w:marRight w:val="0"/>
      <w:marTop w:val="0"/>
      <w:marBottom w:val="0"/>
      <w:divBdr>
        <w:top w:val="none" w:sz="0" w:space="0" w:color="auto"/>
        <w:left w:val="none" w:sz="0" w:space="0" w:color="auto"/>
        <w:bottom w:val="none" w:sz="0" w:space="0" w:color="auto"/>
        <w:right w:val="none" w:sz="0" w:space="0" w:color="auto"/>
      </w:divBdr>
    </w:div>
    <w:div w:id="993024735">
      <w:bodyDiv w:val="1"/>
      <w:marLeft w:val="0"/>
      <w:marRight w:val="0"/>
      <w:marTop w:val="0"/>
      <w:marBottom w:val="0"/>
      <w:divBdr>
        <w:top w:val="none" w:sz="0" w:space="0" w:color="auto"/>
        <w:left w:val="none" w:sz="0" w:space="0" w:color="auto"/>
        <w:bottom w:val="none" w:sz="0" w:space="0" w:color="auto"/>
        <w:right w:val="none" w:sz="0" w:space="0" w:color="auto"/>
      </w:divBdr>
    </w:div>
    <w:div w:id="995718394">
      <w:bodyDiv w:val="1"/>
      <w:marLeft w:val="0"/>
      <w:marRight w:val="0"/>
      <w:marTop w:val="0"/>
      <w:marBottom w:val="0"/>
      <w:divBdr>
        <w:top w:val="none" w:sz="0" w:space="0" w:color="auto"/>
        <w:left w:val="none" w:sz="0" w:space="0" w:color="auto"/>
        <w:bottom w:val="none" w:sz="0" w:space="0" w:color="auto"/>
        <w:right w:val="none" w:sz="0" w:space="0" w:color="auto"/>
      </w:divBdr>
    </w:div>
    <w:div w:id="998070776">
      <w:bodyDiv w:val="1"/>
      <w:marLeft w:val="0"/>
      <w:marRight w:val="0"/>
      <w:marTop w:val="0"/>
      <w:marBottom w:val="0"/>
      <w:divBdr>
        <w:top w:val="none" w:sz="0" w:space="0" w:color="auto"/>
        <w:left w:val="none" w:sz="0" w:space="0" w:color="auto"/>
        <w:bottom w:val="none" w:sz="0" w:space="0" w:color="auto"/>
        <w:right w:val="none" w:sz="0" w:space="0" w:color="auto"/>
      </w:divBdr>
      <w:divsChild>
        <w:div w:id="117992103">
          <w:marLeft w:val="0"/>
          <w:marRight w:val="0"/>
          <w:marTop w:val="0"/>
          <w:marBottom w:val="0"/>
          <w:divBdr>
            <w:top w:val="none" w:sz="0" w:space="0" w:color="auto"/>
            <w:left w:val="none" w:sz="0" w:space="0" w:color="auto"/>
            <w:bottom w:val="none" w:sz="0" w:space="0" w:color="auto"/>
            <w:right w:val="none" w:sz="0" w:space="0" w:color="auto"/>
          </w:divBdr>
          <w:divsChild>
            <w:div w:id="1572081508">
              <w:marLeft w:val="0"/>
              <w:marRight w:val="0"/>
              <w:marTop w:val="0"/>
              <w:marBottom w:val="0"/>
              <w:divBdr>
                <w:top w:val="none" w:sz="0" w:space="0" w:color="auto"/>
                <w:left w:val="none" w:sz="0" w:space="0" w:color="auto"/>
                <w:bottom w:val="none" w:sz="0" w:space="0" w:color="auto"/>
                <w:right w:val="none" w:sz="0" w:space="0" w:color="auto"/>
              </w:divBdr>
              <w:divsChild>
                <w:div w:id="269363318">
                  <w:marLeft w:val="0"/>
                  <w:marRight w:val="0"/>
                  <w:marTop w:val="0"/>
                  <w:marBottom w:val="0"/>
                  <w:divBdr>
                    <w:top w:val="none" w:sz="0" w:space="0" w:color="auto"/>
                    <w:left w:val="none" w:sz="0" w:space="0" w:color="auto"/>
                    <w:bottom w:val="none" w:sz="0" w:space="0" w:color="auto"/>
                    <w:right w:val="none" w:sz="0" w:space="0" w:color="auto"/>
                  </w:divBdr>
                  <w:divsChild>
                    <w:div w:id="1048727448">
                      <w:marLeft w:val="0"/>
                      <w:marRight w:val="0"/>
                      <w:marTop w:val="0"/>
                      <w:marBottom w:val="0"/>
                      <w:divBdr>
                        <w:top w:val="none" w:sz="0" w:space="0" w:color="auto"/>
                        <w:left w:val="none" w:sz="0" w:space="0" w:color="auto"/>
                        <w:bottom w:val="none" w:sz="0" w:space="0" w:color="auto"/>
                        <w:right w:val="none" w:sz="0" w:space="0" w:color="auto"/>
                      </w:divBdr>
                      <w:divsChild>
                        <w:div w:id="406340884">
                          <w:marLeft w:val="0"/>
                          <w:marRight w:val="0"/>
                          <w:marTop w:val="0"/>
                          <w:marBottom w:val="0"/>
                          <w:divBdr>
                            <w:top w:val="none" w:sz="0" w:space="0" w:color="auto"/>
                            <w:left w:val="none" w:sz="0" w:space="0" w:color="auto"/>
                            <w:bottom w:val="none" w:sz="0" w:space="0" w:color="auto"/>
                            <w:right w:val="none" w:sz="0" w:space="0" w:color="auto"/>
                          </w:divBdr>
                          <w:divsChild>
                            <w:div w:id="1064372168">
                              <w:marLeft w:val="0"/>
                              <w:marRight w:val="0"/>
                              <w:marTop w:val="0"/>
                              <w:marBottom w:val="0"/>
                              <w:divBdr>
                                <w:top w:val="none" w:sz="0" w:space="0" w:color="auto"/>
                                <w:left w:val="none" w:sz="0" w:space="0" w:color="auto"/>
                                <w:bottom w:val="none" w:sz="0" w:space="0" w:color="auto"/>
                                <w:right w:val="none" w:sz="0" w:space="0" w:color="auto"/>
                              </w:divBdr>
                              <w:divsChild>
                                <w:div w:id="124466074">
                                  <w:marLeft w:val="0"/>
                                  <w:marRight w:val="0"/>
                                  <w:marTop w:val="0"/>
                                  <w:marBottom w:val="0"/>
                                  <w:divBdr>
                                    <w:top w:val="none" w:sz="0" w:space="0" w:color="auto"/>
                                    <w:left w:val="none" w:sz="0" w:space="0" w:color="auto"/>
                                    <w:bottom w:val="none" w:sz="0" w:space="0" w:color="auto"/>
                                    <w:right w:val="none" w:sz="0" w:space="0" w:color="auto"/>
                                  </w:divBdr>
                                  <w:divsChild>
                                    <w:div w:id="833884001">
                                      <w:marLeft w:val="0"/>
                                      <w:marRight w:val="0"/>
                                      <w:marTop w:val="0"/>
                                      <w:marBottom w:val="0"/>
                                      <w:divBdr>
                                        <w:top w:val="none" w:sz="0" w:space="0" w:color="auto"/>
                                        <w:left w:val="none" w:sz="0" w:space="0" w:color="auto"/>
                                        <w:bottom w:val="none" w:sz="0" w:space="0" w:color="auto"/>
                                        <w:right w:val="none" w:sz="0" w:space="0" w:color="auto"/>
                                      </w:divBdr>
                                      <w:divsChild>
                                        <w:div w:id="1388798444">
                                          <w:marLeft w:val="0"/>
                                          <w:marRight w:val="0"/>
                                          <w:marTop w:val="0"/>
                                          <w:marBottom w:val="0"/>
                                          <w:divBdr>
                                            <w:top w:val="none" w:sz="0" w:space="0" w:color="auto"/>
                                            <w:left w:val="none" w:sz="0" w:space="0" w:color="auto"/>
                                            <w:bottom w:val="none" w:sz="0" w:space="0" w:color="auto"/>
                                            <w:right w:val="none" w:sz="0" w:space="0" w:color="auto"/>
                                          </w:divBdr>
                                          <w:divsChild>
                                            <w:div w:id="1011373241">
                                              <w:marLeft w:val="0"/>
                                              <w:marRight w:val="0"/>
                                              <w:marTop w:val="0"/>
                                              <w:marBottom w:val="0"/>
                                              <w:divBdr>
                                                <w:top w:val="single" w:sz="6" w:space="0" w:color="F5F5F5"/>
                                                <w:left w:val="single" w:sz="6" w:space="0" w:color="F5F5F5"/>
                                                <w:bottom w:val="single" w:sz="6" w:space="0" w:color="F5F5F5"/>
                                                <w:right w:val="single" w:sz="6" w:space="0" w:color="F5F5F5"/>
                                              </w:divBdr>
                                              <w:divsChild>
                                                <w:div w:id="1674603215">
                                                  <w:marLeft w:val="0"/>
                                                  <w:marRight w:val="0"/>
                                                  <w:marTop w:val="0"/>
                                                  <w:marBottom w:val="0"/>
                                                  <w:divBdr>
                                                    <w:top w:val="none" w:sz="0" w:space="0" w:color="auto"/>
                                                    <w:left w:val="none" w:sz="0" w:space="0" w:color="auto"/>
                                                    <w:bottom w:val="none" w:sz="0" w:space="0" w:color="auto"/>
                                                    <w:right w:val="none" w:sz="0" w:space="0" w:color="auto"/>
                                                  </w:divBdr>
                                                  <w:divsChild>
                                                    <w:div w:id="17575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196090">
      <w:bodyDiv w:val="1"/>
      <w:marLeft w:val="0"/>
      <w:marRight w:val="0"/>
      <w:marTop w:val="0"/>
      <w:marBottom w:val="0"/>
      <w:divBdr>
        <w:top w:val="none" w:sz="0" w:space="0" w:color="auto"/>
        <w:left w:val="none" w:sz="0" w:space="0" w:color="auto"/>
        <w:bottom w:val="none" w:sz="0" w:space="0" w:color="auto"/>
        <w:right w:val="none" w:sz="0" w:space="0" w:color="auto"/>
      </w:divBdr>
    </w:div>
    <w:div w:id="998770163">
      <w:bodyDiv w:val="1"/>
      <w:marLeft w:val="0"/>
      <w:marRight w:val="0"/>
      <w:marTop w:val="0"/>
      <w:marBottom w:val="0"/>
      <w:divBdr>
        <w:top w:val="none" w:sz="0" w:space="0" w:color="auto"/>
        <w:left w:val="none" w:sz="0" w:space="0" w:color="auto"/>
        <w:bottom w:val="none" w:sz="0" w:space="0" w:color="auto"/>
        <w:right w:val="none" w:sz="0" w:space="0" w:color="auto"/>
      </w:divBdr>
      <w:divsChild>
        <w:div w:id="979572002">
          <w:marLeft w:val="0"/>
          <w:marRight w:val="0"/>
          <w:marTop w:val="0"/>
          <w:marBottom w:val="0"/>
          <w:divBdr>
            <w:top w:val="none" w:sz="0" w:space="0" w:color="auto"/>
            <w:left w:val="none" w:sz="0" w:space="0" w:color="auto"/>
            <w:bottom w:val="none" w:sz="0" w:space="0" w:color="auto"/>
            <w:right w:val="none" w:sz="0" w:space="0" w:color="auto"/>
          </w:divBdr>
          <w:divsChild>
            <w:div w:id="1880629976">
              <w:marLeft w:val="0"/>
              <w:marRight w:val="0"/>
              <w:marTop w:val="0"/>
              <w:marBottom w:val="0"/>
              <w:divBdr>
                <w:top w:val="none" w:sz="0" w:space="0" w:color="auto"/>
                <w:left w:val="none" w:sz="0" w:space="0" w:color="auto"/>
                <w:bottom w:val="none" w:sz="0" w:space="0" w:color="auto"/>
                <w:right w:val="none" w:sz="0" w:space="0" w:color="auto"/>
              </w:divBdr>
              <w:divsChild>
                <w:div w:id="393091350">
                  <w:marLeft w:val="0"/>
                  <w:marRight w:val="0"/>
                  <w:marTop w:val="0"/>
                  <w:marBottom w:val="225"/>
                  <w:divBdr>
                    <w:top w:val="single" w:sz="6" w:space="11" w:color="B6B6B6"/>
                    <w:left w:val="single" w:sz="6" w:space="12" w:color="B6B6B6"/>
                    <w:bottom w:val="single" w:sz="6" w:space="11" w:color="B6B6B6"/>
                    <w:right w:val="single" w:sz="6" w:space="12" w:color="B6B6B6"/>
                  </w:divBdr>
                  <w:divsChild>
                    <w:div w:id="1044906895">
                      <w:marLeft w:val="0"/>
                      <w:marRight w:val="0"/>
                      <w:marTop w:val="0"/>
                      <w:marBottom w:val="0"/>
                      <w:divBdr>
                        <w:top w:val="none" w:sz="0" w:space="0" w:color="auto"/>
                        <w:left w:val="none" w:sz="0" w:space="0" w:color="auto"/>
                        <w:bottom w:val="none" w:sz="0" w:space="0" w:color="auto"/>
                        <w:right w:val="none" w:sz="0" w:space="0" w:color="auto"/>
                      </w:divBdr>
                      <w:divsChild>
                        <w:div w:id="288821005">
                          <w:marLeft w:val="0"/>
                          <w:marRight w:val="0"/>
                          <w:marTop w:val="0"/>
                          <w:marBottom w:val="0"/>
                          <w:divBdr>
                            <w:top w:val="none" w:sz="0" w:space="0" w:color="auto"/>
                            <w:left w:val="none" w:sz="0" w:space="0" w:color="auto"/>
                            <w:bottom w:val="none" w:sz="0" w:space="0" w:color="auto"/>
                            <w:right w:val="none" w:sz="0" w:space="0" w:color="auto"/>
                          </w:divBdr>
                          <w:divsChild>
                            <w:div w:id="13018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7146">
      <w:bodyDiv w:val="1"/>
      <w:marLeft w:val="0"/>
      <w:marRight w:val="0"/>
      <w:marTop w:val="0"/>
      <w:marBottom w:val="0"/>
      <w:divBdr>
        <w:top w:val="none" w:sz="0" w:space="0" w:color="auto"/>
        <w:left w:val="none" w:sz="0" w:space="0" w:color="auto"/>
        <w:bottom w:val="none" w:sz="0" w:space="0" w:color="auto"/>
        <w:right w:val="none" w:sz="0" w:space="0" w:color="auto"/>
      </w:divBdr>
    </w:div>
    <w:div w:id="1001589237">
      <w:bodyDiv w:val="1"/>
      <w:marLeft w:val="0"/>
      <w:marRight w:val="0"/>
      <w:marTop w:val="0"/>
      <w:marBottom w:val="0"/>
      <w:divBdr>
        <w:top w:val="none" w:sz="0" w:space="0" w:color="auto"/>
        <w:left w:val="none" w:sz="0" w:space="0" w:color="auto"/>
        <w:bottom w:val="none" w:sz="0" w:space="0" w:color="auto"/>
        <w:right w:val="none" w:sz="0" w:space="0" w:color="auto"/>
      </w:divBdr>
    </w:div>
    <w:div w:id="1003705975">
      <w:bodyDiv w:val="1"/>
      <w:marLeft w:val="0"/>
      <w:marRight w:val="0"/>
      <w:marTop w:val="0"/>
      <w:marBottom w:val="0"/>
      <w:divBdr>
        <w:top w:val="none" w:sz="0" w:space="0" w:color="auto"/>
        <w:left w:val="none" w:sz="0" w:space="0" w:color="auto"/>
        <w:bottom w:val="none" w:sz="0" w:space="0" w:color="auto"/>
        <w:right w:val="none" w:sz="0" w:space="0" w:color="auto"/>
      </w:divBdr>
    </w:div>
    <w:div w:id="1008826670">
      <w:bodyDiv w:val="1"/>
      <w:marLeft w:val="0"/>
      <w:marRight w:val="0"/>
      <w:marTop w:val="0"/>
      <w:marBottom w:val="0"/>
      <w:divBdr>
        <w:top w:val="none" w:sz="0" w:space="0" w:color="auto"/>
        <w:left w:val="none" w:sz="0" w:space="0" w:color="auto"/>
        <w:bottom w:val="none" w:sz="0" w:space="0" w:color="auto"/>
        <w:right w:val="none" w:sz="0" w:space="0" w:color="auto"/>
      </w:divBdr>
    </w:div>
    <w:div w:id="1021323057">
      <w:bodyDiv w:val="1"/>
      <w:marLeft w:val="0"/>
      <w:marRight w:val="0"/>
      <w:marTop w:val="0"/>
      <w:marBottom w:val="0"/>
      <w:divBdr>
        <w:top w:val="none" w:sz="0" w:space="0" w:color="auto"/>
        <w:left w:val="none" w:sz="0" w:space="0" w:color="auto"/>
        <w:bottom w:val="none" w:sz="0" w:space="0" w:color="auto"/>
        <w:right w:val="none" w:sz="0" w:space="0" w:color="auto"/>
      </w:divBdr>
    </w:div>
    <w:div w:id="1021514611">
      <w:bodyDiv w:val="1"/>
      <w:marLeft w:val="0"/>
      <w:marRight w:val="0"/>
      <w:marTop w:val="0"/>
      <w:marBottom w:val="0"/>
      <w:divBdr>
        <w:top w:val="none" w:sz="0" w:space="0" w:color="auto"/>
        <w:left w:val="none" w:sz="0" w:space="0" w:color="auto"/>
        <w:bottom w:val="none" w:sz="0" w:space="0" w:color="auto"/>
        <w:right w:val="none" w:sz="0" w:space="0" w:color="auto"/>
      </w:divBdr>
    </w:div>
    <w:div w:id="1022711392">
      <w:bodyDiv w:val="1"/>
      <w:marLeft w:val="0"/>
      <w:marRight w:val="0"/>
      <w:marTop w:val="0"/>
      <w:marBottom w:val="0"/>
      <w:divBdr>
        <w:top w:val="none" w:sz="0" w:space="0" w:color="auto"/>
        <w:left w:val="none" w:sz="0" w:space="0" w:color="auto"/>
        <w:bottom w:val="none" w:sz="0" w:space="0" w:color="auto"/>
        <w:right w:val="none" w:sz="0" w:space="0" w:color="auto"/>
      </w:divBdr>
    </w:div>
    <w:div w:id="1022824669">
      <w:bodyDiv w:val="1"/>
      <w:marLeft w:val="0"/>
      <w:marRight w:val="0"/>
      <w:marTop w:val="0"/>
      <w:marBottom w:val="0"/>
      <w:divBdr>
        <w:top w:val="none" w:sz="0" w:space="0" w:color="auto"/>
        <w:left w:val="none" w:sz="0" w:space="0" w:color="auto"/>
        <w:bottom w:val="none" w:sz="0" w:space="0" w:color="auto"/>
        <w:right w:val="none" w:sz="0" w:space="0" w:color="auto"/>
      </w:divBdr>
    </w:div>
    <w:div w:id="1025323995">
      <w:bodyDiv w:val="1"/>
      <w:marLeft w:val="0"/>
      <w:marRight w:val="0"/>
      <w:marTop w:val="0"/>
      <w:marBottom w:val="0"/>
      <w:divBdr>
        <w:top w:val="none" w:sz="0" w:space="0" w:color="auto"/>
        <w:left w:val="none" w:sz="0" w:space="0" w:color="auto"/>
        <w:bottom w:val="none" w:sz="0" w:space="0" w:color="auto"/>
        <w:right w:val="none" w:sz="0" w:space="0" w:color="auto"/>
      </w:divBdr>
    </w:div>
    <w:div w:id="1027367000">
      <w:bodyDiv w:val="1"/>
      <w:marLeft w:val="0"/>
      <w:marRight w:val="0"/>
      <w:marTop w:val="0"/>
      <w:marBottom w:val="0"/>
      <w:divBdr>
        <w:top w:val="none" w:sz="0" w:space="0" w:color="auto"/>
        <w:left w:val="none" w:sz="0" w:space="0" w:color="auto"/>
        <w:bottom w:val="none" w:sz="0" w:space="0" w:color="auto"/>
        <w:right w:val="none" w:sz="0" w:space="0" w:color="auto"/>
      </w:divBdr>
    </w:div>
    <w:div w:id="1034187528">
      <w:bodyDiv w:val="1"/>
      <w:marLeft w:val="0"/>
      <w:marRight w:val="0"/>
      <w:marTop w:val="0"/>
      <w:marBottom w:val="0"/>
      <w:divBdr>
        <w:top w:val="none" w:sz="0" w:space="0" w:color="auto"/>
        <w:left w:val="none" w:sz="0" w:space="0" w:color="auto"/>
        <w:bottom w:val="none" w:sz="0" w:space="0" w:color="auto"/>
        <w:right w:val="none" w:sz="0" w:space="0" w:color="auto"/>
      </w:divBdr>
    </w:div>
    <w:div w:id="1044136527">
      <w:bodyDiv w:val="1"/>
      <w:marLeft w:val="0"/>
      <w:marRight w:val="0"/>
      <w:marTop w:val="0"/>
      <w:marBottom w:val="0"/>
      <w:divBdr>
        <w:top w:val="none" w:sz="0" w:space="0" w:color="auto"/>
        <w:left w:val="none" w:sz="0" w:space="0" w:color="auto"/>
        <w:bottom w:val="none" w:sz="0" w:space="0" w:color="auto"/>
        <w:right w:val="none" w:sz="0" w:space="0" w:color="auto"/>
      </w:divBdr>
    </w:div>
    <w:div w:id="1045372478">
      <w:bodyDiv w:val="1"/>
      <w:marLeft w:val="0"/>
      <w:marRight w:val="0"/>
      <w:marTop w:val="0"/>
      <w:marBottom w:val="0"/>
      <w:divBdr>
        <w:top w:val="none" w:sz="0" w:space="0" w:color="auto"/>
        <w:left w:val="none" w:sz="0" w:space="0" w:color="auto"/>
        <w:bottom w:val="none" w:sz="0" w:space="0" w:color="auto"/>
        <w:right w:val="none" w:sz="0" w:space="0" w:color="auto"/>
      </w:divBdr>
    </w:div>
    <w:div w:id="1048148504">
      <w:bodyDiv w:val="1"/>
      <w:marLeft w:val="0"/>
      <w:marRight w:val="0"/>
      <w:marTop w:val="0"/>
      <w:marBottom w:val="0"/>
      <w:divBdr>
        <w:top w:val="none" w:sz="0" w:space="0" w:color="auto"/>
        <w:left w:val="none" w:sz="0" w:space="0" w:color="auto"/>
        <w:bottom w:val="none" w:sz="0" w:space="0" w:color="auto"/>
        <w:right w:val="none" w:sz="0" w:space="0" w:color="auto"/>
      </w:divBdr>
    </w:div>
    <w:div w:id="1051684207">
      <w:bodyDiv w:val="1"/>
      <w:marLeft w:val="0"/>
      <w:marRight w:val="0"/>
      <w:marTop w:val="0"/>
      <w:marBottom w:val="0"/>
      <w:divBdr>
        <w:top w:val="none" w:sz="0" w:space="0" w:color="auto"/>
        <w:left w:val="none" w:sz="0" w:space="0" w:color="auto"/>
        <w:bottom w:val="none" w:sz="0" w:space="0" w:color="auto"/>
        <w:right w:val="none" w:sz="0" w:space="0" w:color="auto"/>
      </w:divBdr>
    </w:div>
    <w:div w:id="1051928009">
      <w:bodyDiv w:val="1"/>
      <w:marLeft w:val="0"/>
      <w:marRight w:val="0"/>
      <w:marTop w:val="0"/>
      <w:marBottom w:val="0"/>
      <w:divBdr>
        <w:top w:val="none" w:sz="0" w:space="0" w:color="auto"/>
        <w:left w:val="none" w:sz="0" w:space="0" w:color="auto"/>
        <w:bottom w:val="none" w:sz="0" w:space="0" w:color="auto"/>
        <w:right w:val="none" w:sz="0" w:space="0" w:color="auto"/>
      </w:divBdr>
    </w:div>
    <w:div w:id="1052465590">
      <w:bodyDiv w:val="1"/>
      <w:marLeft w:val="0"/>
      <w:marRight w:val="0"/>
      <w:marTop w:val="0"/>
      <w:marBottom w:val="0"/>
      <w:divBdr>
        <w:top w:val="none" w:sz="0" w:space="0" w:color="auto"/>
        <w:left w:val="none" w:sz="0" w:space="0" w:color="auto"/>
        <w:bottom w:val="none" w:sz="0" w:space="0" w:color="auto"/>
        <w:right w:val="none" w:sz="0" w:space="0" w:color="auto"/>
      </w:divBdr>
    </w:div>
    <w:div w:id="1052919616">
      <w:bodyDiv w:val="1"/>
      <w:marLeft w:val="0"/>
      <w:marRight w:val="0"/>
      <w:marTop w:val="0"/>
      <w:marBottom w:val="0"/>
      <w:divBdr>
        <w:top w:val="none" w:sz="0" w:space="0" w:color="auto"/>
        <w:left w:val="none" w:sz="0" w:space="0" w:color="auto"/>
        <w:bottom w:val="none" w:sz="0" w:space="0" w:color="auto"/>
        <w:right w:val="none" w:sz="0" w:space="0" w:color="auto"/>
      </w:divBdr>
    </w:div>
    <w:div w:id="1058045043">
      <w:bodyDiv w:val="1"/>
      <w:marLeft w:val="0"/>
      <w:marRight w:val="0"/>
      <w:marTop w:val="0"/>
      <w:marBottom w:val="0"/>
      <w:divBdr>
        <w:top w:val="none" w:sz="0" w:space="0" w:color="auto"/>
        <w:left w:val="none" w:sz="0" w:space="0" w:color="auto"/>
        <w:bottom w:val="none" w:sz="0" w:space="0" w:color="auto"/>
        <w:right w:val="none" w:sz="0" w:space="0" w:color="auto"/>
      </w:divBdr>
    </w:div>
    <w:div w:id="1062019202">
      <w:bodyDiv w:val="1"/>
      <w:marLeft w:val="0"/>
      <w:marRight w:val="0"/>
      <w:marTop w:val="0"/>
      <w:marBottom w:val="0"/>
      <w:divBdr>
        <w:top w:val="none" w:sz="0" w:space="0" w:color="auto"/>
        <w:left w:val="none" w:sz="0" w:space="0" w:color="auto"/>
        <w:bottom w:val="none" w:sz="0" w:space="0" w:color="auto"/>
        <w:right w:val="none" w:sz="0" w:space="0" w:color="auto"/>
      </w:divBdr>
    </w:div>
    <w:div w:id="1066605698">
      <w:bodyDiv w:val="1"/>
      <w:marLeft w:val="0"/>
      <w:marRight w:val="0"/>
      <w:marTop w:val="0"/>
      <w:marBottom w:val="0"/>
      <w:divBdr>
        <w:top w:val="none" w:sz="0" w:space="0" w:color="auto"/>
        <w:left w:val="none" w:sz="0" w:space="0" w:color="auto"/>
        <w:bottom w:val="none" w:sz="0" w:space="0" w:color="auto"/>
        <w:right w:val="none" w:sz="0" w:space="0" w:color="auto"/>
      </w:divBdr>
    </w:div>
    <w:div w:id="1067075254">
      <w:bodyDiv w:val="1"/>
      <w:marLeft w:val="0"/>
      <w:marRight w:val="0"/>
      <w:marTop w:val="0"/>
      <w:marBottom w:val="0"/>
      <w:divBdr>
        <w:top w:val="none" w:sz="0" w:space="0" w:color="auto"/>
        <w:left w:val="none" w:sz="0" w:space="0" w:color="auto"/>
        <w:bottom w:val="none" w:sz="0" w:space="0" w:color="auto"/>
        <w:right w:val="none" w:sz="0" w:space="0" w:color="auto"/>
      </w:divBdr>
    </w:div>
    <w:div w:id="1074668969">
      <w:bodyDiv w:val="1"/>
      <w:marLeft w:val="0"/>
      <w:marRight w:val="0"/>
      <w:marTop w:val="0"/>
      <w:marBottom w:val="0"/>
      <w:divBdr>
        <w:top w:val="none" w:sz="0" w:space="0" w:color="auto"/>
        <w:left w:val="none" w:sz="0" w:space="0" w:color="auto"/>
        <w:bottom w:val="none" w:sz="0" w:space="0" w:color="auto"/>
        <w:right w:val="none" w:sz="0" w:space="0" w:color="auto"/>
      </w:divBdr>
    </w:div>
    <w:div w:id="1077826128">
      <w:bodyDiv w:val="1"/>
      <w:marLeft w:val="0"/>
      <w:marRight w:val="0"/>
      <w:marTop w:val="0"/>
      <w:marBottom w:val="0"/>
      <w:divBdr>
        <w:top w:val="none" w:sz="0" w:space="0" w:color="auto"/>
        <w:left w:val="none" w:sz="0" w:space="0" w:color="auto"/>
        <w:bottom w:val="none" w:sz="0" w:space="0" w:color="auto"/>
        <w:right w:val="none" w:sz="0" w:space="0" w:color="auto"/>
      </w:divBdr>
      <w:divsChild>
        <w:div w:id="2075351892">
          <w:marLeft w:val="0"/>
          <w:marRight w:val="0"/>
          <w:marTop w:val="0"/>
          <w:marBottom w:val="0"/>
          <w:divBdr>
            <w:top w:val="none" w:sz="0" w:space="0" w:color="auto"/>
            <w:left w:val="none" w:sz="0" w:space="0" w:color="auto"/>
            <w:bottom w:val="none" w:sz="0" w:space="0" w:color="auto"/>
            <w:right w:val="none" w:sz="0" w:space="0" w:color="auto"/>
          </w:divBdr>
          <w:divsChild>
            <w:div w:id="327711936">
              <w:marLeft w:val="0"/>
              <w:marRight w:val="0"/>
              <w:marTop w:val="0"/>
              <w:marBottom w:val="0"/>
              <w:divBdr>
                <w:top w:val="none" w:sz="0" w:space="0" w:color="auto"/>
                <w:left w:val="none" w:sz="0" w:space="0" w:color="auto"/>
                <w:bottom w:val="none" w:sz="0" w:space="0" w:color="auto"/>
                <w:right w:val="none" w:sz="0" w:space="0" w:color="auto"/>
              </w:divBdr>
              <w:divsChild>
                <w:div w:id="466124536">
                  <w:marLeft w:val="0"/>
                  <w:marRight w:val="0"/>
                  <w:marTop w:val="0"/>
                  <w:marBottom w:val="0"/>
                  <w:divBdr>
                    <w:top w:val="none" w:sz="0" w:space="0" w:color="auto"/>
                    <w:left w:val="none" w:sz="0" w:space="0" w:color="auto"/>
                    <w:bottom w:val="none" w:sz="0" w:space="0" w:color="auto"/>
                    <w:right w:val="none" w:sz="0" w:space="0" w:color="auto"/>
                  </w:divBdr>
                  <w:divsChild>
                    <w:div w:id="373234147">
                      <w:marLeft w:val="0"/>
                      <w:marRight w:val="0"/>
                      <w:marTop w:val="0"/>
                      <w:marBottom w:val="0"/>
                      <w:divBdr>
                        <w:top w:val="none" w:sz="0" w:space="0" w:color="auto"/>
                        <w:left w:val="none" w:sz="0" w:space="0" w:color="auto"/>
                        <w:bottom w:val="none" w:sz="0" w:space="0" w:color="auto"/>
                        <w:right w:val="none" w:sz="0" w:space="0" w:color="auto"/>
                      </w:divBdr>
                      <w:divsChild>
                        <w:div w:id="1704212951">
                          <w:marLeft w:val="0"/>
                          <w:marRight w:val="0"/>
                          <w:marTop w:val="0"/>
                          <w:marBottom w:val="0"/>
                          <w:divBdr>
                            <w:top w:val="none" w:sz="0" w:space="0" w:color="auto"/>
                            <w:left w:val="none" w:sz="0" w:space="0" w:color="auto"/>
                            <w:bottom w:val="none" w:sz="0" w:space="0" w:color="auto"/>
                            <w:right w:val="none" w:sz="0" w:space="0" w:color="auto"/>
                          </w:divBdr>
                          <w:divsChild>
                            <w:div w:id="1351106924">
                              <w:marLeft w:val="0"/>
                              <w:marRight w:val="0"/>
                              <w:marTop w:val="0"/>
                              <w:marBottom w:val="0"/>
                              <w:divBdr>
                                <w:top w:val="none" w:sz="0" w:space="0" w:color="auto"/>
                                <w:left w:val="none" w:sz="0" w:space="0" w:color="auto"/>
                                <w:bottom w:val="none" w:sz="0" w:space="0" w:color="auto"/>
                                <w:right w:val="none" w:sz="0" w:space="0" w:color="auto"/>
                              </w:divBdr>
                              <w:divsChild>
                                <w:div w:id="1543253701">
                                  <w:marLeft w:val="0"/>
                                  <w:marRight w:val="0"/>
                                  <w:marTop w:val="0"/>
                                  <w:marBottom w:val="0"/>
                                  <w:divBdr>
                                    <w:top w:val="none" w:sz="0" w:space="0" w:color="auto"/>
                                    <w:left w:val="none" w:sz="0" w:space="0" w:color="auto"/>
                                    <w:bottom w:val="none" w:sz="0" w:space="0" w:color="auto"/>
                                    <w:right w:val="none" w:sz="0" w:space="0" w:color="auto"/>
                                  </w:divBdr>
                                  <w:divsChild>
                                    <w:div w:id="938637556">
                                      <w:marLeft w:val="0"/>
                                      <w:marRight w:val="0"/>
                                      <w:marTop w:val="0"/>
                                      <w:marBottom w:val="0"/>
                                      <w:divBdr>
                                        <w:top w:val="none" w:sz="0" w:space="0" w:color="auto"/>
                                        <w:left w:val="none" w:sz="0" w:space="0" w:color="auto"/>
                                        <w:bottom w:val="none" w:sz="0" w:space="0" w:color="auto"/>
                                        <w:right w:val="none" w:sz="0" w:space="0" w:color="auto"/>
                                      </w:divBdr>
                                      <w:divsChild>
                                        <w:div w:id="1373337540">
                                          <w:marLeft w:val="0"/>
                                          <w:marRight w:val="0"/>
                                          <w:marTop w:val="0"/>
                                          <w:marBottom w:val="0"/>
                                          <w:divBdr>
                                            <w:top w:val="none" w:sz="0" w:space="0" w:color="auto"/>
                                            <w:left w:val="none" w:sz="0" w:space="0" w:color="auto"/>
                                            <w:bottom w:val="none" w:sz="0" w:space="0" w:color="auto"/>
                                            <w:right w:val="none" w:sz="0" w:space="0" w:color="auto"/>
                                          </w:divBdr>
                                          <w:divsChild>
                                            <w:div w:id="160433404">
                                              <w:marLeft w:val="0"/>
                                              <w:marRight w:val="0"/>
                                              <w:marTop w:val="0"/>
                                              <w:marBottom w:val="0"/>
                                              <w:divBdr>
                                                <w:top w:val="single" w:sz="6" w:space="0" w:color="F5F5F5"/>
                                                <w:left w:val="single" w:sz="6" w:space="0" w:color="F5F5F5"/>
                                                <w:bottom w:val="single" w:sz="6" w:space="0" w:color="F5F5F5"/>
                                                <w:right w:val="single" w:sz="6" w:space="0" w:color="F5F5F5"/>
                                              </w:divBdr>
                                              <w:divsChild>
                                                <w:div w:id="1731228507">
                                                  <w:marLeft w:val="0"/>
                                                  <w:marRight w:val="0"/>
                                                  <w:marTop w:val="0"/>
                                                  <w:marBottom w:val="0"/>
                                                  <w:divBdr>
                                                    <w:top w:val="none" w:sz="0" w:space="0" w:color="auto"/>
                                                    <w:left w:val="none" w:sz="0" w:space="0" w:color="auto"/>
                                                    <w:bottom w:val="none" w:sz="0" w:space="0" w:color="auto"/>
                                                    <w:right w:val="none" w:sz="0" w:space="0" w:color="auto"/>
                                                  </w:divBdr>
                                                  <w:divsChild>
                                                    <w:div w:id="19333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330952">
      <w:bodyDiv w:val="1"/>
      <w:marLeft w:val="0"/>
      <w:marRight w:val="0"/>
      <w:marTop w:val="0"/>
      <w:marBottom w:val="0"/>
      <w:divBdr>
        <w:top w:val="none" w:sz="0" w:space="0" w:color="auto"/>
        <w:left w:val="none" w:sz="0" w:space="0" w:color="auto"/>
        <w:bottom w:val="none" w:sz="0" w:space="0" w:color="auto"/>
        <w:right w:val="none" w:sz="0" w:space="0" w:color="auto"/>
      </w:divBdr>
    </w:div>
    <w:div w:id="1090466778">
      <w:bodyDiv w:val="1"/>
      <w:marLeft w:val="0"/>
      <w:marRight w:val="0"/>
      <w:marTop w:val="0"/>
      <w:marBottom w:val="0"/>
      <w:divBdr>
        <w:top w:val="none" w:sz="0" w:space="0" w:color="auto"/>
        <w:left w:val="none" w:sz="0" w:space="0" w:color="auto"/>
        <w:bottom w:val="none" w:sz="0" w:space="0" w:color="auto"/>
        <w:right w:val="none" w:sz="0" w:space="0" w:color="auto"/>
      </w:divBdr>
    </w:div>
    <w:div w:id="1091705395">
      <w:bodyDiv w:val="1"/>
      <w:marLeft w:val="0"/>
      <w:marRight w:val="0"/>
      <w:marTop w:val="0"/>
      <w:marBottom w:val="0"/>
      <w:divBdr>
        <w:top w:val="none" w:sz="0" w:space="0" w:color="auto"/>
        <w:left w:val="none" w:sz="0" w:space="0" w:color="auto"/>
        <w:bottom w:val="none" w:sz="0" w:space="0" w:color="auto"/>
        <w:right w:val="none" w:sz="0" w:space="0" w:color="auto"/>
      </w:divBdr>
    </w:div>
    <w:div w:id="1093941995">
      <w:bodyDiv w:val="1"/>
      <w:marLeft w:val="0"/>
      <w:marRight w:val="0"/>
      <w:marTop w:val="0"/>
      <w:marBottom w:val="0"/>
      <w:divBdr>
        <w:top w:val="none" w:sz="0" w:space="0" w:color="auto"/>
        <w:left w:val="none" w:sz="0" w:space="0" w:color="auto"/>
        <w:bottom w:val="none" w:sz="0" w:space="0" w:color="auto"/>
        <w:right w:val="none" w:sz="0" w:space="0" w:color="auto"/>
      </w:divBdr>
    </w:div>
    <w:div w:id="1095828337">
      <w:bodyDiv w:val="1"/>
      <w:marLeft w:val="0"/>
      <w:marRight w:val="0"/>
      <w:marTop w:val="0"/>
      <w:marBottom w:val="0"/>
      <w:divBdr>
        <w:top w:val="none" w:sz="0" w:space="0" w:color="auto"/>
        <w:left w:val="none" w:sz="0" w:space="0" w:color="auto"/>
        <w:bottom w:val="none" w:sz="0" w:space="0" w:color="auto"/>
        <w:right w:val="none" w:sz="0" w:space="0" w:color="auto"/>
      </w:divBdr>
    </w:div>
    <w:div w:id="1121191594">
      <w:bodyDiv w:val="1"/>
      <w:marLeft w:val="0"/>
      <w:marRight w:val="0"/>
      <w:marTop w:val="0"/>
      <w:marBottom w:val="0"/>
      <w:divBdr>
        <w:top w:val="none" w:sz="0" w:space="0" w:color="auto"/>
        <w:left w:val="none" w:sz="0" w:space="0" w:color="auto"/>
        <w:bottom w:val="none" w:sz="0" w:space="0" w:color="auto"/>
        <w:right w:val="none" w:sz="0" w:space="0" w:color="auto"/>
      </w:divBdr>
    </w:div>
    <w:div w:id="1121457817">
      <w:bodyDiv w:val="1"/>
      <w:marLeft w:val="0"/>
      <w:marRight w:val="0"/>
      <w:marTop w:val="0"/>
      <w:marBottom w:val="0"/>
      <w:divBdr>
        <w:top w:val="none" w:sz="0" w:space="0" w:color="auto"/>
        <w:left w:val="none" w:sz="0" w:space="0" w:color="auto"/>
        <w:bottom w:val="none" w:sz="0" w:space="0" w:color="auto"/>
        <w:right w:val="none" w:sz="0" w:space="0" w:color="auto"/>
      </w:divBdr>
    </w:div>
    <w:div w:id="1122067516">
      <w:bodyDiv w:val="1"/>
      <w:marLeft w:val="0"/>
      <w:marRight w:val="0"/>
      <w:marTop w:val="0"/>
      <w:marBottom w:val="0"/>
      <w:divBdr>
        <w:top w:val="none" w:sz="0" w:space="0" w:color="auto"/>
        <w:left w:val="none" w:sz="0" w:space="0" w:color="auto"/>
        <w:bottom w:val="none" w:sz="0" w:space="0" w:color="auto"/>
        <w:right w:val="none" w:sz="0" w:space="0" w:color="auto"/>
      </w:divBdr>
    </w:div>
    <w:div w:id="1123883857">
      <w:bodyDiv w:val="1"/>
      <w:marLeft w:val="0"/>
      <w:marRight w:val="0"/>
      <w:marTop w:val="0"/>
      <w:marBottom w:val="0"/>
      <w:divBdr>
        <w:top w:val="none" w:sz="0" w:space="0" w:color="auto"/>
        <w:left w:val="none" w:sz="0" w:space="0" w:color="auto"/>
        <w:bottom w:val="none" w:sz="0" w:space="0" w:color="auto"/>
        <w:right w:val="none" w:sz="0" w:space="0" w:color="auto"/>
      </w:divBdr>
    </w:div>
    <w:div w:id="1124612948">
      <w:bodyDiv w:val="1"/>
      <w:marLeft w:val="0"/>
      <w:marRight w:val="0"/>
      <w:marTop w:val="0"/>
      <w:marBottom w:val="0"/>
      <w:divBdr>
        <w:top w:val="none" w:sz="0" w:space="0" w:color="auto"/>
        <w:left w:val="none" w:sz="0" w:space="0" w:color="auto"/>
        <w:bottom w:val="none" w:sz="0" w:space="0" w:color="auto"/>
        <w:right w:val="none" w:sz="0" w:space="0" w:color="auto"/>
      </w:divBdr>
    </w:div>
    <w:div w:id="1128402522">
      <w:bodyDiv w:val="1"/>
      <w:marLeft w:val="0"/>
      <w:marRight w:val="0"/>
      <w:marTop w:val="0"/>
      <w:marBottom w:val="0"/>
      <w:divBdr>
        <w:top w:val="none" w:sz="0" w:space="0" w:color="auto"/>
        <w:left w:val="none" w:sz="0" w:space="0" w:color="auto"/>
        <w:bottom w:val="none" w:sz="0" w:space="0" w:color="auto"/>
        <w:right w:val="none" w:sz="0" w:space="0" w:color="auto"/>
      </w:divBdr>
    </w:div>
    <w:div w:id="1130437481">
      <w:bodyDiv w:val="1"/>
      <w:marLeft w:val="0"/>
      <w:marRight w:val="0"/>
      <w:marTop w:val="0"/>
      <w:marBottom w:val="0"/>
      <w:divBdr>
        <w:top w:val="none" w:sz="0" w:space="0" w:color="auto"/>
        <w:left w:val="none" w:sz="0" w:space="0" w:color="auto"/>
        <w:bottom w:val="none" w:sz="0" w:space="0" w:color="auto"/>
        <w:right w:val="none" w:sz="0" w:space="0" w:color="auto"/>
      </w:divBdr>
    </w:div>
    <w:div w:id="1133254198">
      <w:bodyDiv w:val="1"/>
      <w:marLeft w:val="0"/>
      <w:marRight w:val="0"/>
      <w:marTop w:val="0"/>
      <w:marBottom w:val="0"/>
      <w:divBdr>
        <w:top w:val="none" w:sz="0" w:space="0" w:color="auto"/>
        <w:left w:val="none" w:sz="0" w:space="0" w:color="auto"/>
        <w:bottom w:val="none" w:sz="0" w:space="0" w:color="auto"/>
        <w:right w:val="none" w:sz="0" w:space="0" w:color="auto"/>
      </w:divBdr>
    </w:div>
    <w:div w:id="1134448912">
      <w:bodyDiv w:val="1"/>
      <w:marLeft w:val="0"/>
      <w:marRight w:val="0"/>
      <w:marTop w:val="0"/>
      <w:marBottom w:val="0"/>
      <w:divBdr>
        <w:top w:val="none" w:sz="0" w:space="0" w:color="auto"/>
        <w:left w:val="none" w:sz="0" w:space="0" w:color="auto"/>
        <w:bottom w:val="none" w:sz="0" w:space="0" w:color="auto"/>
        <w:right w:val="none" w:sz="0" w:space="0" w:color="auto"/>
      </w:divBdr>
    </w:div>
    <w:div w:id="1136292457">
      <w:bodyDiv w:val="1"/>
      <w:marLeft w:val="0"/>
      <w:marRight w:val="0"/>
      <w:marTop w:val="0"/>
      <w:marBottom w:val="0"/>
      <w:divBdr>
        <w:top w:val="none" w:sz="0" w:space="0" w:color="auto"/>
        <w:left w:val="none" w:sz="0" w:space="0" w:color="auto"/>
        <w:bottom w:val="none" w:sz="0" w:space="0" w:color="auto"/>
        <w:right w:val="none" w:sz="0" w:space="0" w:color="auto"/>
      </w:divBdr>
    </w:div>
    <w:div w:id="1136414292">
      <w:bodyDiv w:val="1"/>
      <w:marLeft w:val="0"/>
      <w:marRight w:val="0"/>
      <w:marTop w:val="0"/>
      <w:marBottom w:val="0"/>
      <w:divBdr>
        <w:top w:val="none" w:sz="0" w:space="0" w:color="auto"/>
        <w:left w:val="none" w:sz="0" w:space="0" w:color="auto"/>
        <w:bottom w:val="none" w:sz="0" w:space="0" w:color="auto"/>
        <w:right w:val="none" w:sz="0" w:space="0" w:color="auto"/>
      </w:divBdr>
    </w:div>
    <w:div w:id="1136753254">
      <w:bodyDiv w:val="1"/>
      <w:marLeft w:val="0"/>
      <w:marRight w:val="0"/>
      <w:marTop w:val="0"/>
      <w:marBottom w:val="0"/>
      <w:divBdr>
        <w:top w:val="none" w:sz="0" w:space="0" w:color="auto"/>
        <w:left w:val="none" w:sz="0" w:space="0" w:color="auto"/>
        <w:bottom w:val="none" w:sz="0" w:space="0" w:color="auto"/>
        <w:right w:val="none" w:sz="0" w:space="0" w:color="auto"/>
      </w:divBdr>
    </w:div>
    <w:div w:id="1137913837">
      <w:bodyDiv w:val="1"/>
      <w:marLeft w:val="0"/>
      <w:marRight w:val="0"/>
      <w:marTop w:val="0"/>
      <w:marBottom w:val="0"/>
      <w:divBdr>
        <w:top w:val="none" w:sz="0" w:space="0" w:color="auto"/>
        <w:left w:val="none" w:sz="0" w:space="0" w:color="auto"/>
        <w:bottom w:val="none" w:sz="0" w:space="0" w:color="auto"/>
        <w:right w:val="none" w:sz="0" w:space="0" w:color="auto"/>
      </w:divBdr>
    </w:div>
    <w:div w:id="1139419160">
      <w:bodyDiv w:val="1"/>
      <w:marLeft w:val="0"/>
      <w:marRight w:val="0"/>
      <w:marTop w:val="0"/>
      <w:marBottom w:val="0"/>
      <w:divBdr>
        <w:top w:val="none" w:sz="0" w:space="0" w:color="auto"/>
        <w:left w:val="none" w:sz="0" w:space="0" w:color="auto"/>
        <w:bottom w:val="none" w:sz="0" w:space="0" w:color="auto"/>
        <w:right w:val="none" w:sz="0" w:space="0" w:color="auto"/>
      </w:divBdr>
    </w:div>
    <w:div w:id="1145246672">
      <w:bodyDiv w:val="1"/>
      <w:marLeft w:val="0"/>
      <w:marRight w:val="0"/>
      <w:marTop w:val="0"/>
      <w:marBottom w:val="0"/>
      <w:divBdr>
        <w:top w:val="none" w:sz="0" w:space="0" w:color="auto"/>
        <w:left w:val="none" w:sz="0" w:space="0" w:color="auto"/>
        <w:bottom w:val="none" w:sz="0" w:space="0" w:color="auto"/>
        <w:right w:val="none" w:sz="0" w:space="0" w:color="auto"/>
      </w:divBdr>
    </w:div>
    <w:div w:id="1145439984">
      <w:bodyDiv w:val="1"/>
      <w:marLeft w:val="0"/>
      <w:marRight w:val="0"/>
      <w:marTop w:val="0"/>
      <w:marBottom w:val="0"/>
      <w:divBdr>
        <w:top w:val="none" w:sz="0" w:space="0" w:color="auto"/>
        <w:left w:val="none" w:sz="0" w:space="0" w:color="auto"/>
        <w:bottom w:val="none" w:sz="0" w:space="0" w:color="auto"/>
        <w:right w:val="none" w:sz="0" w:space="0" w:color="auto"/>
      </w:divBdr>
    </w:div>
    <w:div w:id="1151949869">
      <w:bodyDiv w:val="1"/>
      <w:marLeft w:val="0"/>
      <w:marRight w:val="0"/>
      <w:marTop w:val="0"/>
      <w:marBottom w:val="0"/>
      <w:divBdr>
        <w:top w:val="none" w:sz="0" w:space="0" w:color="auto"/>
        <w:left w:val="none" w:sz="0" w:space="0" w:color="auto"/>
        <w:bottom w:val="none" w:sz="0" w:space="0" w:color="auto"/>
        <w:right w:val="none" w:sz="0" w:space="0" w:color="auto"/>
      </w:divBdr>
    </w:div>
    <w:div w:id="1152864642">
      <w:bodyDiv w:val="1"/>
      <w:marLeft w:val="0"/>
      <w:marRight w:val="0"/>
      <w:marTop w:val="0"/>
      <w:marBottom w:val="0"/>
      <w:divBdr>
        <w:top w:val="none" w:sz="0" w:space="0" w:color="auto"/>
        <w:left w:val="none" w:sz="0" w:space="0" w:color="auto"/>
        <w:bottom w:val="none" w:sz="0" w:space="0" w:color="auto"/>
        <w:right w:val="none" w:sz="0" w:space="0" w:color="auto"/>
      </w:divBdr>
    </w:div>
    <w:div w:id="1152989315">
      <w:bodyDiv w:val="1"/>
      <w:marLeft w:val="0"/>
      <w:marRight w:val="0"/>
      <w:marTop w:val="0"/>
      <w:marBottom w:val="0"/>
      <w:divBdr>
        <w:top w:val="none" w:sz="0" w:space="0" w:color="auto"/>
        <w:left w:val="none" w:sz="0" w:space="0" w:color="auto"/>
        <w:bottom w:val="none" w:sz="0" w:space="0" w:color="auto"/>
        <w:right w:val="none" w:sz="0" w:space="0" w:color="auto"/>
      </w:divBdr>
    </w:div>
    <w:div w:id="1162619873">
      <w:bodyDiv w:val="1"/>
      <w:marLeft w:val="0"/>
      <w:marRight w:val="0"/>
      <w:marTop w:val="0"/>
      <w:marBottom w:val="0"/>
      <w:divBdr>
        <w:top w:val="none" w:sz="0" w:space="0" w:color="auto"/>
        <w:left w:val="none" w:sz="0" w:space="0" w:color="auto"/>
        <w:bottom w:val="none" w:sz="0" w:space="0" w:color="auto"/>
        <w:right w:val="none" w:sz="0" w:space="0" w:color="auto"/>
      </w:divBdr>
    </w:div>
    <w:div w:id="1165366204">
      <w:bodyDiv w:val="1"/>
      <w:marLeft w:val="0"/>
      <w:marRight w:val="0"/>
      <w:marTop w:val="0"/>
      <w:marBottom w:val="0"/>
      <w:divBdr>
        <w:top w:val="none" w:sz="0" w:space="0" w:color="auto"/>
        <w:left w:val="none" w:sz="0" w:space="0" w:color="auto"/>
        <w:bottom w:val="none" w:sz="0" w:space="0" w:color="auto"/>
        <w:right w:val="none" w:sz="0" w:space="0" w:color="auto"/>
      </w:divBdr>
    </w:div>
    <w:div w:id="1168640711">
      <w:bodyDiv w:val="1"/>
      <w:marLeft w:val="0"/>
      <w:marRight w:val="0"/>
      <w:marTop w:val="0"/>
      <w:marBottom w:val="0"/>
      <w:divBdr>
        <w:top w:val="none" w:sz="0" w:space="0" w:color="auto"/>
        <w:left w:val="none" w:sz="0" w:space="0" w:color="auto"/>
        <w:bottom w:val="none" w:sz="0" w:space="0" w:color="auto"/>
        <w:right w:val="none" w:sz="0" w:space="0" w:color="auto"/>
      </w:divBdr>
    </w:div>
    <w:div w:id="1177962828">
      <w:bodyDiv w:val="1"/>
      <w:marLeft w:val="0"/>
      <w:marRight w:val="0"/>
      <w:marTop w:val="0"/>
      <w:marBottom w:val="0"/>
      <w:divBdr>
        <w:top w:val="none" w:sz="0" w:space="0" w:color="auto"/>
        <w:left w:val="none" w:sz="0" w:space="0" w:color="auto"/>
        <w:bottom w:val="none" w:sz="0" w:space="0" w:color="auto"/>
        <w:right w:val="none" w:sz="0" w:space="0" w:color="auto"/>
      </w:divBdr>
    </w:div>
    <w:div w:id="1180001037">
      <w:bodyDiv w:val="1"/>
      <w:marLeft w:val="0"/>
      <w:marRight w:val="0"/>
      <w:marTop w:val="0"/>
      <w:marBottom w:val="0"/>
      <w:divBdr>
        <w:top w:val="none" w:sz="0" w:space="0" w:color="auto"/>
        <w:left w:val="none" w:sz="0" w:space="0" w:color="auto"/>
        <w:bottom w:val="none" w:sz="0" w:space="0" w:color="auto"/>
        <w:right w:val="none" w:sz="0" w:space="0" w:color="auto"/>
      </w:divBdr>
    </w:div>
    <w:div w:id="1180393318">
      <w:bodyDiv w:val="1"/>
      <w:marLeft w:val="0"/>
      <w:marRight w:val="0"/>
      <w:marTop w:val="0"/>
      <w:marBottom w:val="0"/>
      <w:divBdr>
        <w:top w:val="none" w:sz="0" w:space="0" w:color="auto"/>
        <w:left w:val="none" w:sz="0" w:space="0" w:color="auto"/>
        <w:bottom w:val="none" w:sz="0" w:space="0" w:color="auto"/>
        <w:right w:val="none" w:sz="0" w:space="0" w:color="auto"/>
      </w:divBdr>
    </w:div>
    <w:div w:id="1187713596">
      <w:bodyDiv w:val="1"/>
      <w:marLeft w:val="0"/>
      <w:marRight w:val="0"/>
      <w:marTop w:val="0"/>
      <w:marBottom w:val="0"/>
      <w:divBdr>
        <w:top w:val="none" w:sz="0" w:space="0" w:color="auto"/>
        <w:left w:val="none" w:sz="0" w:space="0" w:color="auto"/>
        <w:bottom w:val="none" w:sz="0" w:space="0" w:color="auto"/>
        <w:right w:val="none" w:sz="0" w:space="0" w:color="auto"/>
      </w:divBdr>
    </w:div>
    <w:div w:id="1193954449">
      <w:bodyDiv w:val="1"/>
      <w:marLeft w:val="0"/>
      <w:marRight w:val="0"/>
      <w:marTop w:val="0"/>
      <w:marBottom w:val="0"/>
      <w:divBdr>
        <w:top w:val="none" w:sz="0" w:space="0" w:color="auto"/>
        <w:left w:val="none" w:sz="0" w:space="0" w:color="auto"/>
        <w:bottom w:val="none" w:sz="0" w:space="0" w:color="auto"/>
        <w:right w:val="none" w:sz="0" w:space="0" w:color="auto"/>
      </w:divBdr>
    </w:div>
    <w:div w:id="1199392363">
      <w:bodyDiv w:val="1"/>
      <w:marLeft w:val="0"/>
      <w:marRight w:val="0"/>
      <w:marTop w:val="0"/>
      <w:marBottom w:val="0"/>
      <w:divBdr>
        <w:top w:val="none" w:sz="0" w:space="0" w:color="auto"/>
        <w:left w:val="none" w:sz="0" w:space="0" w:color="auto"/>
        <w:bottom w:val="none" w:sz="0" w:space="0" w:color="auto"/>
        <w:right w:val="none" w:sz="0" w:space="0" w:color="auto"/>
      </w:divBdr>
      <w:divsChild>
        <w:div w:id="1291277003">
          <w:marLeft w:val="0"/>
          <w:marRight w:val="0"/>
          <w:marTop w:val="0"/>
          <w:marBottom w:val="0"/>
          <w:divBdr>
            <w:top w:val="none" w:sz="0" w:space="0" w:color="auto"/>
            <w:left w:val="none" w:sz="0" w:space="0" w:color="auto"/>
            <w:bottom w:val="none" w:sz="0" w:space="0" w:color="auto"/>
            <w:right w:val="none" w:sz="0" w:space="0" w:color="auto"/>
          </w:divBdr>
          <w:divsChild>
            <w:div w:id="1930235166">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sChild>
                    <w:div w:id="946348706">
                      <w:marLeft w:val="0"/>
                      <w:marRight w:val="0"/>
                      <w:marTop w:val="0"/>
                      <w:marBottom w:val="0"/>
                      <w:divBdr>
                        <w:top w:val="none" w:sz="0" w:space="0" w:color="auto"/>
                        <w:left w:val="none" w:sz="0" w:space="0" w:color="auto"/>
                        <w:bottom w:val="none" w:sz="0" w:space="0" w:color="auto"/>
                        <w:right w:val="none" w:sz="0" w:space="0" w:color="auto"/>
                      </w:divBdr>
                      <w:divsChild>
                        <w:div w:id="1680809250">
                          <w:marLeft w:val="0"/>
                          <w:marRight w:val="0"/>
                          <w:marTop w:val="0"/>
                          <w:marBottom w:val="0"/>
                          <w:divBdr>
                            <w:top w:val="none" w:sz="0" w:space="0" w:color="auto"/>
                            <w:left w:val="none" w:sz="0" w:space="0" w:color="auto"/>
                            <w:bottom w:val="none" w:sz="0" w:space="0" w:color="auto"/>
                            <w:right w:val="none" w:sz="0" w:space="0" w:color="auto"/>
                          </w:divBdr>
                          <w:divsChild>
                            <w:div w:id="1147088371">
                              <w:marLeft w:val="0"/>
                              <w:marRight w:val="0"/>
                              <w:marTop w:val="0"/>
                              <w:marBottom w:val="0"/>
                              <w:divBdr>
                                <w:top w:val="none" w:sz="0" w:space="0" w:color="auto"/>
                                <w:left w:val="none" w:sz="0" w:space="0" w:color="auto"/>
                                <w:bottom w:val="none" w:sz="0" w:space="0" w:color="auto"/>
                                <w:right w:val="none" w:sz="0" w:space="0" w:color="auto"/>
                              </w:divBdr>
                              <w:divsChild>
                                <w:div w:id="718013776">
                                  <w:marLeft w:val="0"/>
                                  <w:marRight w:val="0"/>
                                  <w:marTop w:val="0"/>
                                  <w:marBottom w:val="0"/>
                                  <w:divBdr>
                                    <w:top w:val="none" w:sz="0" w:space="0" w:color="auto"/>
                                    <w:left w:val="none" w:sz="0" w:space="0" w:color="auto"/>
                                    <w:bottom w:val="none" w:sz="0" w:space="0" w:color="auto"/>
                                    <w:right w:val="none" w:sz="0" w:space="0" w:color="auto"/>
                                  </w:divBdr>
                                  <w:divsChild>
                                    <w:div w:id="1307928174">
                                      <w:marLeft w:val="0"/>
                                      <w:marRight w:val="0"/>
                                      <w:marTop w:val="0"/>
                                      <w:marBottom w:val="0"/>
                                      <w:divBdr>
                                        <w:top w:val="none" w:sz="0" w:space="0" w:color="auto"/>
                                        <w:left w:val="none" w:sz="0" w:space="0" w:color="auto"/>
                                        <w:bottom w:val="none" w:sz="0" w:space="0" w:color="auto"/>
                                        <w:right w:val="none" w:sz="0" w:space="0" w:color="auto"/>
                                      </w:divBdr>
                                      <w:divsChild>
                                        <w:div w:id="243536542">
                                          <w:marLeft w:val="0"/>
                                          <w:marRight w:val="0"/>
                                          <w:marTop w:val="0"/>
                                          <w:marBottom w:val="0"/>
                                          <w:divBdr>
                                            <w:top w:val="none" w:sz="0" w:space="0" w:color="auto"/>
                                            <w:left w:val="none" w:sz="0" w:space="0" w:color="auto"/>
                                            <w:bottom w:val="none" w:sz="0" w:space="0" w:color="auto"/>
                                            <w:right w:val="none" w:sz="0" w:space="0" w:color="auto"/>
                                          </w:divBdr>
                                          <w:divsChild>
                                            <w:div w:id="1649629961">
                                              <w:marLeft w:val="0"/>
                                              <w:marRight w:val="0"/>
                                              <w:marTop w:val="0"/>
                                              <w:marBottom w:val="0"/>
                                              <w:divBdr>
                                                <w:top w:val="single" w:sz="6" w:space="0" w:color="F5F5F5"/>
                                                <w:left w:val="single" w:sz="6" w:space="0" w:color="F5F5F5"/>
                                                <w:bottom w:val="single" w:sz="6" w:space="0" w:color="F5F5F5"/>
                                                <w:right w:val="single" w:sz="6" w:space="0" w:color="F5F5F5"/>
                                              </w:divBdr>
                                              <w:divsChild>
                                                <w:div w:id="89739229">
                                                  <w:marLeft w:val="0"/>
                                                  <w:marRight w:val="0"/>
                                                  <w:marTop w:val="0"/>
                                                  <w:marBottom w:val="0"/>
                                                  <w:divBdr>
                                                    <w:top w:val="none" w:sz="0" w:space="0" w:color="auto"/>
                                                    <w:left w:val="none" w:sz="0" w:space="0" w:color="auto"/>
                                                    <w:bottom w:val="none" w:sz="0" w:space="0" w:color="auto"/>
                                                    <w:right w:val="none" w:sz="0" w:space="0" w:color="auto"/>
                                                  </w:divBdr>
                                                  <w:divsChild>
                                                    <w:div w:id="3200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447958">
      <w:bodyDiv w:val="1"/>
      <w:marLeft w:val="0"/>
      <w:marRight w:val="0"/>
      <w:marTop w:val="0"/>
      <w:marBottom w:val="0"/>
      <w:divBdr>
        <w:top w:val="none" w:sz="0" w:space="0" w:color="auto"/>
        <w:left w:val="none" w:sz="0" w:space="0" w:color="auto"/>
        <w:bottom w:val="none" w:sz="0" w:space="0" w:color="auto"/>
        <w:right w:val="none" w:sz="0" w:space="0" w:color="auto"/>
      </w:divBdr>
    </w:div>
    <w:div w:id="1209029998">
      <w:bodyDiv w:val="1"/>
      <w:marLeft w:val="0"/>
      <w:marRight w:val="0"/>
      <w:marTop w:val="0"/>
      <w:marBottom w:val="0"/>
      <w:divBdr>
        <w:top w:val="none" w:sz="0" w:space="0" w:color="auto"/>
        <w:left w:val="none" w:sz="0" w:space="0" w:color="auto"/>
        <w:bottom w:val="none" w:sz="0" w:space="0" w:color="auto"/>
        <w:right w:val="none" w:sz="0" w:space="0" w:color="auto"/>
      </w:divBdr>
    </w:div>
    <w:div w:id="1209756326">
      <w:bodyDiv w:val="1"/>
      <w:marLeft w:val="0"/>
      <w:marRight w:val="0"/>
      <w:marTop w:val="0"/>
      <w:marBottom w:val="0"/>
      <w:divBdr>
        <w:top w:val="none" w:sz="0" w:space="0" w:color="auto"/>
        <w:left w:val="none" w:sz="0" w:space="0" w:color="auto"/>
        <w:bottom w:val="none" w:sz="0" w:space="0" w:color="auto"/>
        <w:right w:val="none" w:sz="0" w:space="0" w:color="auto"/>
      </w:divBdr>
    </w:div>
    <w:div w:id="1211187562">
      <w:bodyDiv w:val="1"/>
      <w:marLeft w:val="0"/>
      <w:marRight w:val="0"/>
      <w:marTop w:val="0"/>
      <w:marBottom w:val="0"/>
      <w:divBdr>
        <w:top w:val="none" w:sz="0" w:space="0" w:color="auto"/>
        <w:left w:val="none" w:sz="0" w:space="0" w:color="auto"/>
        <w:bottom w:val="none" w:sz="0" w:space="0" w:color="auto"/>
        <w:right w:val="none" w:sz="0" w:space="0" w:color="auto"/>
      </w:divBdr>
    </w:div>
    <w:div w:id="1211577864">
      <w:bodyDiv w:val="1"/>
      <w:marLeft w:val="0"/>
      <w:marRight w:val="0"/>
      <w:marTop w:val="0"/>
      <w:marBottom w:val="0"/>
      <w:divBdr>
        <w:top w:val="none" w:sz="0" w:space="0" w:color="auto"/>
        <w:left w:val="none" w:sz="0" w:space="0" w:color="auto"/>
        <w:bottom w:val="none" w:sz="0" w:space="0" w:color="auto"/>
        <w:right w:val="none" w:sz="0" w:space="0" w:color="auto"/>
      </w:divBdr>
    </w:div>
    <w:div w:id="1216619235">
      <w:bodyDiv w:val="1"/>
      <w:marLeft w:val="0"/>
      <w:marRight w:val="0"/>
      <w:marTop w:val="0"/>
      <w:marBottom w:val="0"/>
      <w:divBdr>
        <w:top w:val="none" w:sz="0" w:space="0" w:color="auto"/>
        <w:left w:val="none" w:sz="0" w:space="0" w:color="auto"/>
        <w:bottom w:val="none" w:sz="0" w:space="0" w:color="auto"/>
        <w:right w:val="none" w:sz="0" w:space="0" w:color="auto"/>
      </w:divBdr>
    </w:div>
    <w:div w:id="1217428436">
      <w:bodyDiv w:val="1"/>
      <w:marLeft w:val="0"/>
      <w:marRight w:val="0"/>
      <w:marTop w:val="0"/>
      <w:marBottom w:val="0"/>
      <w:divBdr>
        <w:top w:val="none" w:sz="0" w:space="0" w:color="auto"/>
        <w:left w:val="none" w:sz="0" w:space="0" w:color="auto"/>
        <w:bottom w:val="none" w:sz="0" w:space="0" w:color="auto"/>
        <w:right w:val="none" w:sz="0" w:space="0" w:color="auto"/>
      </w:divBdr>
    </w:div>
    <w:div w:id="1223373904">
      <w:bodyDiv w:val="1"/>
      <w:marLeft w:val="0"/>
      <w:marRight w:val="0"/>
      <w:marTop w:val="0"/>
      <w:marBottom w:val="0"/>
      <w:divBdr>
        <w:top w:val="none" w:sz="0" w:space="0" w:color="auto"/>
        <w:left w:val="none" w:sz="0" w:space="0" w:color="auto"/>
        <w:bottom w:val="none" w:sz="0" w:space="0" w:color="auto"/>
        <w:right w:val="none" w:sz="0" w:space="0" w:color="auto"/>
      </w:divBdr>
    </w:div>
    <w:div w:id="1230535083">
      <w:bodyDiv w:val="1"/>
      <w:marLeft w:val="0"/>
      <w:marRight w:val="0"/>
      <w:marTop w:val="0"/>
      <w:marBottom w:val="0"/>
      <w:divBdr>
        <w:top w:val="none" w:sz="0" w:space="0" w:color="auto"/>
        <w:left w:val="none" w:sz="0" w:space="0" w:color="auto"/>
        <w:bottom w:val="none" w:sz="0" w:space="0" w:color="auto"/>
        <w:right w:val="none" w:sz="0" w:space="0" w:color="auto"/>
      </w:divBdr>
    </w:div>
    <w:div w:id="1234387645">
      <w:bodyDiv w:val="1"/>
      <w:marLeft w:val="0"/>
      <w:marRight w:val="0"/>
      <w:marTop w:val="0"/>
      <w:marBottom w:val="0"/>
      <w:divBdr>
        <w:top w:val="none" w:sz="0" w:space="0" w:color="auto"/>
        <w:left w:val="none" w:sz="0" w:space="0" w:color="auto"/>
        <w:bottom w:val="none" w:sz="0" w:space="0" w:color="auto"/>
        <w:right w:val="none" w:sz="0" w:space="0" w:color="auto"/>
      </w:divBdr>
    </w:div>
    <w:div w:id="1236624845">
      <w:bodyDiv w:val="1"/>
      <w:marLeft w:val="0"/>
      <w:marRight w:val="0"/>
      <w:marTop w:val="0"/>
      <w:marBottom w:val="0"/>
      <w:divBdr>
        <w:top w:val="none" w:sz="0" w:space="0" w:color="auto"/>
        <w:left w:val="none" w:sz="0" w:space="0" w:color="auto"/>
        <w:bottom w:val="none" w:sz="0" w:space="0" w:color="auto"/>
        <w:right w:val="none" w:sz="0" w:space="0" w:color="auto"/>
      </w:divBdr>
    </w:div>
    <w:div w:id="1237351489">
      <w:bodyDiv w:val="1"/>
      <w:marLeft w:val="0"/>
      <w:marRight w:val="0"/>
      <w:marTop w:val="0"/>
      <w:marBottom w:val="0"/>
      <w:divBdr>
        <w:top w:val="none" w:sz="0" w:space="0" w:color="auto"/>
        <w:left w:val="none" w:sz="0" w:space="0" w:color="auto"/>
        <w:bottom w:val="none" w:sz="0" w:space="0" w:color="auto"/>
        <w:right w:val="none" w:sz="0" w:space="0" w:color="auto"/>
      </w:divBdr>
    </w:div>
    <w:div w:id="1241213531">
      <w:bodyDiv w:val="1"/>
      <w:marLeft w:val="0"/>
      <w:marRight w:val="0"/>
      <w:marTop w:val="0"/>
      <w:marBottom w:val="0"/>
      <w:divBdr>
        <w:top w:val="none" w:sz="0" w:space="0" w:color="auto"/>
        <w:left w:val="none" w:sz="0" w:space="0" w:color="auto"/>
        <w:bottom w:val="none" w:sz="0" w:space="0" w:color="auto"/>
        <w:right w:val="none" w:sz="0" w:space="0" w:color="auto"/>
      </w:divBdr>
    </w:div>
    <w:div w:id="1251281601">
      <w:bodyDiv w:val="1"/>
      <w:marLeft w:val="0"/>
      <w:marRight w:val="0"/>
      <w:marTop w:val="0"/>
      <w:marBottom w:val="0"/>
      <w:divBdr>
        <w:top w:val="none" w:sz="0" w:space="0" w:color="auto"/>
        <w:left w:val="none" w:sz="0" w:space="0" w:color="auto"/>
        <w:bottom w:val="none" w:sz="0" w:space="0" w:color="auto"/>
        <w:right w:val="none" w:sz="0" w:space="0" w:color="auto"/>
      </w:divBdr>
    </w:div>
    <w:div w:id="1252155261">
      <w:bodyDiv w:val="1"/>
      <w:marLeft w:val="0"/>
      <w:marRight w:val="0"/>
      <w:marTop w:val="0"/>
      <w:marBottom w:val="0"/>
      <w:divBdr>
        <w:top w:val="none" w:sz="0" w:space="0" w:color="auto"/>
        <w:left w:val="none" w:sz="0" w:space="0" w:color="auto"/>
        <w:bottom w:val="none" w:sz="0" w:space="0" w:color="auto"/>
        <w:right w:val="none" w:sz="0" w:space="0" w:color="auto"/>
      </w:divBdr>
    </w:div>
    <w:div w:id="1252394384">
      <w:bodyDiv w:val="1"/>
      <w:marLeft w:val="0"/>
      <w:marRight w:val="0"/>
      <w:marTop w:val="0"/>
      <w:marBottom w:val="0"/>
      <w:divBdr>
        <w:top w:val="none" w:sz="0" w:space="0" w:color="auto"/>
        <w:left w:val="none" w:sz="0" w:space="0" w:color="auto"/>
        <w:bottom w:val="none" w:sz="0" w:space="0" w:color="auto"/>
        <w:right w:val="none" w:sz="0" w:space="0" w:color="auto"/>
      </w:divBdr>
    </w:div>
    <w:div w:id="1252857824">
      <w:bodyDiv w:val="1"/>
      <w:marLeft w:val="0"/>
      <w:marRight w:val="0"/>
      <w:marTop w:val="0"/>
      <w:marBottom w:val="0"/>
      <w:divBdr>
        <w:top w:val="none" w:sz="0" w:space="0" w:color="auto"/>
        <w:left w:val="none" w:sz="0" w:space="0" w:color="auto"/>
        <w:bottom w:val="none" w:sz="0" w:space="0" w:color="auto"/>
        <w:right w:val="none" w:sz="0" w:space="0" w:color="auto"/>
      </w:divBdr>
    </w:div>
    <w:div w:id="1255750794">
      <w:bodyDiv w:val="1"/>
      <w:marLeft w:val="0"/>
      <w:marRight w:val="0"/>
      <w:marTop w:val="0"/>
      <w:marBottom w:val="0"/>
      <w:divBdr>
        <w:top w:val="none" w:sz="0" w:space="0" w:color="auto"/>
        <w:left w:val="none" w:sz="0" w:space="0" w:color="auto"/>
        <w:bottom w:val="none" w:sz="0" w:space="0" w:color="auto"/>
        <w:right w:val="none" w:sz="0" w:space="0" w:color="auto"/>
      </w:divBdr>
    </w:div>
    <w:div w:id="1258178589">
      <w:bodyDiv w:val="1"/>
      <w:marLeft w:val="0"/>
      <w:marRight w:val="0"/>
      <w:marTop w:val="0"/>
      <w:marBottom w:val="0"/>
      <w:divBdr>
        <w:top w:val="none" w:sz="0" w:space="0" w:color="auto"/>
        <w:left w:val="none" w:sz="0" w:space="0" w:color="auto"/>
        <w:bottom w:val="none" w:sz="0" w:space="0" w:color="auto"/>
        <w:right w:val="none" w:sz="0" w:space="0" w:color="auto"/>
      </w:divBdr>
    </w:div>
    <w:div w:id="1259370675">
      <w:bodyDiv w:val="1"/>
      <w:marLeft w:val="0"/>
      <w:marRight w:val="0"/>
      <w:marTop w:val="0"/>
      <w:marBottom w:val="0"/>
      <w:divBdr>
        <w:top w:val="none" w:sz="0" w:space="0" w:color="auto"/>
        <w:left w:val="none" w:sz="0" w:space="0" w:color="auto"/>
        <w:bottom w:val="none" w:sz="0" w:space="0" w:color="auto"/>
        <w:right w:val="none" w:sz="0" w:space="0" w:color="auto"/>
      </w:divBdr>
    </w:div>
    <w:div w:id="1261067454">
      <w:bodyDiv w:val="1"/>
      <w:marLeft w:val="0"/>
      <w:marRight w:val="0"/>
      <w:marTop w:val="0"/>
      <w:marBottom w:val="0"/>
      <w:divBdr>
        <w:top w:val="none" w:sz="0" w:space="0" w:color="auto"/>
        <w:left w:val="none" w:sz="0" w:space="0" w:color="auto"/>
        <w:bottom w:val="none" w:sz="0" w:space="0" w:color="auto"/>
        <w:right w:val="none" w:sz="0" w:space="0" w:color="auto"/>
      </w:divBdr>
    </w:div>
    <w:div w:id="1264416775">
      <w:bodyDiv w:val="1"/>
      <w:marLeft w:val="0"/>
      <w:marRight w:val="0"/>
      <w:marTop w:val="0"/>
      <w:marBottom w:val="0"/>
      <w:divBdr>
        <w:top w:val="none" w:sz="0" w:space="0" w:color="auto"/>
        <w:left w:val="none" w:sz="0" w:space="0" w:color="auto"/>
        <w:bottom w:val="none" w:sz="0" w:space="0" w:color="auto"/>
        <w:right w:val="none" w:sz="0" w:space="0" w:color="auto"/>
      </w:divBdr>
    </w:div>
    <w:div w:id="1264916826">
      <w:bodyDiv w:val="1"/>
      <w:marLeft w:val="0"/>
      <w:marRight w:val="0"/>
      <w:marTop w:val="0"/>
      <w:marBottom w:val="0"/>
      <w:divBdr>
        <w:top w:val="none" w:sz="0" w:space="0" w:color="auto"/>
        <w:left w:val="none" w:sz="0" w:space="0" w:color="auto"/>
        <w:bottom w:val="none" w:sz="0" w:space="0" w:color="auto"/>
        <w:right w:val="none" w:sz="0" w:space="0" w:color="auto"/>
      </w:divBdr>
    </w:div>
    <w:div w:id="1270815742">
      <w:bodyDiv w:val="1"/>
      <w:marLeft w:val="0"/>
      <w:marRight w:val="0"/>
      <w:marTop w:val="0"/>
      <w:marBottom w:val="0"/>
      <w:divBdr>
        <w:top w:val="none" w:sz="0" w:space="0" w:color="auto"/>
        <w:left w:val="none" w:sz="0" w:space="0" w:color="auto"/>
        <w:bottom w:val="none" w:sz="0" w:space="0" w:color="auto"/>
        <w:right w:val="none" w:sz="0" w:space="0" w:color="auto"/>
      </w:divBdr>
    </w:div>
    <w:div w:id="1270818798">
      <w:bodyDiv w:val="1"/>
      <w:marLeft w:val="0"/>
      <w:marRight w:val="0"/>
      <w:marTop w:val="0"/>
      <w:marBottom w:val="0"/>
      <w:divBdr>
        <w:top w:val="none" w:sz="0" w:space="0" w:color="auto"/>
        <w:left w:val="none" w:sz="0" w:space="0" w:color="auto"/>
        <w:bottom w:val="none" w:sz="0" w:space="0" w:color="auto"/>
        <w:right w:val="none" w:sz="0" w:space="0" w:color="auto"/>
      </w:divBdr>
    </w:div>
    <w:div w:id="1273636169">
      <w:bodyDiv w:val="1"/>
      <w:marLeft w:val="0"/>
      <w:marRight w:val="0"/>
      <w:marTop w:val="0"/>
      <w:marBottom w:val="0"/>
      <w:divBdr>
        <w:top w:val="none" w:sz="0" w:space="0" w:color="auto"/>
        <w:left w:val="none" w:sz="0" w:space="0" w:color="auto"/>
        <w:bottom w:val="none" w:sz="0" w:space="0" w:color="auto"/>
        <w:right w:val="none" w:sz="0" w:space="0" w:color="auto"/>
      </w:divBdr>
    </w:div>
    <w:div w:id="1281107226">
      <w:bodyDiv w:val="1"/>
      <w:marLeft w:val="0"/>
      <w:marRight w:val="0"/>
      <w:marTop w:val="0"/>
      <w:marBottom w:val="0"/>
      <w:divBdr>
        <w:top w:val="none" w:sz="0" w:space="0" w:color="auto"/>
        <w:left w:val="none" w:sz="0" w:space="0" w:color="auto"/>
        <w:bottom w:val="none" w:sz="0" w:space="0" w:color="auto"/>
        <w:right w:val="none" w:sz="0" w:space="0" w:color="auto"/>
      </w:divBdr>
    </w:div>
    <w:div w:id="1281953592">
      <w:bodyDiv w:val="1"/>
      <w:marLeft w:val="0"/>
      <w:marRight w:val="0"/>
      <w:marTop w:val="0"/>
      <w:marBottom w:val="0"/>
      <w:divBdr>
        <w:top w:val="none" w:sz="0" w:space="0" w:color="auto"/>
        <w:left w:val="none" w:sz="0" w:space="0" w:color="auto"/>
        <w:bottom w:val="none" w:sz="0" w:space="0" w:color="auto"/>
        <w:right w:val="none" w:sz="0" w:space="0" w:color="auto"/>
      </w:divBdr>
    </w:div>
    <w:div w:id="1285844376">
      <w:bodyDiv w:val="1"/>
      <w:marLeft w:val="0"/>
      <w:marRight w:val="0"/>
      <w:marTop w:val="0"/>
      <w:marBottom w:val="0"/>
      <w:divBdr>
        <w:top w:val="none" w:sz="0" w:space="0" w:color="auto"/>
        <w:left w:val="none" w:sz="0" w:space="0" w:color="auto"/>
        <w:bottom w:val="none" w:sz="0" w:space="0" w:color="auto"/>
        <w:right w:val="none" w:sz="0" w:space="0" w:color="auto"/>
      </w:divBdr>
    </w:div>
    <w:div w:id="1291936471">
      <w:bodyDiv w:val="1"/>
      <w:marLeft w:val="0"/>
      <w:marRight w:val="0"/>
      <w:marTop w:val="0"/>
      <w:marBottom w:val="0"/>
      <w:divBdr>
        <w:top w:val="none" w:sz="0" w:space="0" w:color="auto"/>
        <w:left w:val="none" w:sz="0" w:space="0" w:color="auto"/>
        <w:bottom w:val="none" w:sz="0" w:space="0" w:color="auto"/>
        <w:right w:val="none" w:sz="0" w:space="0" w:color="auto"/>
      </w:divBdr>
    </w:div>
    <w:div w:id="1297252193">
      <w:bodyDiv w:val="1"/>
      <w:marLeft w:val="0"/>
      <w:marRight w:val="0"/>
      <w:marTop w:val="0"/>
      <w:marBottom w:val="0"/>
      <w:divBdr>
        <w:top w:val="none" w:sz="0" w:space="0" w:color="auto"/>
        <w:left w:val="none" w:sz="0" w:space="0" w:color="auto"/>
        <w:bottom w:val="none" w:sz="0" w:space="0" w:color="auto"/>
        <w:right w:val="none" w:sz="0" w:space="0" w:color="auto"/>
      </w:divBdr>
    </w:div>
    <w:div w:id="1299065157">
      <w:bodyDiv w:val="1"/>
      <w:marLeft w:val="0"/>
      <w:marRight w:val="0"/>
      <w:marTop w:val="0"/>
      <w:marBottom w:val="0"/>
      <w:divBdr>
        <w:top w:val="none" w:sz="0" w:space="0" w:color="auto"/>
        <w:left w:val="none" w:sz="0" w:space="0" w:color="auto"/>
        <w:bottom w:val="none" w:sz="0" w:space="0" w:color="auto"/>
        <w:right w:val="none" w:sz="0" w:space="0" w:color="auto"/>
      </w:divBdr>
    </w:div>
    <w:div w:id="1303922165">
      <w:bodyDiv w:val="1"/>
      <w:marLeft w:val="0"/>
      <w:marRight w:val="0"/>
      <w:marTop w:val="0"/>
      <w:marBottom w:val="0"/>
      <w:divBdr>
        <w:top w:val="none" w:sz="0" w:space="0" w:color="auto"/>
        <w:left w:val="none" w:sz="0" w:space="0" w:color="auto"/>
        <w:bottom w:val="none" w:sz="0" w:space="0" w:color="auto"/>
        <w:right w:val="none" w:sz="0" w:space="0" w:color="auto"/>
      </w:divBdr>
    </w:div>
    <w:div w:id="1321152797">
      <w:bodyDiv w:val="1"/>
      <w:marLeft w:val="0"/>
      <w:marRight w:val="0"/>
      <w:marTop w:val="0"/>
      <w:marBottom w:val="0"/>
      <w:divBdr>
        <w:top w:val="none" w:sz="0" w:space="0" w:color="auto"/>
        <w:left w:val="none" w:sz="0" w:space="0" w:color="auto"/>
        <w:bottom w:val="none" w:sz="0" w:space="0" w:color="auto"/>
        <w:right w:val="none" w:sz="0" w:space="0" w:color="auto"/>
      </w:divBdr>
    </w:div>
    <w:div w:id="1322194281">
      <w:bodyDiv w:val="1"/>
      <w:marLeft w:val="0"/>
      <w:marRight w:val="0"/>
      <w:marTop w:val="0"/>
      <w:marBottom w:val="0"/>
      <w:divBdr>
        <w:top w:val="none" w:sz="0" w:space="0" w:color="auto"/>
        <w:left w:val="none" w:sz="0" w:space="0" w:color="auto"/>
        <w:bottom w:val="none" w:sz="0" w:space="0" w:color="auto"/>
        <w:right w:val="none" w:sz="0" w:space="0" w:color="auto"/>
      </w:divBdr>
    </w:div>
    <w:div w:id="1329745737">
      <w:bodyDiv w:val="1"/>
      <w:marLeft w:val="0"/>
      <w:marRight w:val="0"/>
      <w:marTop w:val="0"/>
      <w:marBottom w:val="0"/>
      <w:divBdr>
        <w:top w:val="none" w:sz="0" w:space="0" w:color="auto"/>
        <w:left w:val="none" w:sz="0" w:space="0" w:color="auto"/>
        <w:bottom w:val="none" w:sz="0" w:space="0" w:color="auto"/>
        <w:right w:val="none" w:sz="0" w:space="0" w:color="auto"/>
      </w:divBdr>
    </w:div>
    <w:div w:id="1330981084">
      <w:bodyDiv w:val="1"/>
      <w:marLeft w:val="0"/>
      <w:marRight w:val="0"/>
      <w:marTop w:val="0"/>
      <w:marBottom w:val="0"/>
      <w:divBdr>
        <w:top w:val="none" w:sz="0" w:space="0" w:color="auto"/>
        <w:left w:val="none" w:sz="0" w:space="0" w:color="auto"/>
        <w:bottom w:val="none" w:sz="0" w:space="0" w:color="auto"/>
        <w:right w:val="none" w:sz="0" w:space="0" w:color="auto"/>
      </w:divBdr>
    </w:div>
    <w:div w:id="1331176347">
      <w:bodyDiv w:val="1"/>
      <w:marLeft w:val="0"/>
      <w:marRight w:val="0"/>
      <w:marTop w:val="0"/>
      <w:marBottom w:val="0"/>
      <w:divBdr>
        <w:top w:val="none" w:sz="0" w:space="0" w:color="auto"/>
        <w:left w:val="none" w:sz="0" w:space="0" w:color="auto"/>
        <w:bottom w:val="none" w:sz="0" w:space="0" w:color="auto"/>
        <w:right w:val="none" w:sz="0" w:space="0" w:color="auto"/>
      </w:divBdr>
    </w:div>
    <w:div w:id="1340808618">
      <w:bodyDiv w:val="1"/>
      <w:marLeft w:val="0"/>
      <w:marRight w:val="0"/>
      <w:marTop w:val="0"/>
      <w:marBottom w:val="0"/>
      <w:divBdr>
        <w:top w:val="none" w:sz="0" w:space="0" w:color="auto"/>
        <w:left w:val="none" w:sz="0" w:space="0" w:color="auto"/>
        <w:bottom w:val="none" w:sz="0" w:space="0" w:color="auto"/>
        <w:right w:val="none" w:sz="0" w:space="0" w:color="auto"/>
      </w:divBdr>
    </w:div>
    <w:div w:id="1342396270">
      <w:bodyDiv w:val="1"/>
      <w:marLeft w:val="0"/>
      <w:marRight w:val="0"/>
      <w:marTop w:val="0"/>
      <w:marBottom w:val="0"/>
      <w:divBdr>
        <w:top w:val="none" w:sz="0" w:space="0" w:color="auto"/>
        <w:left w:val="none" w:sz="0" w:space="0" w:color="auto"/>
        <w:bottom w:val="none" w:sz="0" w:space="0" w:color="auto"/>
        <w:right w:val="none" w:sz="0" w:space="0" w:color="auto"/>
      </w:divBdr>
    </w:div>
    <w:div w:id="1357467822">
      <w:bodyDiv w:val="1"/>
      <w:marLeft w:val="0"/>
      <w:marRight w:val="0"/>
      <w:marTop w:val="0"/>
      <w:marBottom w:val="0"/>
      <w:divBdr>
        <w:top w:val="none" w:sz="0" w:space="0" w:color="auto"/>
        <w:left w:val="none" w:sz="0" w:space="0" w:color="auto"/>
        <w:bottom w:val="none" w:sz="0" w:space="0" w:color="auto"/>
        <w:right w:val="none" w:sz="0" w:space="0" w:color="auto"/>
      </w:divBdr>
    </w:div>
    <w:div w:id="1361012894">
      <w:bodyDiv w:val="1"/>
      <w:marLeft w:val="0"/>
      <w:marRight w:val="0"/>
      <w:marTop w:val="0"/>
      <w:marBottom w:val="0"/>
      <w:divBdr>
        <w:top w:val="none" w:sz="0" w:space="0" w:color="auto"/>
        <w:left w:val="none" w:sz="0" w:space="0" w:color="auto"/>
        <w:bottom w:val="none" w:sz="0" w:space="0" w:color="auto"/>
        <w:right w:val="none" w:sz="0" w:space="0" w:color="auto"/>
      </w:divBdr>
    </w:div>
    <w:div w:id="1365714108">
      <w:bodyDiv w:val="1"/>
      <w:marLeft w:val="0"/>
      <w:marRight w:val="0"/>
      <w:marTop w:val="0"/>
      <w:marBottom w:val="0"/>
      <w:divBdr>
        <w:top w:val="none" w:sz="0" w:space="0" w:color="auto"/>
        <w:left w:val="none" w:sz="0" w:space="0" w:color="auto"/>
        <w:bottom w:val="none" w:sz="0" w:space="0" w:color="auto"/>
        <w:right w:val="none" w:sz="0" w:space="0" w:color="auto"/>
      </w:divBdr>
    </w:div>
    <w:div w:id="1372652677">
      <w:bodyDiv w:val="1"/>
      <w:marLeft w:val="0"/>
      <w:marRight w:val="0"/>
      <w:marTop w:val="0"/>
      <w:marBottom w:val="0"/>
      <w:divBdr>
        <w:top w:val="none" w:sz="0" w:space="0" w:color="auto"/>
        <w:left w:val="none" w:sz="0" w:space="0" w:color="auto"/>
        <w:bottom w:val="none" w:sz="0" w:space="0" w:color="auto"/>
        <w:right w:val="none" w:sz="0" w:space="0" w:color="auto"/>
      </w:divBdr>
    </w:div>
    <w:div w:id="1381394070">
      <w:bodyDiv w:val="1"/>
      <w:marLeft w:val="0"/>
      <w:marRight w:val="0"/>
      <w:marTop w:val="0"/>
      <w:marBottom w:val="0"/>
      <w:divBdr>
        <w:top w:val="none" w:sz="0" w:space="0" w:color="auto"/>
        <w:left w:val="none" w:sz="0" w:space="0" w:color="auto"/>
        <w:bottom w:val="none" w:sz="0" w:space="0" w:color="auto"/>
        <w:right w:val="none" w:sz="0" w:space="0" w:color="auto"/>
      </w:divBdr>
    </w:div>
    <w:div w:id="1382437370">
      <w:bodyDiv w:val="1"/>
      <w:marLeft w:val="0"/>
      <w:marRight w:val="0"/>
      <w:marTop w:val="0"/>
      <w:marBottom w:val="0"/>
      <w:divBdr>
        <w:top w:val="none" w:sz="0" w:space="0" w:color="auto"/>
        <w:left w:val="none" w:sz="0" w:space="0" w:color="auto"/>
        <w:bottom w:val="none" w:sz="0" w:space="0" w:color="auto"/>
        <w:right w:val="none" w:sz="0" w:space="0" w:color="auto"/>
      </w:divBdr>
      <w:divsChild>
        <w:div w:id="548956953">
          <w:marLeft w:val="0"/>
          <w:marRight w:val="0"/>
          <w:marTop w:val="0"/>
          <w:marBottom w:val="0"/>
          <w:divBdr>
            <w:top w:val="none" w:sz="0" w:space="0" w:color="auto"/>
            <w:left w:val="none" w:sz="0" w:space="0" w:color="auto"/>
            <w:bottom w:val="none" w:sz="0" w:space="0" w:color="auto"/>
            <w:right w:val="none" w:sz="0" w:space="0" w:color="auto"/>
          </w:divBdr>
          <w:divsChild>
            <w:div w:id="1297448810">
              <w:marLeft w:val="0"/>
              <w:marRight w:val="0"/>
              <w:marTop w:val="0"/>
              <w:marBottom w:val="0"/>
              <w:divBdr>
                <w:top w:val="none" w:sz="0" w:space="0" w:color="auto"/>
                <w:left w:val="none" w:sz="0" w:space="0" w:color="auto"/>
                <w:bottom w:val="none" w:sz="0" w:space="0" w:color="auto"/>
                <w:right w:val="none" w:sz="0" w:space="0" w:color="auto"/>
              </w:divBdr>
              <w:divsChild>
                <w:div w:id="1384673029">
                  <w:marLeft w:val="0"/>
                  <w:marRight w:val="0"/>
                  <w:marTop w:val="0"/>
                  <w:marBottom w:val="0"/>
                  <w:divBdr>
                    <w:top w:val="none" w:sz="0" w:space="0" w:color="auto"/>
                    <w:left w:val="none" w:sz="0" w:space="0" w:color="auto"/>
                    <w:bottom w:val="none" w:sz="0" w:space="0" w:color="auto"/>
                    <w:right w:val="none" w:sz="0" w:space="0" w:color="auto"/>
                  </w:divBdr>
                  <w:divsChild>
                    <w:div w:id="272782544">
                      <w:marLeft w:val="0"/>
                      <w:marRight w:val="0"/>
                      <w:marTop w:val="0"/>
                      <w:marBottom w:val="0"/>
                      <w:divBdr>
                        <w:top w:val="none" w:sz="0" w:space="0" w:color="auto"/>
                        <w:left w:val="none" w:sz="0" w:space="0" w:color="auto"/>
                        <w:bottom w:val="none" w:sz="0" w:space="0" w:color="auto"/>
                        <w:right w:val="none" w:sz="0" w:space="0" w:color="auto"/>
                      </w:divBdr>
                      <w:divsChild>
                        <w:div w:id="320622918">
                          <w:marLeft w:val="0"/>
                          <w:marRight w:val="0"/>
                          <w:marTop w:val="0"/>
                          <w:marBottom w:val="0"/>
                          <w:divBdr>
                            <w:top w:val="none" w:sz="0" w:space="0" w:color="auto"/>
                            <w:left w:val="none" w:sz="0" w:space="0" w:color="auto"/>
                            <w:bottom w:val="none" w:sz="0" w:space="0" w:color="auto"/>
                            <w:right w:val="none" w:sz="0" w:space="0" w:color="auto"/>
                          </w:divBdr>
                          <w:divsChild>
                            <w:div w:id="1480030354">
                              <w:marLeft w:val="0"/>
                              <w:marRight w:val="0"/>
                              <w:marTop w:val="0"/>
                              <w:marBottom w:val="0"/>
                              <w:divBdr>
                                <w:top w:val="none" w:sz="0" w:space="0" w:color="auto"/>
                                <w:left w:val="none" w:sz="0" w:space="0" w:color="auto"/>
                                <w:bottom w:val="none" w:sz="0" w:space="0" w:color="auto"/>
                                <w:right w:val="none" w:sz="0" w:space="0" w:color="auto"/>
                              </w:divBdr>
                              <w:divsChild>
                                <w:div w:id="1090542394">
                                  <w:marLeft w:val="0"/>
                                  <w:marRight w:val="0"/>
                                  <w:marTop w:val="0"/>
                                  <w:marBottom w:val="0"/>
                                  <w:divBdr>
                                    <w:top w:val="none" w:sz="0" w:space="0" w:color="auto"/>
                                    <w:left w:val="none" w:sz="0" w:space="0" w:color="auto"/>
                                    <w:bottom w:val="none" w:sz="0" w:space="0" w:color="auto"/>
                                    <w:right w:val="none" w:sz="0" w:space="0" w:color="auto"/>
                                  </w:divBdr>
                                  <w:divsChild>
                                    <w:div w:id="1751461162">
                                      <w:marLeft w:val="0"/>
                                      <w:marRight w:val="0"/>
                                      <w:marTop w:val="0"/>
                                      <w:marBottom w:val="0"/>
                                      <w:divBdr>
                                        <w:top w:val="none" w:sz="0" w:space="0" w:color="auto"/>
                                        <w:left w:val="none" w:sz="0" w:space="0" w:color="auto"/>
                                        <w:bottom w:val="none" w:sz="0" w:space="0" w:color="auto"/>
                                        <w:right w:val="none" w:sz="0" w:space="0" w:color="auto"/>
                                      </w:divBdr>
                                      <w:divsChild>
                                        <w:div w:id="405225402">
                                          <w:marLeft w:val="0"/>
                                          <w:marRight w:val="0"/>
                                          <w:marTop w:val="0"/>
                                          <w:marBottom w:val="0"/>
                                          <w:divBdr>
                                            <w:top w:val="none" w:sz="0" w:space="0" w:color="auto"/>
                                            <w:left w:val="none" w:sz="0" w:space="0" w:color="auto"/>
                                            <w:bottom w:val="none" w:sz="0" w:space="0" w:color="auto"/>
                                            <w:right w:val="none" w:sz="0" w:space="0" w:color="auto"/>
                                          </w:divBdr>
                                          <w:divsChild>
                                            <w:div w:id="2008556760">
                                              <w:marLeft w:val="0"/>
                                              <w:marRight w:val="0"/>
                                              <w:marTop w:val="0"/>
                                              <w:marBottom w:val="0"/>
                                              <w:divBdr>
                                                <w:top w:val="single" w:sz="6" w:space="0" w:color="F5F5F5"/>
                                                <w:left w:val="single" w:sz="6" w:space="0" w:color="F5F5F5"/>
                                                <w:bottom w:val="single" w:sz="6" w:space="0" w:color="F5F5F5"/>
                                                <w:right w:val="single" w:sz="6" w:space="0" w:color="F5F5F5"/>
                                              </w:divBdr>
                                              <w:divsChild>
                                                <w:div w:id="572467619">
                                                  <w:marLeft w:val="0"/>
                                                  <w:marRight w:val="0"/>
                                                  <w:marTop w:val="0"/>
                                                  <w:marBottom w:val="0"/>
                                                  <w:divBdr>
                                                    <w:top w:val="none" w:sz="0" w:space="0" w:color="auto"/>
                                                    <w:left w:val="none" w:sz="0" w:space="0" w:color="auto"/>
                                                    <w:bottom w:val="none" w:sz="0" w:space="0" w:color="auto"/>
                                                    <w:right w:val="none" w:sz="0" w:space="0" w:color="auto"/>
                                                  </w:divBdr>
                                                  <w:divsChild>
                                                    <w:div w:id="790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554816">
      <w:bodyDiv w:val="1"/>
      <w:marLeft w:val="0"/>
      <w:marRight w:val="0"/>
      <w:marTop w:val="0"/>
      <w:marBottom w:val="0"/>
      <w:divBdr>
        <w:top w:val="none" w:sz="0" w:space="0" w:color="auto"/>
        <w:left w:val="none" w:sz="0" w:space="0" w:color="auto"/>
        <w:bottom w:val="none" w:sz="0" w:space="0" w:color="auto"/>
        <w:right w:val="none" w:sz="0" w:space="0" w:color="auto"/>
      </w:divBdr>
    </w:div>
    <w:div w:id="1385447708">
      <w:bodyDiv w:val="1"/>
      <w:marLeft w:val="0"/>
      <w:marRight w:val="0"/>
      <w:marTop w:val="0"/>
      <w:marBottom w:val="0"/>
      <w:divBdr>
        <w:top w:val="none" w:sz="0" w:space="0" w:color="auto"/>
        <w:left w:val="none" w:sz="0" w:space="0" w:color="auto"/>
        <w:bottom w:val="none" w:sz="0" w:space="0" w:color="auto"/>
        <w:right w:val="none" w:sz="0" w:space="0" w:color="auto"/>
      </w:divBdr>
    </w:div>
    <w:div w:id="1387685332">
      <w:bodyDiv w:val="1"/>
      <w:marLeft w:val="0"/>
      <w:marRight w:val="0"/>
      <w:marTop w:val="0"/>
      <w:marBottom w:val="0"/>
      <w:divBdr>
        <w:top w:val="none" w:sz="0" w:space="0" w:color="auto"/>
        <w:left w:val="none" w:sz="0" w:space="0" w:color="auto"/>
        <w:bottom w:val="none" w:sz="0" w:space="0" w:color="auto"/>
        <w:right w:val="none" w:sz="0" w:space="0" w:color="auto"/>
      </w:divBdr>
    </w:div>
    <w:div w:id="1387754458">
      <w:bodyDiv w:val="1"/>
      <w:marLeft w:val="0"/>
      <w:marRight w:val="0"/>
      <w:marTop w:val="0"/>
      <w:marBottom w:val="0"/>
      <w:divBdr>
        <w:top w:val="none" w:sz="0" w:space="0" w:color="auto"/>
        <w:left w:val="none" w:sz="0" w:space="0" w:color="auto"/>
        <w:bottom w:val="none" w:sz="0" w:space="0" w:color="auto"/>
        <w:right w:val="none" w:sz="0" w:space="0" w:color="auto"/>
      </w:divBdr>
    </w:div>
    <w:div w:id="1387947070">
      <w:bodyDiv w:val="1"/>
      <w:marLeft w:val="0"/>
      <w:marRight w:val="0"/>
      <w:marTop w:val="0"/>
      <w:marBottom w:val="0"/>
      <w:divBdr>
        <w:top w:val="none" w:sz="0" w:space="0" w:color="auto"/>
        <w:left w:val="none" w:sz="0" w:space="0" w:color="auto"/>
        <w:bottom w:val="none" w:sz="0" w:space="0" w:color="auto"/>
        <w:right w:val="none" w:sz="0" w:space="0" w:color="auto"/>
      </w:divBdr>
    </w:div>
    <w:div w:id="1387992010">
      <w:bodyDiv w:val="1"/>
      <w:marLeft w:val="0"/>
      <w:marRight w:val="0"/>
      <w:marTop w:val="0"/>
      <w:marBottom w:val="0"/>
      <w:divBdr>
        <w:top w:val="none" w:sz="0" w:space="0" w:color="auto"/>
        <w:left w:val="none" w:sz="0" w:space="0" w:color="auto"/>
        <w:bottom w:val="none" w:sz="0" w:space="0" w:color="auto"/>
        <w:right w:val="none" w:sz="0" w:space="0" w:color="auto"/>
      </w:divBdr>
    </w:div>
    <w:div w:id="1388995410">
      <w:bodyDiv w:val="1"/>
      <w:marLeft w:val="0"/>
      <w:marRight w:val="0"/>
      <w:marTop w:val="0"/>
      <w:marBottom w:val="0"/>
      <w:divBdr>
        <w:top w:val="none" w:sz="0" w:space="0" w:color="auto"/>
        <w:left w:val="none" w:sz="0" w:space="0" w:color="auto"/>
        <w:bottom w:val="none" w:sz="0" w:space="0" w:color="auto"/>
        <w:right w:val="none" w:sz="0" w:space="0" w:color="auto"/>
      </w:divBdr>
    </w:div>
    <w:div w:id="1389525045">
      <w:bodyDiv w:val="1"/>
      <w:marLeft w:val="0"/>
      <w:marRight w:val="0"/>
      <w:marTop w:val="0"/>
      <w:marBottom w:val="0"/>
      <w:divBdr>
        <w:top w:val="none" w:sz="0" w:space="0" w:color="auto"/>
        <w:left w:val="none" w:sz="0" w:space="0" w:color="auto"/>
        <w:bottom w:val="none" w:sz="0" w:space="0" w:color="auto"/>
        <w:right w:val="none" w:sz="0" w:space="0" w:color="auto"/>
      </w:divBdr>
    </w:div>
    <w:div w:id="1389576214">
      <w:bodyDiv w:val="1"/>
      <w:marLeft w:val="0"/>
      <w:marRight w:val="0"/>
      <w:marTop w:val="0"/>
      <w:marBottom w:val="0"/>
      <w:divBdr>
        <w:top w:val="none" w:sz="0" w:space="0" w:color="auto"/>
        <w:left w:val="none" w:sz="0" w:space="0" w:color="auto"/>
        <w:bottom w:val="none" w:sz="0" w:space="0" w:color="auto"/>
        <w:right w:val="none" w:sz="0" w:space="0" w:color="auto"/>
      </w:divBdr>
    </w:div>
    <w:div w:id="1401319653">
      <w:bodyDiv w:val="1"/>
      <w:marLeft w:val="0"/>
      <w:marRight w:val="0"/>
      <w:marTop w:val="0"/>
      <w:marBottom w:val="0"/>
      <w:divBdr>
        <w:top w:val="none" w:sz="0" w:space="0" w:color="auto"/>
        <w:left w:val="none" w:sz="0" w:space="0" w:color="auto"/>
        <w:bottom w:val="none" w:sz="0" w:space="0" w:color="auto"/>
        <w:right w:val="none" w:sz="0" w:space="0" w:color="auto"/>
      </w:divBdr>
      <w:divsChild>
        <w:div w:id="880944246">
          <w:marLeft w:val="0"/>
          <w:marRight w:val="0"/>
          <w:marTop w:val="0"/>
          <w:marBottom w:val="0"/>
          <w:divBdr>
            <w:top w:val="none" w:sz="0" w:space="0" w:color="auto"/>
            <w:left w:val="none" w:sz="0" w:space="0" w:color="auto"/>
            <w:bottom w:val="none" w:sz="0" w:space="0" w:color="auto"/>
            <w:right w:val="none" w:sz="0" w:space="0" w:color="auto"/>
          </w:divBdr>
          <w:divsChild>
            <w:div w:id="2069382080">
              <w:marLeft w:val="0"/>
              <w:marRight w:val="0"/>
              <w:marTop w:val="0"/>
              <w:marBottom w:val="0"/>
              <w:divBdr>
                <w:top w:val="none" w:sz="0" w:space="0" w:color="auto"/>
                <w:left w:val="none" w:sz="0" w:space="0" w:color="auto"/>
                <w:bottom w:val="none" w:sz="0" w:space="0" w:color="auto"/>
                <w:right w:val="none" w:sz="0" w:space="0" w:color="auto"/>
              </w:divBdr>
              <w:divsChild>
                <w:div w:id="307974266">
                  <w:marLeft w:val="0"/>
                  <w:marRight w:val="0"/>
                  <w:marTop w:val="0"/>
                  <w:marBottom w:val="0"/>
                  <w:divBdr>
                    <w:top w:val="none" w:sz="0" w:space="0" w:color="auto"/>
                    <w:left w:val="none" w:sz="0" w:space="0" w:color="auto"/>
                    <w:bottom w:val="none" w:sz="0" w:space="0" w:color="auto"/>
                    <w:right w:val="none" w:sz="0" w:space="0" w:color="auto"/>
                  </w:divBdr>
                  <w:divsChild>
                    <w:div w:id="618025510">
                      <w:marLeft w:val="0"/>
                      <w:marRight w:val="0"/>
                      <w:marTop w:val="0"/>
                      <w:marBottom w:val="0"/>
                      <w:divBdr>
                        <w:top w:val="none" w:sz="0" w:space="0" w:color="auto"/>
                        <w:left w:val="none" w:sz="0" w:space="0" w:color="auto"/>
                        <w:bottom w:val="none" w:sz="0" w:space="0" w:color="auto"/>
                        <w:right w:val="none" w:sz="0" w:space="0" w:color="auto"/>
                      </w:divBdr>
                      <w:divsChild>
                        <w:div w:id="1366326975">
                          <w:marLeft w:val="0"/>
                          <w:marRight w:val="0"/>
                          <w:marTop w:val="0"/>
                          <w:marBottom w:val="0"/>
                          <w:divBdr>
                            <w:top w:val="none" w:sz="0" w:space="0" w:color="auto"/>
                            <w:left w:val="none" w:sz="0" w:space="0" w:color="auto"/>
                            <w:bottom w:val="none" w:sz="0" w:space="0" w:color="auto"/>
                            <w:right w:val="none" w:sz="0" w:space="0" w:color="auto"/>
                          </w:divBdr>
                          <w:divsChild>
                            <w:div w:id="275603718">
                              <w:marLeft w:val="0"/>
                              <w:marRight w:val="0"/>
                              <w:marTop w:val="0"/>
                              <w:marBottom w:val="0"/>
                              <w:divBdr>
                                <w:top w:val="none" w:sz="0" w:space="0" w:color="auto"/>
                                <w:left w:val="none" w:sz="0" w:space="0" w:color="auto"/>
                                <w:bottom w:val="none" w:sz="0" w:space="0" w:color="auto"/>
                                <w:right w:val="none" w:sz="0" w:space="0" w:color="auto"/>
                              </w:divBdr>
                              <w:divsChild>
                                <w:div w:id="992366595">
                                  <w:marLeft w:val="0"/>
                                  <w:marRight w:val="0"/>
                                  <w:marTop w:val="0"/>
                                  <w:marBottom w:val="0"/>
                                  <w:divBdr>
                                    <w:top w:val="none" w:sz="0" w:space="0" w:color="auto"/>
                                    <w:left w:val="none" w:sz="0" w:space="0" w:color="auto"/>
                                    <w:bottom w:val="none" w:sz="0" w:space="0" w:color="auto"/>
                                    <w:right w:val="none" w:sz="0" w:space="0" w:color="auto"/>
                                  </w:divBdr>
                                  <w:divsChild>
                                    <w:div w:id="1205286407">
                                      <w:marLeft w:val="0"/>
                                      <w:marRight w:val="0"/>
                                      <w:marTop w:val="0"/>
                                      <w:marBottom w:val="0"/>
                                      <w:divBdr>
                                        <w:top w:val="none" w:sz="0" w:space="0" w:color="auto"/>
                                        <w:left w:val="none" w:sz="0" w:space="0" w:color="auto"/>
                                        <w:bottom w:val="none" w:sz="0" w:space="0" w:color="auto"/>
                                        <w:right w:val="none" w:sz="0" w:space="0" w:color="auto"/>
                                      </w:divBdr>
                                      <w:divsChild>
                                        <w:div w:id="598756573">
                                          <w:marLeft w:val="0"/>
                                          <w:marRight w:val="0"/>
                                          <w:marTop w:val="0"/>
                                          <w:marBottom w:val="0"/>
                                          <w:divBdr>
                                            <w:top w:val="none" w:sz="0" w:space="0" w:color="auto"/>
                                            <w:left w:val="none" w:sz="0" w:space="0" w:color="auto"/>
                                            <w:bottom w:val="none" w:sz="0" w:space="0" w:color="auto"/>
                                            <w:right w:val="none" w:sz="0" w:space="0" w:color="auto"/>
                                          </w:divBdr>
                                          <w:divsChild>
                                            <w:div w:id="1517309488">
                                              <w:marLeft w:val="0"/>
                                              <w:marRight w:val="0"/>
                                              <w:marTop w:val="0"/>
                                              <w:marBottom w:val="0"/>
                                              <w:divBdr>
                                                <w:top w:val="single" w:sz="6" w:space="0" w:color="F5F5F5"/>
                                                <w:left w:val="single" w:sz="6" w:space="0" w:color="F5F5F5"/>
                                                <w:bottom w:val="single" w:sz="6" w:space="0" w:color="F5F5F5"/>
                                                <w:right w:val="single" w:sz="6" w:space="0" w:color="F5F5F5"/>
                                              </w:divBdr>
                                              <w:divsChild>
                                                <w:div w:id="948005791">
                                                  <w:marLeft w:val="0"/>
                                                  <w:marRight w:val="0"/>
                                                  <w:marTop w:val="0"/>
                                                  <w:marBottom w:val="0"/>
                                                  <w:divBdr>
                                                    <w:top w:val="none" w:sz="0" w:space="0" w:color="auto"/>
                                                    <w:left w:val="none" w:sz="0" w:space="0" w:color="auto"/>
                                                    <w:bottom w:val="none" w:sz="0" w:space="0" w:color="auto"/>
                                                    <w:right w:val="none" w:sz="0" w:space="0" w:color="auto"/>
                                                  </w:divBdr>
                                                  <w:divsChild>
                                                    <w:div w:id="4216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794522">
      <w:bodyDiv w:val="1"/>
      <w:marLeft w:val="0"/>
      <w:marRight w:val="0"/>
      <w:marTop w:val="0"/>
      <w:marBottom w:val="0"/>
      <w:divBdr>
        <w:top w:val="none" w:sz="0" w:space="0" w:color="auto"/>
        <w:left w:val="none" w:sz="0" w:space="0" w:color="auto"/>
        <w:bottom w:val="none" w:sz="0" w:space="0" w:color="auto"/>
        <w:right w:val="none" w:sz="0" w:space="0" w:color="auto"/>
      </w:divBdr>
      <w:divsChild>
        <w:div w:id="793140863">
          <w:marLeft w:val="0"/>
          <w:marRight w:val="0"/>
          <w:marTop w:val="0"/>
          <w:marBottom w:val="0"/>
          <w:divBdr>
            <w:top w:val="none" w:sz="0" w:space="0" w:color="auto"/>
            <w:left w:val="none" w:sz="0" w:space="0" w:color="auto"/>
            <w:bottom w:val="none" w:sz="0" w:space="0" w:color="auto"/>
            <w:right w:val="none" w:sz="0" w:space="0" w:color="auto"/>
          </w:divBdr>
          <w:divsChild>
            <w:div w:id="326327537">
              <w:marLeft w:val="0"/>
              <w:marRight w:val="0"/>
              <w:marTop w:val="0"/>
              <w:marBottom w:val="0"/>
              <w:divBdr>
                <w:top w:val="none" w:sz="0" w:space="0" w:color="auto"/>
                <w:left w:val="none" w:sz="0" w:space="0" w:color="auto"/>
                <w:bottom w:val="none" w:sz="0" w:space="0" w:color="auto"/>
                <w:right w:val="none" w:sz="0" w:space="0" w:color="auto"/>
              </w:divBdr>
              <w:divsChild>
                <w:div w:id="1658420643">
                  <w:marLeft w:val="0"/>
                  <w:marRight w:val="0"/>
                  <w:marTop w:val="0"/>
                  <w:marBottom w:val="0"/>
                  <w:divBdr>
                    <w:top w:val="none" w:sz="0" w:space="0" w:color="auto"/>
                    <w:left w:val="none" w:sz="0" w:space="0" w:color="auto"/>
                    <w:bottom w:val="none" w:sz="0" w:space="0" w:color="auto"/>
                    <w:right w:val="none" w:sz="0" w:space="0" w:color="auto"/>
                  </w:divBdr>
                  <w:divsChild>
                    <w:div w:id="329868651">
                      <w:marLeft w:val="0"/>
                      <w:marRight w:val="0"/>
                      <w:marTop w:val="0"/>
                      <w:marBottom w:val="0"/>
                      <w:divBdr>
                        <w:top w:val="none" w:sz="0" w:space="0" w:color="auto"/>
                        <w:left w:val="none" w:sz="0" w:space="0" w:color="auto"/>
                        <w:bottom w:val="none" w:sz="0" w:space="0" w:color="auto"/>
                        <w:right w:val="none" w:sz="0" w:space="0" w:color="auto"/>
                      </w:divBdr>
                      <w:divsChild>
                        <w:div w:id="1078331887">
                          <w:marLeft w:val="0"/>
                          <w:marRight w:val="0"/>
                          <w:marTop w:val="0"/>
                          <w:marBottom w:val="0"/>
                          <w:divBdr>
                            <w:top w:val="none" w:sz="0" w:space="0" w:color="auto"/>
                            <w:left w:val="none" w:sz="0" w:space="0" w:color="auto"/>
                            <w:bottom w:val="none" w:sz="0" w:space="0" w:color="auto"/>
                            <w:right w:val="none" w:sz="0" w:space="0" w:color="auto"/>
                          </w:divBdr>
                          <w:divsChild>
                            <w:div w:id="1042285169">
                              <w:marLeft w:val="0"/>
                              <w:marRight w:val="0"/>
                              <w:marTop w:val="0"/>
                              <w:marBottom w:val="0"/>
                              <w:divBdr>
                                <w:top w:val="none" w:sz="0" w:space="0" w:color="auto"/>
                                <w:left w:val="none" w:sz="0" w:space="0" w:color="auto"/>
                                <w:bottom w:val="none" w:sz="0" w:space="0" w:color="auto"/>
                                <w:right w:val="none" w:sz="0" w:space="0" w:color="auto"/>
                              </w:divBdr>
                              <w:divsChild>
                                <w:div w:id="91316936">
                                  <w:marLeft w:val="0"/>
                                  <w:marRight w:val="0"/>
                                  <w:marTop w:val="0"/>
                                  <w:marBottom w:val="0"/>
                                  <w:divBdr>
                                    <w:top w:val="none" w:sz="0" w:space="0" w:color="auto"/>
                                    <w:left w:val="none" w:sz="0" w:space="0" w:color="auto"/>
                                    <w:bottom w:val="none" w:sz="0" w:space="0" w:color="auto"/>
                                    <w:right w:val="none" w:sz="0" w:space="0" w:color="auto"/>
                                  </w:divBdr>
                                  <w:divsChild>
                                    <w:div w:id="372534593">
                                      <w:marLeft w:val="0"/>
                                      <w:marRight w:val="0"/>
                                      <w:marTop w:val="0"/>
                                      <w:marBottom w:val="0"/>
                                      <w:divBdr>
                                        <w:top w:val="none" w:sz="0" w:space="0" w:color="auto"/>
                                        <w:left w:val="none" w:sz="0" w:space="0" w:color="auto"/>
                                        <w:bottom w:val="none" w:sz="0" w:space="0" w:color="auto"/>
                                        <w:right w:val="none" w:sz="0" w:space="0" w:color="auto"/>
                                      </w:divBdr>
                                      <w:divsChild>
                                        <w:div w:id="896940440">
                                          <w:marLeft w:val="0"/>
                                          <w:marRight w:val="0"/>
                                          <w:marTop w:val="0"/>
                                          <w:marBottom w:val="0"/>
                                          <w:divBdr>
                                            <w:top w:val="none" w:sz="0" w:space="0" w:color="auto"/>
                                            <w:left w:val="none" w:sz="0" w:space="0" w:color="auto"/>
                                            <w:bottom w:val="none" w:sz="0" w:space="0" w:color="auto"/>
                                            <w:right w:val="none" w:sz="0" w:space="0" w:color="auto"/>
                                          </w:divBdr>
                                          <w:divsChild>
                                            <w:div w:id="51736318">
                                              <w:marLeft w:val="0"/>
                                              <w:marRight w:val="0"/>
                                              <w:marTop w:val="0"/>
                                              <w:marBottom w:val="0"/>
                                              <w:divBdr>
                                                <w:top w:val="single" w:sz="6" w:space="0" w:color="F5F5F5"/>
                                                <w:left w:val="single" w:sz="6" w:space="0" w:color="F5F5F5"/>
                                                <w:bottom w:val="single" w:sz="6" w:space="0" w:color="F5F5F5"/>
                                                <w:right w:val="single" w:sz="6" w:space="0" w:color="F5F5F5"/>
                                              </w:divBdr>
                                              <w:divsChild>
                                                <w:div w:id="1408649505">
                                                  <w:marLeft w:val="0"/>
                                                  <w:marRight w:val="0"/>
                                                  <w:marTop w:val="0"/>
                                                  <w:marBottom w:val="0"/>
                                                  <w:divBdr>
                                                    <w:top w:val="none" w:sz="0" w:space="0" w:color="auto"/>
                                                    <w:left w:val="none" w:sz="0" w:space="0" w:color="auto"/>
                                                    <w:bottom w:val="none" w:sz="0" w:space="0" w:color="auto"/>
                                                    <w:right w:val="none" w:sz="0" w:space="0" w:color="auto"/>
                                                  </w:divBdr>
                                                  <w:divsChild>
                                                    <w:div w:id="6893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200025">
      <w:bodyDiv w:val="1"/>
      <w:marLeft w:val="0"/>
      <w:marRight w:val="0"/>
      <w:marTop w:val="0"/>
      <w:marBottom w:val="0"/>
      <w:divBdr>
        <w:top w:val="none" w:sz="0" w:space="0" w:color="auto"/>
        <w:left w:val="none" w:sz="0" w:space="0" w:color="auto"/>
        <w:bottom w:val="none" w:sz="0" w:space="0" w:color="auto"/>
        <w:right w:val="none" w:sz="0" w:space="0" w:color="auto"/>
      </w:divBdr>
    </w:div>
    <w:div w:id="1411343414">
      <w:bodyDiv w:val="1"/>
      <w:marLeft w:val="0"/>
      <w:marRight w:val="0"/>
      <w:marTop w:val="0"/>
      <w:marBottom w:val="0"/>
      <w:divBdr>
        <w:top w:val="none" w:sz="0" w:space="0" w:color="auto"/>
        <w:left w:val="none" w:sz="0" w:space="0" w:color="auto"/>
        <w:bottom w:val="none" w:sz="0" w:space="0" w:color="auto"/>
        <w:right w:val="none" w:sz="0" w:space="0" w:color="auto"/>
      </w:divBdr>
    </w:div>
    <w:div w:id="1428388063">
      <w:bodyDiv w:val="1"/>
      <w:marLeft w:val="0"/>
      <w:marRight w:val="0"/>
      <w:marTop w:val="0"/>
      <w:marBottom w:val="0"/>
      <w:divBdr>
        <w:top w:val="none" w:sz="0" w:space="0" w:color="auto"/>
        <w:left w:val="none" w:sz="0" w:space="0" w:color="auto"/>
        <w:bottom w:val="none" w:sz="0" w:space="0" w:color="auto"/>
        <w:right w:val="none" w:sz="0" w:space="0" w:color="auto"/>
      </w:divBdr>
    </w:div>
    <w:div w:id="1431318596">
      <w:bodyDiv w:val="1"/>
      <w:marLeft w:val="0"/>
      <w:marRight w:val="0"/>
      <w:marTop w:val="0"/>
      <w:marBottom w:val="0"/>
      <w:divBdr>
        <w:top w:val="none" w:sz="0" w:space="0" w:color="auto"/>
        <w:left w:val="none" w:sz="0" w:space="0" w:color="auto"/>
        <w:bottom w:val="none" w:sz="0" w:space="0" w:color="auto"/>
        <w:right w:val="none" w:sz="0" w:space="0" w:color="auto"/>
      </w:divBdr>
    </w:div>
    <w:div w:id="1433552505">
      <w:bodyDiv w:val="1"/>
      <w:marLeft w:val="0"/>
      <w:marRight w:val="0"/>
      <w:marTop w:val="0"/>
      <w:marBottom w:val="0"/>
      <w:divBdr>
        <w:top w:val="none" w:sz="0" w:space="0" w:color="auto"/>
        <w:left w:val="none" w:sz="0" w:space="0" w:color="auto"/>
        <w:bottom w:val="none" w:sz="0" w:space="0" w:color="auto"/>
        <w:right w:val="none" w:sz="0" w:space="0" w:color="auto"/>
      </w:divBdr>
    </w:div>
    <w:div w:id="1433894464">
      <w:bodyDiv w:val="1"/>
      <w:marLeft w:val="0"/>
      <w:marRight w:val="0"/>
      <w:marTop w:val="0"/>
      <w:marBottom w:val="0"/>
      <w:divBdr>
        <w:top w:val="none" w:sz="0" w:space="0" w:color="auto"/>
        <w:left w:val="none" w:sz="0" w:space="0" w:color="auto"/>
        <w:bottom w:val="none" w:sz="0" w:space="0" w:color="auto"/>
        <w:right w:val="none" w:sz="0" w:space="0" w:color="auto"/>
      </w:divBdr>
    </w:div>
    <w:div w:id="1435326775">
      <w:bodyDiv w:val="1"/>
      <w:marLeft w:val="0"/>
      <w:marRight w:val="0"/>
      <w:marTop w:val="0"/>
      <w:marBottom w:val="0"/>
      <w:divBdr>
        <w:top w:val="none" w:sz="0" w:space="0" w:color="auto"/>
        <w:left w:val="none" w:sz="0" w:space="0" w:color="auto"/>
        <w:bottom w:val="none" w:sz="0" w:space="0" w:color="auto"/>
        <w:right w:val="none" w:sz="0" w:space="0" w:color="auto"/>
      </w:divBdr>
    </w:div>
    <w:div w:id="1438676453">
      <w:bodyDiv w:val="1"/>
      <w:marLeft w:val="0"/>
      <w:marRight w:val="0"/>
      <w:marTop w:val="0"/>
      <w:marBottom w:val="0"/>
      <w:divBdr>
        <w:top w:val="none" w:sz="0" w:space="0" w:color="auto"/>
        <w:left w:val="none" w:sz="0" w:space="0" w:color="auto"/>
        <w:bottom w:val="none" w:sz="0" w:space="0" w:color="auto"/>
        <w:right w:val="none" w:sz="0" w:space="0" w:color="auto"/>
      </w:divBdr>
    </w:div>
    <w:div w:id="1439105980">
      <w:bodyDiv w:val="1"/>
      <w:marLeft w:val="0"/>
      <w:marRight w:val="0"/>
      <w:marTop w:val="0"/>
      <w:marBottom w:val="0"/>
      <w:divBdr>
        <w:top w:val="none" w:sz="0" w:space="0" w:color="auto"/>
        <w:left w:val="none" w:sz="0" w:space="0" w:color="auto"/>
        <w:bottom w:val="none" w:sz="0" w:space="0" w:color="auto"/>
        <w:right w:val="none" w:sz="0" w:space="0" w:color="auto"/>
      </w:divBdr>
    </w:div>
    <w:div w:id="1440417507">
      <w:bodyDiv w:val="1"/>
      <w:marLeft w:val="0"/>
      <w:marRight w:val="0"/>
      <w:marTop w:val="0"/>
      <w:marBottom w:val="0"/>
      <w:divBdr>
        <w:top w:val="none" w:sz="0" w:space="0" w:color="auto"/>
        <w:left w:val="none" w:sz="0" w:space="0" w:color="auto"/>
        <w:bottom w:val="none" w:sz="0" w:space="0" w:color="auto"/>
        <w:right w:val="none" w:sz="0" w:space="0" w:color="auto"/>
      </w:divBdr>
    </w:div>
    <w:div w:id="1447581199">
      <w:bodyDiv w:val="1"/>
      <w:marLeft w:val="0"/>
      <w:marRight w:val="0"/>
      <w:marTop w:val="0"/>
      <w:marBottom w:val="0"/>
      <w:divBdr>
        <w:top w:val="none" w:sz="0" w:space="0" w:color="auto"/>
        <w:left w:val="none" w:sz="0" w:space="0" w:color="auto"/>
        <w:bottom w:val="none" w:sz="0" w:space="0" w:color="auto"/>
        <w:right w:val="none" w:sz="0" w:space="0" w:color="auto"/>
      </w:divBdr>
    </w:div>
    <w:div w:id="1447693018">
      <w:bodyDiv w:val="1"/>
      <w:marLeft w:val="0"/>
      <w:marRight w:val="0"/>
      <w:marTop w:val="0"/>
      <w:marBottom w:val="0"/>
      <w:divBdr>
        <w:top w:val="none" w:sz="0" w:space="0" w:color="auto"/>
        <w:left w:val="none" w:sz="0" w:space="0" w:color="auto"/>
        <w:bottom w:val="none" w:sz="0" w:space="0" w:color="auto"/>
        <w:right w:val="none" w:sz="0" w:space="0" w:color="auto"/>
      </w:divBdr>
    </w:div>
    <w:div w:id="1447889174">
      <w:bodyDiv w:val="1"/>
      <w:marLeft w:val="0"/>
      <w:marRight w:val="0"/>
      <w:marTop w:val="0"/>
      <w:marBottom w:val="0"/>
      <w:divBdr>
        <w:top w:val="none" w:sz="0" w:space="0" w:color="auto"/>
        <w:left w:val="none" w:sz="0" w:space="0" w:color="auto"/>
        <w:bottom w:val="none" w:sz="0" w:space="0" w:color="auto"/>
        <w:right w:val="none" w:sz="0" w:space="0" w:color="auto"/>
      </w:divBdr>
    </w:div>
    <w:div w:id="1461923900">
      <w:bodyDiv w:val="1"/>
      <w:marLeft w:val="0"/>
      <w:marRight w:val="0"/>
      <w:marTop w:val="0"/>
      <w:marBottom w:val="0"/>
      <w:divBdr>
        <w:top w:val="none" w:sz="0" w:space="0" w:color="auto"/>
        <w:left w:val="none" w:sz="0" w:space="0" w:color="auto"/>
        <w:bottom w:val="none" w:sz="0" w:space="0" w:color="auto"/>
        <w:right w:val="none" w:sz="0" w:space="0" w:color="auto"/>
      </w:divBdr>
    </w:div>
    <w:div w:id="1472752943">
      <w:bodyDiv w:val="1"/>
      <w:marLeft w:val="0"/>
      <w:marRight w:val="0"/>
      <w:marTop w:val="0"/>
      <w:marBottom w:val="0"/>
      <w:divBdr>
        <w:top w:val="none" w:sz="0" w:space="0" w:color="auto"/>
        <w:left w:val="none" w:sz="0" w:space="0" w:color="auto"/>
        <w:bottom w:val="none" w:sz="0" w:space="0" w:color="auto"/>
        <w:right w:val="none" w:sz="0" w:space="0" w:color="auto"/>
      </w:divBdr>
    </w:div>
    <w:div w:id="1479105408">
      <w:bodyDiv w:val="1"/>
      <w:marLeft w:val="0"/>
      <w:marRight w:val="0"/>
      <w:marTop w:val="0"/>
      <w:marBottom w:val="0"/>
      <w:divBdr>
        <w:top w:val="none" w:sz="0" w:space="0" w:color="auto"/>
        <w:left w:val="none" w:sz="0" w:space="0" w:color="auto"/>
        <w:bottom w:val="none" w:sz="0" w:space="0" w:color="auto"/>
        <w:right w:val="none" w:sz="0" w:space="0" w:color="auto"/>
      </w:divBdr>
    </w:div>
    <w:div w:id="1483303639">
      <w:bodyDiv w:val="1"/>
      <w:marLeft w:val="0"/>
      <w:marRight w:val="0"/>
      <w:marTop w:val="0"/>
      <w:marBottom w:val="0"/>
      <w:divBdr>
        <w:top w:val="none" w:sz="0" w:space="0" w:color="auto"/>
        <w:left w:val="none" w:sz="0" w:space="0" w:color="auto"/>
        <w:bottom w:val="none" w:sz="0" w:space="0" w:color="auto"/>
        <w:right w:val="none" w:sz="0" w:space="0" w:color="auto"/>
      </w:divBdr>
    </w:div>
    <w:div w:id="1488210640">
      <w:bodyDiv w:val="1"/>
      <w:marLeft w:val="0"/>
      <w:marRight w:val="0"/>
      <w:marTop w:val="0"/>
      <w:marBottom w:val="0"/>
      <w:divBdr>
        <w:top w:val="none" w:sz="0" w:space="0" w:color="auto"/>
        <w:left w:val="none" w:sz="0" w:space="0" w:color="auto"/>
        <w:bottom w:val="none" w:sz="0" w:space="0" w:color="auto"/>
        <w:right w:val="none" w:sz="0" w:space="0" w:color="auto"/>
      </w:divBdr>
    </w:div>
    <w:div w:id="1492595340">
      <w:bodyDiv w:val="1"/>
      <w:marLeft w:val="0"/>
      <w:marRight w:val="0"/>
      <w:marTop w:val="0"/>
      <w:marBottom w:val="0"/>
      <w:divBdr>
        <w:top w:val="none" w:sz="0" w:space="0" w:color="auto"/>
        <w:left w:val="none" w:sz="0" w:space="0" w:color="auto"/>
        <w:bottom w:val="none" w:sz="0" w:space="0" w:color="auto"/>
        <w:right w:val="none" w:sz="0" w:space="0" w:color="auto"/>
      </w:divBdr>
    </w:div>
    <w:div w:id="1503547513">
      <w:bodyDiv w:val="1"/>
      <w:marLeft w:val="0"/>
      <w:marRight w:val="0"/>
      <w:marTop w:val="0"/>
      <w:marBottom w:val="0"/>
      <w:divBdr>
        <w:top w:val="none" w:sz="0" w:space="0" w:color="auto"/>
        <w:left w:val="none" w:sz="0" w:space="0" w:color="auto"/>
        <w:bottom w:val="none" w:sz="0" w:space="0" w:color="auto"/>
        <w:right w:val="none" w:sz="0" w:space="0" w:color="auto"/>
      </w:divBdr>
      <w:divsChild>
        <w:div w:id="427043468">
          <w:marLeft w:val="0"/>
          <w:marRight w:val="0"/>
          <w:marTop w:val="0"/>
          <w:marBottom w:val="0"/>
          <w:divBdr>
            <w:top w:val="none" w:sz="0" w:space="0" w:color="auto"/>
            <w:left w:val="none" w:sz="0" w:space="0" w:color="auto"/>
            <w:bottom w:val="none" w:sz="0" w:space="0" w:color="auto"/>
            <w:right w:val="none" w:sz="0" w:space="0" w:color="auto"/>
          </w:divBdr>
          <w:divsChild>
            <w:div w:id="520508042">
              <w:marLeft w:val="0"/>
              <w:marRight w:val="0"/>
              <w:marTop w:val="0"/>
              <w:marBottom w:val="0"/>
              <w:divBdr>
                <w:top w:val="none" w:sz="0" w:space="0" w:color="auto"/>
                <w:left w:val="none" w:sz="0" w:space="0" w:color="auto"/>
                <w:bottom w:val="none" w:sz="0" w:space="0" w:color="auto"/>
                <w:right w:val="none" w:sz="0" w:space="0" w:color="auto"/>
              </w:divBdr>
              <w:divsChild>
                <w:div w:id="491798383">
                  <w:marLeft w:val="0"/>
                  <w:marRight w:val="0"/>
                  <w:marTop w:val="0"/>
                  <w:marBottom w:val="0"/>
                  <w:divBdr>
                    <w:top w:val="none" w:sz="0" w:space="0" w:color="auto"/>
                    <w:left w:val="none" w:sz="0" w:space="0" w:color="auto"/>
                    <w:bottom w:val="none" w:sz="0" w:space="0" w:color="auto"/>
                    <w:right w:val="none" w:sz="0" w:space="0" w:color="auto"/>
                  </w:divBdr>
                  <w:divsChild>
                    <w:div w:id="379017847">
                      <w:marLeft w:val="0"/>
                      <w:marRight w:val="0"/>
                      <w:marTop w:val="0"/>
                      <w:marBottom w:val="0"/>
                      <w:divBdr>
                        <w:top w:val="none" w:sz="0" w:space="0" w:color="auto"/>
                        <w:left w:val="none" w:sz="0" w:space="0" w:color="auto"/>
                        <w:bottom w:val="none" w:sz="0" w:space="0" w:color="auto"/>
                        <w:right w:val="none" w:sz="0" w:space="0" w:color="auto"/>
                      </w:divBdr>
                      <w:divsChild>
                        <w:div w:id="229199031">
                          <w:marLeft w:val="0"/>
                          <w:marRight w:val="0"/>
                          <w:marTop w:val="0"/>
                          <w:marBottom w:val="0"/>
                          <w:divBdr>
                            <w:top w:val="none" w:sz="0" w:space="0" w:color="auto"/>
                            <w:left w:val="none" w:sz="0" w:space="0" w:color="auto"/>
                            <w:bottom w:val="none" w:sz="0" w:space="0" w:color="auto"/>
                            <w:right w:val="none" w:sz="0" w:space="0" w:color="auto"/>
                          </w:divBdr>
                          <w:divsChild>
                            <w:div w:id="1255171009">
                              <w:marLeft w:val="0"/>
                              <w:marRight w:val="0"/>
                              <w:marTop w:val="0"/>
                              <w:marBottom w:val="0"/>
                              <w:divBdr>
                                <w:top w:val="none" w:sz="0" w:space="0" w:color="auto"/>
                                <w:left w:val="none" w:sz="0" w:space="0" w:color="auto"/>
                                <w:bottom w:val="none" w:sz="0" w:space="0" w:color="auto"/>
                                <w:right w:val="none" w:sz="0" w:space="0" w:color="auto"/>
                              </w:divBdr>
                              <w:divsChild>
                                <w:div w:id="349526331">
                                  <w:marLeft w:val="0"/>
                                  <w:marRight w:val="0"/>
                                  <w:marTop w:val="0"/>
                                  <w:marBottom w:val="0"/>
                                  <w:divBdr>
                                    <w:top w:val="none" w:sz="0" w:space="0" w:color="auto"/>
                                    <w:left w:val="none" w:sz="0" w:space="0" w:color="auto"/>
                                    <w:bottom w:val="none" w:sz="0" w:space="0" w:color="auto"/>
                                    <w:right w:val="none" w:sz="0" w:space="0" w:color="auto"/>
                                  </w:divBdr>
                                  <w:divsChild>
                                    <w:div w:id="986974526">
                                      <w:marLeft w:val="0"/>
                                      <w:marRight w:val="0"/>
                                      <w:marTop w:val="0"/>
                                      <w:marBottom w:val="0"/>
                                      <w:divBdr>
                                        <w:top w:val="none" w:sz="0" w:space="0" w:color="auto"/>
                                        <w:left w:val="none" w:sz="0" w:space="0" w:color="auto"/>
                                        <w:bottom w:val="none" w:sz="0" w:space="0" w:color="auto"/>
                                        <w:right w:val="none" w:sz="0" w:space="0" w:color="auto"/>
                                      </w:divBdr>
                                      <w:divsChild>
                                        <w:div w:id="140848783">
                                          <w:marLeft w:val="0"/>
                                          <w:marRight w:val="0"/>
                                          <w:marTop w:val="0"/>
                                          <w:marBottom w:val="0"/>
                                          <w:divBdr>
                                            <w:top w:val="none" w:sz="0" w:space="0" w:color="auto"/>
                                            <w:left w:val="none" w:sz="0" w:space="0" w:color="auto"/>
                                            <w:bottom w:val="none" w:sz="0" w:space="0" w:color="auto"/>
                                            <w:right w:val="none" w:sz="0" w:space="0" w:color="auto"/>
                                          </w:divBdr>
                                          <w:divsChild>
                                            <w:div w:id="2096318145">
                                              <w:marLeft w:val="0"/>
                                              <w:marRight w:val="0"/>
                                              <w:marTop w:val="0"/>
                                              <w:marBottom w:val="0"/>
                                              <w:divBdr>
                                                <w:top w:val="single" w:sz="6" w:space="0" w:color="F5F5F5"/>
                                                <w:left w:val="single" w:sz="6" w:space="0" w:color="F5F5F5"/>
                                                <w:bottom w:val="single" w:sz="6" w:space="0" w:color="F5F5F5"/>
                                                <w:right w:val="single" w:sz="6" w:space="0" w:color="F5F5F5"/>
                                              </w:divBdr>
                                              <w:divsChild>
                                                <w:div w:id="651100453">
                                                  <w:marLeft w:val="0"/>
                                                  <w:marRight w:val="0"/>
                                                  <w:marTop w:val="0"/>
                                                  <w:marBottom w:val="0"/>
                                                  <w:divBdr>
                                                    <w:top w:val="none" w:sz="0" w:space="0" w:color="auto"/>
                                                    <w:left w:val="none" w:sz="0" w:space="0" w:color="auto"/>
                                                    <w:bottom w:val="none" w:sz="0" w:space="0" w:color="auto"/>
                                                    <w:right w:val="none" w:sz="0" w:space="0" w:color="auto"/>
                                                  </w:divBdr>
                                                  <w:divsChild>
                                                    <w:div w:id="151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46770">
      <w:bodyDiv w:val="1"/>
      <w:marLeft w:val="0"/>
      <w:marRight w:val="0"/>
      <w:marTop w:val="0"/>
      <w:marBottom w:val="0"/>
      <w:divBdr>
        <w:top w:val="none" w:sz="0" w:space="0" w:color="auto"/>
        <w:left w:val="none" w:sz="0" w:space="0" w:color="auto"/>
        <w:bottom w:val="none" w:sz="0" w:space="0" w:color="auto"/>
        <w:right w:val="none" w:sz="0" w:space="0" w:color="auto"/>
      </w:divBdr>
    </w:div>
    <w:div w:id="1516384492">
      <w:bodyDiv w:val="1"/>
      <w:marLeft w:val="0"/>
      <w:marRight w:val="0"/>
      <w:marTop w:val="0"/>
      <w:marBottom w:val="0"/>
      <w:divBdr>
        <w:top w:val="none" w:sz="0" w:space="0" w:color="auto"/>
        <w:left w:val="none" w:sz="0" w:space="0" w:color="auto"/>
        <w:bottom w:val="none" w:sz="0" w:space="0" w:color="auto"/>
        <w:right w:val="none" w:sz="0" w:space="0" w:color="auto"/>
      </w:divBdr>
    </w:div>
    <w:div w:id="1517766338">
      <w:bodyDiv w:val="1"/>
      <w:marLeft w:val="0"/>
      <w:marRight w:val="0"/>
      <w:marTop w:val="0"/>
      <w:marBottom w:val="0"/>
      <w:divBdr>
        <w:top w:val="none" w:sz="0" w:space="0" w:color="auto"/>
        <w:left w:val="none" w:sz="0" w:space="0" w:color="auto"/>
        <w:bottom w:val="none" w:sz="0" w:space="0" w:color="auto"/>
        <w:right w:val="none" w:sz="0" w:space="0" w:color="auto"/>
      </w:divBdr>
    </w:div>
    <w:div w:id="1518696401">
      <w:bodyDiv w:val="1"/>
      <w:marLeft w:val="0"/>
      <w:marRight w:val="0"/>
      <w:marTop w:val="0"/>
      <w:marBottom w:val="0"/>
      <w:divBdr>
        <w:top w:val="none" w:sz="0" w:space="0" w:color="auto"/>
        <w:left w:val="none" w:sz="0" w:space="0" w:color="auto"/>
        <w:bottom w:val="none" w:sz="0" w:space="0" w:color="auto"/>
        <w:right w:val="none" w:sz="0" w:space="0" w:color="auto"/>
      </w:divBdr>
    </w:div>
    <w:div w:id="1519850843">
      <w:bodyDiv w:val="1"/>
      <w:marLeft w:val="0"/>
      <w:marRight w:val="0"/>
      <w:marTop w:val="0"/>
      <w:marBottom w:val="0"/>
      <w:divBdr>
        <w:top w:val="none" w:sz="0" w:space="0" w:color="auto"/>
        <w:left w:val="none" w:sz="0" w:space="0" w:color="auto"/>
        <w:bottom w:val="none" w:sz="0" w:space="0" w:color="auto"/>
        <w:right w:val="none" w:sz="0" w:space="0" w:color="auto"/>
      </w:divBdr>
    </w:div>
    <w:div w:id="1535581935">
      <w:bodyDiv w:val="1"/>
      <w:marLeft w:val="0"/>
      <w:marRight w:val="0"/>
      <w:marTop w:val="0"/>
      <w:marBottom w:val="0"/>
      <w:divBdr>
        <w:top w:val="none" w:sz="0" w:space="0" w:color="auto"/>
        <w:left w:val="none" w:sz="0" w:space="0" w:color="auto"/>
        <w:bottom w:val="none" w:sz="0" w:space="0" w:color="auto"/>
        <w:right w:val="none" w:sz="0" w:space="0" w:color="auto"/>
      </w:divBdr>
    </w:div>
    <w:div w:id="1541430037">
      <w:bodyDiv w:val="1"/>
      <w:marLeft w:val="0"/>
      <w:marRight w:val="0"/>
      <w:marTop w:val="0"/>
      <w:marBottom w:val="0"/>
      <w:divBdr>
        <w:top w:val="none" w:sz="0" w:space="0" w:color="auto"/>
        <w:left w:val="none" w:sz="0" w:space="0" w:color="auto"/>
        <w:bottom w:val="none" w:sz="0" w:space="0" w:color="auto"/>
        <w:right w:val="none" w:sz="0" w:space="0" w:color="auto"/>
      </w:divBdr>
    </w:div>
    <w:div w:id="1542935752">
      <w:bodyDiv w:val="1"/>
      <w:marLeft w:val="0"/>
      <w:marRight w:val="0"/>
      <w:marTop w:val="0"/>
      <w:marBottom w:val="0"/>
      <w:divBdr>
        <w:top w:val="none" w:sz="0" w:space="0" w:color="auto"/>
        <w:left w:val="none" w:sz="0" w:space="0" w:color="auto"/>
        <w:bottom w:val="none" w:sz="0" w:space="0" w:color="auto"/>
        <w:right w:val="none" w:sz="0" w:space="0" w:color="auto"/>
      </w:divBdr>
    </w:div>
    <w:div w:id="1560509179">
      <w:bodyDiv w:val="1"/>
      <w:marLeft w:val="0"/>
      <w:marRight w:val="0"/>
      <w:marTop w:val="0"/>
      <w:marBottom w:val="0"/>
      <w:divBdr>
        <w:top w:val="none" w:sz="0" w:space="0" w:color="auto"/>
        <w:left w:val="none" w:sz="0" w:space="0" w:color="auto"/>
        <w:bottom w:val="none" w:sz="0" w:space="0" w:color="auto"/>
        <w:right w:val="none" w:sz="0" w:space="0" w:color="auto"/>
      </w:divBdr>
    </w:div>
    <w:div w:id="1563906205">
      <w:bodyDiv w:val="1"/>
      <w:marLeft w:val="0"/>
      <w:marRight w:val="0"/>
      <w:marTop w:val="0"/>
      <w:marBottom w:val="0"/>
      <w:divBdr>
        <w:top w:val="none" w:sz="0" w:space="0" w:color="auto"/>
        <w:left w:val="none" w:sz="0" w:space="0" w:color="auto"/>
        <w:bottom w:val="none" w:sz="0" w:space="0" w:color="auto"/>
        <w:right w:val="none" w:sz="0" w:space="0" w:color="auto"/>
      </w:divBdr>
    </w:div>
    <w:div w:id="1566647992">
      <w:bodyDiv w:val="1"/>
      <w:marLeft w:val="0"/>
      <w:marRight w:val="0"/>
      <w:marTop w:val="0"/>
      <w:marBottom w:val="0"/>
      <w:divBdr>
        <w:top w:val="none" w:sz="0" w:space="0" w:color="auto"/>
        <w:left w:val="none" w:sz="0" w:space="0" w:color="auto"/>
        <w:bottom w:val="none" w:sz="0" w:space="0" w:color="auto"/>
        <w:right w:val="none" w:sz="0" w:space="0" w:color="auto"/>
      </w:divBdr>
    </w:div>
    <w:div w:id="1567377529">
      <w:bodyDiv w:val="1"/>
      <w:marLeft w:val="0"/>
      <w:marRight w:val="0"/>
      <w:marTop w:val="0"/>
      <w:marBottom w:val="0"/>
      <w:divBdr>
        <w:top w:val="none" w:sz="0" w:space="0" w:color="auto"/>
        <w:left w:val="none" w:sz="0" w:space="0" w:color="auto"/>
        <w:bottom w:val="none" w:sz="0" w:space="0" w:color="auto"/>
        <w:right w:val="none" w:sz="0" w:space="0" w:color="auto"/>
      </w:divBdr>
    </w:div>
    <w:div w:id="1575894004">
      <w:bodyDiv w:val="1"/>
      <w:marLeft w:val="0"/>
      <w:marRight w:val="0"/>
      <w:marTop w:val="0"/>
      <w:marBottom w:val="0"/>
      <w:divBdr>
        <w:top w:val="none" w:sz="0" w:space="0" w:color="auto"/>
        <w:left w:val="none" w:sz="0" w:space="0" w:color="auto"/>
        <w:bottom w:val="none" w:sz="0" w:space="0" w:color="auto"/>
        <w:right w:val="none" w:sz="0" w:space="0" w:color="auto"/>
      </w:divBdr>
    </w:div>
    <w:div w:id="1577470585">
      <w:bodyDiv w:val="1"/>
      <w:marLeft w:val="0"/>
      <w:marRight w:val="0"/>
      <w:marTop w:val="0"/>
      <w:marBottom w:val="0"/>
      <w:divBdr>
        <w:top w:val="none" w:sz="0" w:space="0" w:color="auto"/>
        <w:left w:val="none" w:sz="0" w:space="0" w:color="auto"/>
        <w:bottom w:val="none" w:sz="0" w:space="0" w:color="auto"/>
        <w:right w:val="none" w:sz="0" w:space="0" w:color="auto"/>
      </w:divBdr>
    </w:div>
    <w:div w:id="1579318039">
      <w:bodyDiv w:val="1"/>
      <w:marLeft w:val="0"/>
      <w:marRight w:val="0"/>
      <w:marTop w:val="0"/>
      <w:marBottom w:val="0"/>
      <w:divBdr>
        <w:top w:val="none" w:sz="0" w:space="0" w:color="auto"/>
        <w:left w:val="none" w:sz="0" w:space="0" w:color="auto"/>
        <w:bottom w:val="none" w:sz="0" w:space="0" w:color="auto"/>
        <w:right w:val="none" w:sz="0" w:space="0" w:color="auto"/>
      </w:divBdr>
    </w:div>
    <w:div w:id="1580824575">
      <w:bodyDiv w:val="1"/>
      <w:marLeft w:val="0"/>
      <w:marRight w:val="0"/>
      <w:marTop w:val="0"/>
      <w:marBottom w:val="0"/>
      <w:divBdr>
        <w:top w:val="none" w:sz="0" w:space="0" w:color="auto"/>
        <w:left w:val="none" w:sz="0" w:space="0" w:color="auto"/>
        <w:bottom w:val="none" w:sz="0" w:space="0" w:color="auto"/>
        <w:right w:val="none" w:sz="0" w:space="0" w:color="auto"/>
      </w:divBdr>
    </w:div>
    <w:div w:id="1586450427">
      <w:bodyDiv w:val="1"/>
      <w:marLeft w:val="0"/>
      <w:marRight w:val="0"/>
      <w:marTop w:val="0"/>
      <w:marBottom w:val="0"/>
      <w:divBdr>
        <w:top w:val="none" w:sz="0" w:space="0" w:color="auto"/>
        <w:left w:val="none" w:sz="0" w:space="0" w:color="auto"/>
        <w:bottom w:val="none" w:sz="0" w:space="0" w:color="auto"/>
        <w:right w:val="none" w:sz="0" w:space="0" w:color="auto"/>
      </w:divBdr>
    </w:div>
    <w:div w:id="1593201086">
      <w:bodyDiv w:val="1"/>
      <w:marLeft w:val="0"/>
      <w:marRight w:val="0"/>
      <w:marTop w:val="0"/>
      <w:marBottom w:val="0"/>
      <w:divBdr>
        <w:top w:val="none" w:sz="0" w:space="0" w:color="auto"/>
        <w:left w:val="none" w:sz="0" w:space="0" w:color="auto"/>
        <w:bottom w:val="none" w:sz="0" w:space="0" w:color="auto"/>
        <w:right w:val="none" w:sz="0" w:space="0" w:color="auto"/>
      </w:divBdr>
    </w:div>
    <w:div w:id="1597328199">
      <w:bodyDiv w:val="1"/>
      <w:marLeft w:val="0"/>
      <w:marRight w:val="0"/>
      <w:marTop w:val="0"/>
      <w:marBottom w:val="0"/>
      <w:divBdr>
        <w:top w:val="none" w:sz="0" w:space="0" w:color="auto"/>
        <w:left w:val="none" w:sz="0" w:space="0" w:color="auto"/>
        <w:bottom w:val="none" w:sz="0" w:space="0" w:color="auto"/>
        <w:right w:val="none" w:sz="0" w:space="0" w:color="auto"/>
      </w:divBdr>
    </w:div>
    <w:div w:id="1604264760">
      <w:bodyDiv w:val="1"/>
      <w:marLeft w:val="0"/>
      <w:marRight w:val="0"/>
      <w:marTop w:val="0"/>
      <w:marBottom w:val="0"/>
      <w:divBdr>
        <w:top w:val="none" w:sz="0" w:space="0" w:color="auto"/>
        <w:left w:val="none" w:sz="0" w:space="0" w:color="auto"/>
        <w:bottom w:val="none" w:sz="0" w:space="0" w:color="auto"/>
        <w:right w:val="none" w:sz="0" w:space="0" w:color="auto"/>
      </w:divBdr>
    </w:div>
    <w:div w:id="1607539408">
      <w:bodyDiv w:val="1"/>
      <w:marLeft w:val="0"/>
      <w:marRight w:val="0"/>
      <w:marTop w:val="0"/>
      <w:marBottom w:val="0"/>
      <w:divBdr>
        <w:top w:val="none" w:sz="0" w:space="0" w:color="auto"/>
        <w:left w:val="none" w:sz="0" w:space="0" w:color="auto"/>
        <w:bottom w:val="none" w:sz="0" w:space="0" w:color="auto"/>
        <w:right w:val="none" w:sz="0" w:space="0" w:color="auto"/>
      </w:divBdr>
    </w:div>
    <w:div w:id="1608848605">
      <w:bodyDiv w:val="1"/>
      <w:marLeft w:val="0"/>
      <w:marRight w:val="0"/>
      <w:marTop w:val="0"/>
      <w:marBottom w:val="0"/>
      <w:divBdr>
        <w:top w:val="none" w:sz="0" w:space="0" w:color="auto"/>
        <w:left w:val="none" w:sz="0" w:space="0" w:color="auto"/>
        <w:bottom w:val="none" w:sz="0" w:space="0" w:color="auto"/>
        <w:right w:val="none" w:sz="0" w:space="0" w:color="auto"/>
      </w:divBdr>
    </w:div>
    <w:div w:id="1611352142">
      <w:bodyDiv w:val="1"/>
      <w:marLeft w:val="0"/>
      <w:marRight w:val="0"/>
      <w:marTop w:val="0"/>
      <w:marBottom w:val="0"/>
      <w:divBdr>
        <w:top w:val="none" w:sz="0" w:space="0" w:color="auto"/>
        <w:left w:val="none" w:sz="0" w:space="0" w:color="auto"/>
        <w:bottom w:val="none" w:sz="0" w:space="0" w:color="auto"/>
        <w:right w:val="none" w:sz="0" w:space="0" w:color="auto"/>
      </w:divBdr>
    </w:div>
    <w:div w:id="1612056267">
      <w:bodyDiv w:val="1"/>
      <w:marLeft w:val="0"/>
      <w:marRight w:val="0"/>
      <w:marTop w:val="0"/>
      <w:marBottom w:val="0"/>
      <w:divBdr>
        <w:top w:val="none" w:sz="0" w:space="0" w:color="auto"/>
        <w:left w:val="none" w:sz="0" w:space="0" w:color="auto"/>
        <w:bottom w:val="none" w:sz="0" w:space="0" w:color="auto"/>
        <w:right w:val="none" w:sz="0" w:space="0" w:color="auto"/>
      </w:divBdr>
    </w:div>
    <w:div w:id="1618559485">
      <w:bodyDiv w:val="1"/>
      <w:marLeft w:val="0"/>
      <w:marRight w:val="0"/>
      <w:marTop w:val="0"/>
      <w:marBottom w:val="0"/>
      <w:divBdr>
        <w:top w:val="none" w:sz="0" w:space="0" w:color="auto"/>
        <w:left w:val="none" w:sz="0" w:space="0" w:color="auto"/>
        <w:bottom w:val="none" w:sz="0" w:space="0" w:color="auto"/>
        <w:right w:val="none" w:sz="0" w:space="0" w:color="auto"/>
      </w:divBdr>
    </w:div>
    <w:div w:id="1622571412">
      <w:bodyDiv w:val="1"/>
      <w:marLeft w:val="0"/>
      <w:marRight w:val="0"/>
      <w:marTop w:val="0"/>
      <w:marBottom w:val="0"/>
      <w:divBdr>
        <w:top w:val="none" w:sz="0" w:space="0" w:color="auto"/>
        <w:left w:val="none" w:sz="0" w:space="0" w:color="auto"/>
        <w:bottom w:val="none" w:sz="0" w:space="0" w:color="auto"/>
        <w:right w:val="none" w:sz="0" w:space="0" w:color="auto"/>
      </w:divBdr>
    </w:div>
    <w:div w:id="1623729357">
      <w:bodyDiv w:val="1"/>
      <w:marLeft w:val="0"/>
      <w:marRight w:val="0"/>
      <w:marTop w:val="0"/>
      <w:marBottom w:val="0"/>
      <w:divBdr>
        <w:top w:val="none" w:sz="0" w:space="0" w:color="auto"/>
        <w:left w:val="none" w:sz="0" w:space="0" w:color="auto"/>
        <w:bottom w:val="none" w:sz="0" w:space="0" w:color="auto"/>
        <w:right w:val="none" w:sz="0" w:space="0" w:color="auto"/>
      </w:divBdr>
    </w:div>
    <w:div w:id="1624120566">
      <w:bodyDiv w:val="1"/>
      <w:marLeft w:val="0"/>
      <w:marRight w:val="0"/>
      <w:marTop w:val="0"/>
      <w:marBottom w:val="0"/>
      <w:divBdr>
        <w:top w:val="none" w:sz="0" w:space="0" w:color="auto"/>
        <w:left w:val="none" w:sz="0" w:space="0" w:color="auto"/>
        <w:bottom w:val="none" w:sz="0" w:space="0" w:color="auto"/>
        <w:right w:val="none" w:sz="0" w:space="0" w:color="auto"/>
      </w:divBdr>
    </w:div>
    <w:div w:id="1627351781">
      <w:bodyDiv w:val="1"/>
      <w:marLeft w:val="0"/>
      <w:marRight w:val="0"/>
      <w:marTop w:val="0"/>
      <w:marBottom w:val="0"/>
      <w:divBdr>
        <w:top w:val="none" w:sz="0" w:space="0" w:color="auto"/>
        <w:left w:val="none" w:sz="0" w:space="0" w:color="auto"/>
        <w:bottom w:val="none" w:sz="0" w:space="0" w:color="auto"/>
        <w:right w:val="none" w:sz="0" w:space="0" w:color="auto"/>
      </w:divBdr>
    </w:div>
    <w:div w:id="1629509729">
      <w:bodyDiv w:val="1"/>
      <w:marLeft w:val="0"/>
      <w:marRight w:val="0"/>
      <w:marTop w:val="0"/>
      <w:marBottom w:val="0"/>
      <w:divBdr>
        <w:top w:val="none" w:sz="0" w:space="0" w:color="auto"/>
        <w:left w:val="none" w:sz="0" w:space="0" w:color="auto"/>
        <w:bottom w:val="none" w:sz="0" w:space="0" w:color="auto"/>
        <w:right w:val="none" w:sz="0" w:space="0" w:color="auto"/>
      </w:divBdr>
    </w:div>
    <w:div w:id="1631127718">
      <w:bodyDiv w:val="1"/>
      <w:marLeft w:val="0"/>
      <w:marRight w:val="0"/>
      <w:marTop w:val="0"/>
      <w:marBottom w:val="0"/>
      <w:divBdr>
        <w:top w:val="none" w:sz="0" w:space="0" w:color="auto"/>
        <w:left w:val="none" w:sz="0" w:space="0" w:color="auto"/>
        <w:bottom w:val="none" w:sz="0" w:space="0" w:color="auto"/>
        <w:right w:val="none" w:sz="0" w:space="0" w:color="auto"/>
      </w:divBdr>
    </w:div>
    <w:div w:id="1634292252">
      <w:bodyDiv w:val="1"/>
      <w:marLeft w:val="0"/>
      <w:marRight w:val="0"/>
      <w:marTop w:val="0"/>
      <w:marBottom w:val="0"/>
      <w:divBdr>
        <w:top w:val="none" w:sz="0" w:space="0" w:color="auto"/>
        <w:left w:val="none" w:sz="0" w:space="0" w:color="auto"/>
        <w:bottom w:val="none" w:sz="0" w:space="0" w:color="auto"/>
        <w:right w:val="none" w:sz="0" w:space="0" w:color="auto"/>
      </w:divBdr>
    </w:div>
    <w:div w:id="1634600085">
      <w:bodyDiv w:val="1"/>
      <w:marLeft w:val="0"/>
      <w:marRight w:val="0"/>
      <w:marTop w:val="0"/>
      <w:marBottom w:val="0"/>
      <w:divBdr>
        <w:top w:val="none" w:sz="0" w:space="0" w:color="auto"/>
        <w:left w:val="none" w:sz="0" w:space="0" w:color="auto"/>
        <w:bottom w:val="none" w:sz="0" w:space="0" w:color="auto"/>
        <w:right w:val="none" w:sz="0" w:space="0" w:color="auto"/>
      </w:divBdr>
    </w:div>
    <w:div w:id="1637711380">
      <w:bodyDiv w:val="1"/>
      <w:marLeft w:val="0"/>
      <w:marRight w:val="0"/>
      <w:marTop w:val="0"/>
      <w:marBottom w:val="0"/>
      <w:divBdr>
        <w:top w:val="none" w:sz="0" w:space="0" w:color="auto"/>
        <w:left w:val="none" w:sz="0" w:space="0" w:color="auto"/>
        <w:bottom w:val="none" w:sz="0" w:space="0" w:color="auto"/>
        <w:right w:val="none" w:sz="0" w:space="0" w:color="auto"/>
      </w:divBdr>
    </w:div>
    <w:div w:id="1638415534">
      <w:bodyDiv w:val="1"/>
      <w:marLeft w:val="0"/>
      <w:marRight w:val="0"/>
      <w:marTop w:val="0"/>
      <w:marBottom w:val="0"/>
      <w:divBdr>
        <w:top w:val="none" w:sz="0" w:space="0" w:color="auto"/>
        <w:left w:val="none" w:sz="0" w:space="0" w:color="auto"/>
        <w:bottom w:val="none" w:sz="0" w:space="0" w:color="auto"/>
        <w:right w:val="none" w:sz="0" w:space="0" w:color="auto"/>
      </w:divBdr>
    </w:div>
    <w:div w:id="1640257215">
      <w:bodyDiv w:val="1"/>
      <w:marLeft w:val="0"/>
      <w:marRight w:val="0"/>
      <w:marTop w:val="0"/>
      <w:marBottom w:val="0"/>
      <w:divBdr>
        <w:top w:val="none" w:sz="0" w:space="0" w:color="auto"/>
        <w:left w:val="none" w:sz="0" w:space="0" w:color="auto"/>
        <w:bottom w:val="none" w:sz="0" w:space="0" w:color="auto"/>
        <w:right w:val="none" w:sz="0" w:space="0" w:color="auto"/>
      </w:divBdr>
    </w:div>
    <w:div w:id="1647466347">
      <w:bodyDiv w:val="1"/>
      <w:marLeft w:val="0"/>
      <w:marRight w:val="0"/>
      <w:marTop w:val="0"/>
      <w:marBottom w:val="0"/>
      <w:divBdr>
        <w:top w:val="none" w:sz="0" w:space="0" w:color="auto"/>
        <w:left w:val="none" w:sz="0" w:space="0" w:color="auto"/>
        <w:bottom w:val="none" w:sz="0" w:space="0" w:color="auto"/>
        <w:right w:val="none" w:sz="0" w:space="0" w:color="auto"/>
      </w:divBdr>
    </w:div>
    <w:div w:id="1647971740">
      <w:bodyDiv w:val="1"/>
      <w:marLeft w:val="0"/>
      <w:marRight w:val="0"/>
      <w:marTop w:val="0"/>
      <w:marBottom w:val="0"/>
      <w:divBdr>
        <w:top w:val="none" w:sz="0" w:space="0" w:color="auto"/>
        <w:left w:val="none" w:sz="0" w:space="0" w:color="auto"/>
        <w:bottom w:val="none" w:sz="0" w:space="0" w:color="auto"/>
        <w:right w:val="none" w:sz="0" w:space="0" w:color="auto"/>
      </w:divBdr>
    </w:div>
    <w:div w:id="1647974060">
      <w:bodyDiv w:val="1"/>
      <w:marLeft w:val="0"/>
      <w:marRight w:val="0"/>
      <w:marTop w:val="0"/>
      <w:marBottom w:val="0"/>
      <w:divBdr>
        <w:top w:val="none" w:sz="0" w:space="0" w:color="auto"/>
        <w:left w:val="none" w:sz="0" w:space="0" w:color="auto"/>
        <w:bottom w:val="none" w:sz="0" w:space="0" w:color="auto"/>
        <w:right w:val="none" w:sz="0" w:space="0" w:color="auto"/>
      </w:divBdr>
    </w:div>
    <w:div w:id="1650666381">
      <w:bodyDiv w:val="1"/>
      <w:marLeft w:val="0"/>
      <w:marRight w:val="0"/>
      <w:marTop w:val="0"/>
      <w:marBottom w:val="0"/>
      <w:divBdr>
        <w:top w:val="none" w:sz="0" w:space="0" w:color="auto"/>
        <w:left w:val="none" w:sz="0" w:space="0" w:color="auto"/>
        <w:bottom w:val="none" w:sz="0" w:space="0" w:color="auto"/>
        <w:right w:val="none" w:sz="0" w:space="0" w:color="auto"/>
      </w:divBdr>
    </w:div>
    <w:div w:id="1654481697">
      <w:bodyDiv w:val="1"/>
      <w:marLeft w:val="0"/>
      <w:marRight w:val="0"/>
      <w:marTop w:val="0"/>
      <w:marBottom w:val="0"/>
      <w:divBdr>
        <w:top w:val="none" w:sz="0" w:space="0" w:color="auto"/>
        <w:left w:val="none" w:sz="0" w:space="0" w:color="auto"/>
        <w:bottom w:val="none" w:sz="0" w:space="0" w:color="auto"/>
        <w:right w:val="none" w:sz="0" w:space="0" w:color="auto"/>
      </w:divBdr>
    </w:div>
    <w:div w:id="1659141672">
      <w:bodyDiv w:val="1"/>
      <w:marLeft w:val="0"/>
      <w:marRight w:val="0"/>
      <w:marTop w:val="0"/>
      <w:marBottom w:val="0"/>
      <w:divBdr>
        <w:top w:val="none" w:sz="0" w:space="0" w:color="auto"/>
        <w:left w:val="none" w:sz="0" w:space="0" w:color="auto"/>
        <w:bottom w:val="none" w:sz="0" w:space="0" w:color="auto"/>
        <w:right w:val="none" w:sz="0" w:space="0" w:color="auto"/>
      </w:divBdr>
    </w:div>
    <w:div w:id="1676495911">
      <w:bodyDiv w:val="1"/>
      <w:marLeft w:val="0"/>
      <w:marRight w:val="0"/>
      <w:marTop w:val="0"/>
      <w:marBottom w:val="0"/>
      <w:divBdr>
        <w:top w:val="none" w:sz="0" w:space="0" w:color="auto"/>
        <w:left w:val="none" w:sz="0" w:space="0" w:color="auto"/>
        <w:bottom w:val="none" w:sz="0" w:space="0" w:color="auto"/>
        <w:right w:val="none" w:sz="0" w:space="0" w:color="auto"/>
      </w:divBdr>
    </w:div>
    <w:div w:id="1678649430">
      <w:bodyDiv w:val="1"/>
      <w:marLeft w:val="0"/>
      <w:marRight w:val="0"/>
      <w:marTop w:val="0"/>
      <w:marBottom w:val="0"/>
      <w:divBdr>
        <w:top w:val="none" w:sz="0" w:space="0" w:color="auto"/>
        <w:left w:val="none" w:sz="0" w:space="0" w:color="auto"/>
        <w:bottom w:val="none" w:sz="0" w:space="0" w:color="auto"/>
        <w:right w:val="none" w:sz="0" w:space="0" w:color="auto"/>
      </w:divBdr>
    </w:div>
    <w:div w:id="1681817009">
      <w:bodyDiv w:val="1"/>
      <w:marLeft w:val="0"/>
      <w:marRight w:val="0"/>
      <w:marTop w:val="0"/>
      <w:marBottom w:val="0"/>
      <w:divBdr>
        <w:top w:val="none" w:sz="0" w:space="0" w:color="auto"/>
        <w:left w:val="none" w:sz="0" w:space="0" w:color="auto"/>
        <w:bottom w:val="none" w:sz="0" w:space="0" w:color="auto"/>
        <w:right w:val="none" w:sz="0" w:space="0" w:color="auto"/>
      </w:divBdr>
    </w:div>
    <w:div w:id="1682780999">
      <w:bodyDiv w:val="1"/>
      <w:marLeft w:val="0"/>
      <w:marRight w:val="0"/>
      <w:marTop w:val="0"/>
      <w:marBottom w:val="0"/>
      <w:divBdr>
        <w:top w:val="none" w:sz="0" w:space="0" w:color="auto"/>
        <w:left w:val="none" w:sz="0" w:space="0" w:color="auto"/>
        <w:bottom w:val="none" w:sz="0" w:space="0" w:color="auto"/>
        <w:right w:val="none" w:sz="0" w:space="0" w:color="auto"/>
      </w:divBdr>
    </w:div>
    <w:div w:id="1688211667">
      <w:bodyDiv w:val="1"/>
      <w:marLeft w:val="0"/>
      <w:marRight w:val="0"/>
      <w:marTop w:val="0"/>
      <w:marBottom w:val="0"/>
      <w:divBdr>
        <w:top w:val="none" w:sz="0" w:space="0" w:color="auto"/>
        <w:left w:val="none" w:sz="0" w:space="0" w:color="auto"/>
        <w:bottom w:val="none" w:sz="0" w:space="0" w:color="auto"/>
        <w:right w:val="none" w:sz="0" w:space="0" w:color="auto"/>
      </w:divBdr>
    </w:div>
    <w:div w:id="1709455204">
      <w:bodyDiv w:val="1"/>
      <w:marLeft w:val="0"/>
      <w:marRight w:val="0"/>
      <w:marTop w:val="0"/>
      <w:marBottom w:val="0"/>
      <w:divBdr>
        <w:top w:val="none" w:sz="0" w:space="0" w:color="auto"/>
        <w:left w:val="none" w:sz="0" w:space="0" w:color="auto"/>
        <w:bottom w:val="none" w:sz="0" w:space="0" w:color="auto"/>
        <w:right w:val="none" w:sz="0" w:space="0" w:color="auto"/>
      </w:divBdr>
    </w:div>
    <w:div w:id="1713650552">
      <w:bodyDiv w:val="1"/>
      <w:marLeft w:val="0"/>
      <w:marRight w:val="0"/>
      <w:marTop w:val="0"/>
      <w:marBottom w:val="0"/>
      <w:divBdr>
        <w:top w:val="none" w:sz="0" w:space="0" w:color="auto"/>
        <w:left w:val="none" w:sz="0" w:space="0" w:color="auto"/>
        <w:bottom w:val="none" w:sz="0" w:space="0" w:color="auto"/>
        <w:right w:val="none" w:sz="0" w:space="0" w:color="auto"/>
      </w:divBdr>
      <w:divsChild>
        <w:div w:id="1998486082">
          <w:marLeft w:val="0"/>
          <w:marRight w:val="0"/>
          <w:marTop w:val="0"/>
          <w:marBottom w:val="0"/>
          <w:divBdr>
            <w:top w:val="none" w:sz="0" w:space="0" w:color="auto"/>
            <w:left w:val="none" w:sz="0" w:space="0" w:color="auto"/>
            <w:bottom w:val="none" w:sz="0" w:space="0" w:color="auto"/>
            <w:right w:val="none" w:sz="0" w:space="0" w:color="auto"/>
          </w:divBdr>
          <w:divsChild>
            <w:div w:id="1760980259">
              <w:marLeft w:val="0"/>
              <w:marRight w:val="0"/>
              <w:marTop w:val="0"/>
              <w:marBottom w:val="0"/>
              <w:divBdr>
                <w:top w:val="none" w:sz="0" w:space="0" w:color="auto"/>
                <w:left w:val="none" w:sz="0" w:space="0" w:color="auto"/>
                <w:bottom w:val="none" w:sz="0" w:space="0" w:color="auto"/>
                <w:right w:val="none" w:sz="0" w:space="0" w:color="auto"/>
              </w:divBdr>
              <w:divsChild>
                <w:div w:id="240262409">
                  <w:marLeft w:val="0"/>
                  <w:marRight w:val="0"/>
                  <w:marTop w:val="0"/>
                  <w:marBottom w:val="0"/>
                  <w:divBdr>
                    <w:top w:val="none" w:sz="0" w:space="0" w:color="auto"/>
                    <w:left w:val="none" w:sz="0" w:space="0" w:color="auto"/>
                    <w:bottom w:val="none" w:sz="0" w:space="0" w:color="auto"/>
                    <w:right w:val="none" w:sz="0" w:space="0" w:color="auto"/>
                  </w:divBdr>
                  <w:divsChild>
                    <w:div w:id="1736586140">
                      <w:marLeft w:val="0"/>
                      <w:marRight w:val="0"/>
                      <w:marTop w:val="0"/>
                      <w:marBottom w:val="0"/>
                      <w:divBdr>
                        <w:top w:val="none" w:sz="0" w:space="0" w:color="auto"/>
                        <w:left w:val="none" w:sz="0" w:space="0" w:color="auto"/>
                        <w:bottom w:val="none" w:sz="0" w:space="0" w:color="auto"/>
                        <w:right w:val="none" w:sz="0" w:space="0" w:color="auto"/>
                      </w:divBdr>
                      <w:divsChild>
                        <w:div w:id="245505089">
                          <w:marLeft w:val="0"/>
                          <w:marRight w:val="0"/>
                          <w:marTop w:val="0"/>
                          <w:marBottom w:val="0"/>
                          <w:divBdr>
                            <w:top w:val="none" w:sz="0" w:space="0" w:color="auto"/>
                            <w:left w:val="none" w:sz="0" w:space="0" w:color="auto"/>
                            <w:bottom w:val="none" w:sz="0" w:space="0" w:color="auto"/>
                            <w:right w:val="none" w:sz="0" w:space="0" w:color="auto"/>
                          </w:divBdr>
                          <w:divsChild>
                            <w:div w:id="486701598">
                              <w:marLeft w:val="0"/>
                              <w:marRight w:val="0"/>
                              <w:marTop w:val="0"/>
                              <w:marBottom w:val="0"/>
                              <w:divBdr>
                                <w:top w:val="none" w:sz="0" w:space="0" w:color="auto"/>
                                <w:left w:val="none" w:sz="0" w:space="0" w:color="auto"/>
                                <w:bottom w:val="none" w:sz="0" w:space="0" w:color="auto"/>
                                <w:right w:val="none" w:sz="0" w:space="0" w:color="auto"/>
                              </w:divBdr>
                              <w:divsChild>
                                <w:div w:id="893545310">
                                  <w:marLeft w:val="0"/>
                                  <w:marRight w:val="0"/>
                                  <w:marTop w:val="0"/>
                                  <w:marBottom w:val="0"/>
                                  <w:divBdr>
                                    <w:top w:val="none" w:sz="0" w:space="0" w:color="auto"/>
                                    <w:left w:val="none" w:sz="0" w:space="0" w:color="auto"/>
                                    <w:bottom w:val="none" w:sz="0" w:space="0" w:color="auto"/>
                                    <w:right w:val="none" w:sz="0" w:space="0" w:color="auto"/>
                                  </w:divBdr>
                                  <w:divsChild>
                                    <w:div w:id="968511535">
                                      <w:marLeft w:val="0"/>
                                      <w:marRight w:val="0"/>
                                      <w:marTop w:val="0"/>
                                      <w:marBottom w:val="0"/>
                                      <w:divBdr>
                                        <w:top w:val="none" w:sz="0" w:space="0" w:color="auto"/>
                                        <w:left w:val="none" w:sz="0" w:space="0" w:color="auto"/>
                                        <w:bottom w:val="none" w:sz="0" w:space="0" w:color="auto"/>
                                        <w:right w:val="none" w:sz="0" w:space="0" w:color="auto"/>
                                      </w:divBdr>
                                      <w:divsChild>
                                        <w:div w:id="1005593043">
                                          <w:marLeft w:val="0"/>
                                          <w:marRight w:val="0"/>
                                          <w:marTop w:val="0"/>
                                          <w:marBottom w:val="0"/>
                                          <w:divBdr>
                                            <w:top w:val="none" w:sz="0" w:space="0" w:color="auto"/>
                                            <w:left w:val="none" w:sz="0" w:space="0" w:color="auto"/>
                                            <w:bottom w:val="none" w:sz="0" w:space="0" w:color="auto"/>
                                            <w:right w:val="none" w:sz="0" w:space="0" w:color="auto"/>
                                          </w:divBdr>
                                          <w:divsChild>
                                            <w:div w:id="167722690">
                                              <w:marLeft w:val="0"/>
                                              <w:marRight w:val="0"/>
                                              <w:marTop w:val="0"/>
                                              <w:marBottom w:val="0"/>
                                              <w:divBdr>
                                                <w:top w:val="single" w:sz="6" w:space="0" w:color="F5F5F5"/>
                                                <w:left w:val="single" w:sz="6" w:space="0" w:color="F5F5F5"/>
                                                <w:bottom w:val="single" w:sz="6" w:space="0" w:color="F5F5F5"/>
                                                <w:right w:val="single" w:sz="6" w:space="0" w:color="F5F5F5"/>
                                              </w:divBdr>
                                              <w:divsChild>
                                                <w:div w:id="1418940602">
                                                  <w:marLeft w:val="0"/>
                                                  <w:marRight w:val="0"/>
                                                  <w:marTop w:val="0"/>
                                                  <w:marBottom w:val="0"/>
                                                  <w:divBdr>
                                                    <w:top w:val="none" w:sz="0" w:space="0" w:color="auto"/>
                                                    <w:left w:val="none" w:sz="0" w:space="0" w:color="auto"/>
                                                    <w:bottom w:val="none" w:sz="0" w:space="0" w:color="auto"/>
                                                    <w:right w:val="none" w:sz="0" w:space="0" w:color="auto"/>
                                                  </w:divBdr>
                                                  <w:divsChild>
                                                    <w:div w:id="21021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816249">
      <w:bodyDiv w:val="1"/>
      <w:marLeft w:val="0"/>
      <w:marRight w:val="0"/>
      <w:marTop w:val="0"/>
      <w:marBottom w:val="0"/>
      <w:divBdr>
        <w:top w:val="none" w:sz="0" w:space="0" w:color="auto"/>
        <w:left w:val="none" w:sz="0" w:space="0" w:color="auto"/>
        <w:bottom w:val="none" w:sz="0" w:space="0" w:color="auto"/>
        <w:right w:val="none" w:sz="0" w:space="0" w:color="auto"/>
      </w:divBdr>
    </w:div>
    <w:div w:id="1728798406">
      <w:bodyDiv w:val="1"/>
      <w:marLeft w:val="0"/>
      <w:marRight w:val="0"/>
      <w:marTop w:val="0"/>
      <w:marBottom w:val="0"/>
      <w:divBdr>
        <w:top w:val="none" w:sz="0" w:space="0" w:color="auto"/>
        <w:left w:val="none" w:sz="0" w:space="0" w:color="auto"/>
        <w:bottom w:val="none" w:sz="0" w:space="0" w:color="auto"/>
        <w:right w:val="none" w:sz="0" w:space="0" w:color="auto"/>
      </w:divBdr>
      <w:divsChild>
        <w:div w:id="897590240">
          <w:marLeft w:val="0"/>
          <w:marRight w:val="0"/>
          <w:marTop w:val="0"/>
          <w:marBottom w:val="0"/>
          <w:divBdr>
            <w:top w:val="none" w:sz="0" w:space="0" w:color="auto"/>
            <w:left w:val="none" w:sz="0" w:space="0" w:color="auto"/>
            <w:bottom w:val="none" w:sz="0" w:space="0" w:color="auto"/>
            <w:right w:val="none" w:sz="0" w:space="0" w:color="auto"/>
          </w:divBdr>
          <w:divsChild>
            <w:div w:id="958611719">
              <w:marLeft w:val="0"/>
              <w:marRight w:val="0"/>
              <w:marTop w:val="0"/>
              <w:marBottom w:val="0"/>
              <w:divBdr>
                <w:top w:val="none" w:sz="0" w:space="0" w:color="auto"/>
                <w:left w:val="none" w:sz="0" w:space="0" w:color="auto"/>
                <w:bottom w:val="none" w:sz="0" w:space="0" w:color="auto"/>
                <w:right w:val="none" w:sz="0" w:space="0" w:color="auto"/>
              </w:divBdr>
              <w:divsChild>
                <w:div w:id="667831132">
                  <w:marLeft w:val="0"/>
                  <w:marRight w:val="0"/>
                  <w:marTop w:val="0"/>
                  <w:marBottom w:val="0"/>
                  <w:divBdr>
                    <w:top w:val="none" w:sz="0" w:space="0" w:color="auto"/>
                    <w:left w:val="none" w:sz="0" w:space="0" w:color="auto"/>
                    <w:bottom w:val="none" w:sz="0" w:space="0" w:color="auto"/>
                    <w:right w:val="none" w:sz="0" w:space="0" w:color="auto"/>
                  </w:divBdr>
                  <w:divsChild>
                    <w:div w:id="1030885191">
                      <w:marLeft w:val="0"/>
                      <w:marRight w:val="0"/>
                      <w:marTop w:val="0"/>
                      <w:marBottom w:val="0"/>
                      <w:divBdr>
                        <w:top w:val="none" w:sz="0" w:space="0" w:color="auto"/>
                        <w:left w:val="none" w:sz="0" w:space="0" w:color="auto"/>
                        <w:bottom w:val="none" w:sz="0" w:space="0" w:color="auto"/>
                        <w:right w:val="none" w:sz="0" w:space="0" w:color="auto"/>
                      </w:divBdr>
                      <w:divsChild>
                        <w:div w:id="141625593">
                          <w:marLeft w:val="0"/>
                          <w:marRight w:val="0"/>
                          <w:marTop w:val="0"/>
                          <w:marBottom w:val="0"/>
                          <w:divBdr>
                            <w:top w:val="none" w:sz="0" w:space="0" w:color="auto"/>
                            <w:left w:val="none" w:sz="0" w:space="0" w:color="auto"/>
                            <w:bottom w:val="none" w:sz="0" w:space="0" w:color="auto"/>
                            <w:right w:val="none" w:sz="0" w:space="0" w:color="auto"/>
                          </w:divBdr>
                          <w:divsChild>
                            <w:div w:id="249314472">
                              <w:marLeft w:val="0"/>
                              <w:marRight w:val="0"/>
                              <w:marTop w:val="0"/>
                              <w:marBottom w:val="0"/>
                              <w:divBdr>
                                <w:top w:val="none" w:sz="0" w:space="0" w:color="auto"/>
                                <w:left w:val="none" w:sz="0" w:space="0" w:color="auto"/>
                                <w:bottom w:val="none" w:sz="0" w:space="0" w:color="auto"/>
                                <w:right w:val="none" w:sz="0" w:space="0" w:color="auto"/>
                              </w:divBdr>
                              <w:divsChild>
                                <w:div w:id="728696229">
                                  <w:marLeft w:val="0"/>
                                  <w:marRight w:val="0"/>
                                  <w:marTop w:val="0"/>
                                  <w:marBottom w:val="0"/>
                                  <w:divBdr>
                                    <w:top w:val="none" w:sz="0" w:space="0" w:color="auto"/>
                                    <w:left w:val="none" w:sz="0" w:space="0" w:color="auto"/>
                                    <w:bottom w:val="none" w:sz="0" w:space="0" w:color="auto"/>
                                    <w:right w:val="none" w:sz="0" w:space="0" w:color="auto"/>
                                  </w:divBdr>
                                  <w:divsChild>
                                    <w:div w:id="436022546">
                                      <w:marLeft w:val="0"/>
                                      <w:marRight w:val="0"/>
                                      <w:marTop w:val="0"/>
                                      <w:marBottom w:val="0"/>
                                      <w:divBdr>
                                        <w:top w:val="none" w:sz="0" w:space="0" w:color="auto"/>
                                        <w:left w:val="none" w:sz="0" w:space="0" w:color="auto"/>
                                        <w:bottom w:val="none" w:sz="0" w:space="0" w:color="auto"/>
                                        <w:right w:val="none" w:sz="0" w:space="0" w:color="auto"/>
                                      </w:divBdr>
                                      <w:divsChild>
                                        <w:div w:id="1194148466">
                                          <w:marLeft w:val="0"/>
                                          <w:marRight w:val="0"/>
                                          <w:marTop w:val="0"/>
                                          <w:marBottom w:val="0"/>
                                          <w:divBdr>
                                            <w:top w:val="none" w:sz="0" w:space="0" w:color="auto"/>
                                            <w:left w:val="none" w:sz="0" w:space="0" w:color="auto"/>
                                            <w:bottom w:val="none" w:sz="0" w:space="0" w:color="auto"/>
                                            <w:right w:val="none" w:sz="0" w:space="0" w:color="auto"/>
                                          </w:divBdr>
                                          <w:divsChild>
                                            <w:div w:id="1523084140">
                                              <w:marLeft w:val="0"/>
                                              <w:marRight w:val="0"/>
                                              <w:marTop w:val="0"/>
                                              <w:marBottom w:val="0"/>
                                              <w:divBdr>
                                                <w:top w:val="single" w:sz="6" w:space="0" w:color="F5F5F5"/>
                                                <w:left w:val="single" w:sz="6" w:space="0" w:color="F5F5F5"/>
                                                <w:bottom w:val="single" w:sz="6" w:space="0" w:color="F5F5F5"/>
                                                <w:right w:val="single" w:sz="6" w:space="0" w:color="F5F5F5"/>
                                              </w:divBdr>
                                              <w:divsChild>
                                                <w:div w:id="1319115503">
                                                  <w:marLeft w:val="0"/>
                                                  <w:marRight w:val="0"/>
                                                  <w:marTop w:val="0"/>
                                                  <w:marBottom w:val="0"/>
                                                  <w:divBdr>
                                                    <w:top w:val="none" w:sz="0" w:space="0" w:color="auto"/>
                                                    <w:left w:val="none" w:sz="0" w:space="0" w:color="auto"/>
                                                    <w:bottom w:val="none" w:sz="0" w:space="0" w:color="auto"/>
                                                    <w:right w:val="none" w:sz="0" w:space="0" w:color="auto"/>
                                                  </w:divBdr>
                                                  <w:divsChild>
                                                    <w:div w:id="11139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3580084">
      <w:bodyDiv w:val="1"/>
      <w:marLeft w:val="0"/>
      <w:marRight w:val="0"/>
      <w:marTop w:val="0"/>
      <w:marBottom w:val="0"/>
      <w:divBdr>
        <w:top w:val="none" w:sz="0" w:space="0" w:color="auto"/>
        <w:left w:val="none" w:sz="0" w:space="0" w:color="auto"/>
        <w:bottom w:val="none" w:sz="0" w:space="0" w:color="auto"/>
        <w:right w:val="none" w:sz="0" w:space="0" w:color="auto"/>
      </w:divBdr>
    </w:div>
    <w:div w:id="1735159430">
      <w:bodyDiv w:val="1"/>
      <w:marLeft w:val="0"/>
      <w:marRight w:val="0"/>
      <w:marTop w:val="0"/>
      <w:marBottom w:val="0"/>
      <w:divBdr>
        <w:top w:val="none" w:sz="0" w:space="0" w:color="auto"/>
        <w:left w:val="none" w:sz="0" w:space="0" w:color="auto"/>
        <w:bottom w:val="none" w:sz="0" w:space="0" w:color="auto"/>
        <w:right w:val="none" w:sz="0" w:space="0" w:color="auto"/>
      </w:divBdr>
    </w:div>
    <w:div w:id="1736006772">
      <w:bodyDiv w:val="1"/>
      <w:marLeft w:val="0"/>
      <w:marRight w:val="0"/>
      <w:marTop w:val="0"/>
      <w:marBottom w:val="0"/>
      <w:divBdr>
        <w:top w:val="none" w:sz="0" w:space="0" w:color="auto"/>
        <w:left w:val="none" w:sz="0" w:space="0" w:color="auto"/>
        <w:bottom w:val="none" w:sz="0" w:space="0" w:color="auto"/>
        <w:right w:val="none" w:sz="0" w:space="0" w:color="auto"/>
      </w:divBdr>
    </w:div>
    <w:div w:id="1738698424">
      <w:bodyDiv w:val="1"/>
      <w:marLeft w:val="0"/>
      <w:marRight w:val="0"/>
      <w:marTop w:val="0"/>
      <w:marBottom w:val="0"/>
      <w:divBdr>
        <w:top w:val="none" w:sz="0" w:space="0" w:color="auto"/>
        <w:left w:val="none" w:sz="0" w:space="0" w:color="auto"/>
        <w:bottom w:val="none" w:sz="0" w:space="0" w:color="auto"/>
        <w:right w:val="none" w:sz="0" w:space="0" w:color="auto"/>
      </w:divBdr>
      <w:divsChild>
        <w:div w:id="924264420">
          <w:marLeft w:val="0"/>
          <w:marRight w:val="0"/>
          <w:marTop w:val="0"/>
          <w:marBottom w:val="0"/>
          <w:divBdr>
            <w:top w:val="none" w:sz="0" w:space="0" w:color="auto"/>
            <w:left w:val="none" w:sz="0" w:space="0" w:color="auto"/>
            <w:bottom w:val="none" w:sz="0" w:space="0" w:color="auto"/>
            <w:right w:val="none" w:sz="0" w:space="0" w:color="auto"/>
          </w:divBdr>
          <w:divsChild>
            <w:div w:id="646127466">
              <w:marLeft w:val="0"/>
              <w:marRight w:val="0"/>
              <w:marTop w:val="0"/>
              <w:marBottom w:val="0"/>
              <w:divBdr>
                <w:top w:val="none" w:sz="0" w:space="0" w:color="auto"/>
                <w:left w:val="none" w:sz="0" w:space="0" w:color="auto"/>
                <w:bottom w:val="none" w:sz="0" w:space="0" w:color="auto"/>
                <w:right w:val="none" w:sz="0" w:space="0" w:color="auto"/>
              </w:divBdr>
              <w:divsChild>
                <w:div w:id="1818103953">
                  <w:marLeft w:val="0"/>
                  <w:marRight w:val="0"/>
                  <w:marTop w:val="0"/>
                  <w:marBottom w:val="0"/>
                  <w:divBdr>
                    <w:top w:val="none" w:sz="0" w:space="0" w:color="auto"/>
                    <w:left w:val="none" w:sz="0" w:space="0" w:color="auto"/>
                    <w:bottom w:val="none" w:sz="0" w:space="0" w:color="auto"/>
                    <w:right w:val="none" w:sz="0" w:space="0" w:color="auto"/>
                  </w:divBdr>
                  <w:divsChild>
                    <w:div w:id="786507708">
                      <w:marLeft w:val="0"/>
                      <w:marRight w:val="0"/>
                      <w:marTop w:val="0"/>
                      <w:marBottom w:val="0"/>
                      <w:divBdr>
                        <w:top w:val="none" w:sz="0" w:space="0" w:color="auto"/>
                        <w:left w:val="none" w:sz="0" w:space="0" w:color="auto"/>
                        <w:bottom w:val="none" w:sz="0" w:space="0" w:color="auto"/>
                        <w:right w:val="none" w:sz="0" w:space="0" w:color="auto"/>
                      </w:divBdr>
                      <w:divsChild>
                        <w:div w:id="906115024">
                          <w:marLeft w:val="0"/>
                          <w:marRight w:val="0"/>
                          <w:marTop w:val="0"/>
                          <w:marBottom w:val="0"/>
                          <w:divBdr>
                            <w:top w:val="none" w:sz="0" w:space="0" w:color="auto"/>
                            <w:left w:val="none" w:sz="0" w:space="0" w:color="auto"/>
                            <w:bottom w:val="none" w:sz="0" w:space="0" w:color="auto"/>
                            <w:right w:val="none" w:sz="0" w:space="0" w:color="auto"/>
                          </w:divBdr>
                          <w:divsChild>
                            <w:div w:id="1928684579">
                              <w:marLeft w:val="0"/>
                              <w:marRight w:val="0"/>
                              <w:marTop w:val="0"/>
                              <w:marBottom w:val="0"/>
                              <w:divBdr>
                                <w:top w:val="none" w:sz="0" w:space="0" w:color="auto"/>
                                <w:left w:val="none" w:sz="0" w:space="0" w:color="auto"/>
                                <w:bottom w:val="none" w:sz="0" w:space="0" w:color="auto"/>
                                <w:right w:val="none" w:sz="0" w:space="0" w:color="auto"/>
                              </w:divBdr>
                              <w:divsChild>
                                <w:div w:id="1292009467">
                                  <w:marLeft w:val="0"/>
                                  <w:marRight w:val="0"/>
                                  <w:marTop w:val="0"/>
                                  <w:marBottom w:val="0"/>
                                  <w:divBdr>
                                    <w:top w:val="none" w:sz="0" w:space="0" w:color="auto"/>
                                    <w:left w:val="none" w:sz="0" w:space="0" w:color="auto"/>
                                    <w:bottom w:val="none" w:sz="0" w:space="0" w:color="auto"/>
                                    <w:right w:val="none" w:sz="0" w:space="0" w:color="auto"/>
                                  </w:divBdr>
                                  <w:divsChild>
                                    <w:div w:id="645280340">
                                      <w:marLeft w:val="0"/>
                                      <w:marRight w:val="0"/>
                                      <w:marTop w:val="0"/>
                                      <w:marBottom w:val="0"/>
                                      <w:divBdr>
                                        <w:top w:val="none" w:sz="0" w:space="0" w:color="auto"/>
                                        <w:left w:val="none" w:sz="0" w:space="0" w:color="auto"/>
                                        <w:bottom w:val="none" w:sz="0" w:space="0" w:color="auto"/>
                                        <w:right w:val="none" w:sz="0" w:space="0" w:color="auto"/>
                                      </w:divBdr>
                                      <w:divsChild>
                                        <w:div w:id="1161392524">
                                          <w:marLeft w:val="0"/>
                                          <w:marRight w:val="0"/>
                                          <w:marTop w:val="0"/>
                                          <w:marBottom w:val="0"/>
                                          <w:divBdr>
                                            <w:top w:val="none" w:sz="0" w:space="0" w:color="auto"/>
                                            <w:left w:val="none" w:sz="0" w:space="0" w:color="auto"/>
                                            <w:bottom w:val="none" w:sz="0" w:space="0" w:color="auto"/>
                                            <w:right w:val="none" w:sz="0" w:space="0" w:color="auto"/>
                                          </w:divBdr>
                                          <w:divsChild>
                                            <w:div w:id="893584092">
                                              <w:marLeft w:val="0"/>
                                              <w:marRight w:val="0"/>
                                              <w:marTop w:val="0"/>
                                              <w:marBottom w:val="0"/>
                                              <w:divBdr>
                                                <w:top w:val="single" w:sz="6" w:space="0" w:color="F5F5F5"/>
                                                <w:left w:val="single" w:sz="6" w:space="0" w:color="F5F5F5"/>
                                                <w:bottom w:val="single" w:sz="6" w:space="0" w:color="F5F5F5"/>
                                                <w:right w:val="single" w:sz="6" w:space="0" w:color="F5F5F5"/>
                                              </w:divBdr>
                                              <w:divsChild>
                                                <w:div w:id="1886794747">
                                                  <w:marLeft w:val="0"/>
                                                  <w:marRight w:val="0"/>
                                                  <w:marTop w:val="0"/>
                                                  <w:marBottom w:val="0"/>
                                                  <w:divBdr>
                                                    <w:top w:val="none" w:sz="0" w:space="0" w:color="auto"/>
                                                    <w:left w:val="none" w:sz="0" w:space="0" w:color="auto"/>
                                                    <w:bottom w:val="none" w:sz="0" w:space="0" w:color="auto"/>
                                                    <w:right w:val="none" w:sz="0" w:space="0" w:color="auto"/>
                                                  </w:divBdr>
                                                  <w:divsChild>
                                                    <w:div w:id="14434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125858">
      <w:bodyDiv w:val="1"/>
      <w:marLeft w:val="0"/>
      <w:marRight w:val="0"/>
      <w:marTop w:val="0"/>
      <w:marBottom w:val="0"/>
      <w:divBdr>
        <w:top w:val="none" w:sz="0" w:space="0" w:color="auto"/>
        <w:left w:val="none" w:sz="0" w:space="0" w:color="auto"/>
        <w:bottom w:val="none" w:sz="0" w:space="0" w:color="auto"/>
        <w:right w:val="none" w:sz="0" w:space="0" w:color="auto"/>
      </w:divBdr>
    </w:div>
    <w:div w:id="1741907286">
      <w:bodyDiv w:val="1"/>
      <w:marLeft w:val="0"/>
      <w:marRight w:val="0"/>
      <w:marTop w:val="0"/>
      <w:marBottom w:val="0"/>
      <w:divBdr>
        <w:top w:val="none" w:sz="0" w:space="0" w:color="auto"/>
        <w:left w:val="none" w:sz="0" w:space="0" w:color="auto"/>
        <w:bottom w:val="none" w:sz="0" w:space="0" w:color="auto"/>
        <w:right w:val="none" w:sz="0" w:space="0" w:color="auto"/>
      </w:divBdr>
    </w:div>
    <w:div w:id="1743991713">
      <w:bodyDiv w:val="1"/>
      <w:marLeft w:val="0"/>
      <w:marRight w:val="0"/>
      <w:marTop w:val="0"/>
      <w:marBottom w:val="0"/>
      <w:divBdr>
        <w:top w:val="none" w:sz="0" w:space="0" w:color="auto"/>
        <w:left w:val="none" w:sz="0" w:space="0" w:color="auto"/>
        <w:bottom w:val="none" w:sz="0" w:space="0" w:color="auto"/>
        <w:right w:val="none" w:sz="0" w:space="0" w:color="auto"/>
      </w:divBdr>
    </w:div>
    <w:div w:id="1744451426">
      <w:bodyDiv w:val="1"/>
      <w:marLeft w:val="0"/>
      <w:marRight w:val="0"/>
      <w:marTop w:val="0"/>
      <w:marBottom w:val="0"/>
      <w:divBdr>
        <w:top w:val="none" w:sz="0" w:space="0" w:color="auto"/>
        <w:left w:val="none" w:sz="0" w:space="0" w:color="auto"/>
        <w:bottom w:val="none" w:sz="0" w:space="0" w:color="auto"/>
        <w:right w:val="none" w:sz="0" w:space="0" w:color="auto"/>
      </w:divBdr>
    </w:div>
    <w:div w:id="1754008775">
      <w:bodyDiv w:val="1"/>
      <w:marLeft w:val="0"/>
      <w:marRight w:val="0"/>
      <w:marTop w:val="0"/>
      <w:marBottom w:val="0"/>
      <w:divBdr>
        <w:top w:val="none" w:sz="0" w:space="0" w:color="auto"/>
        <w:left w:val="none" w:sz="0" w:space="0" w:color="auto"/>
        <w:bottom w:val="none" w:sz="0" w:space="0" w:color="auto"/>
        <w:right w:val="none" w:sz="0" w:space="0" w:color="auto"/>
      </w:divBdr>
    </w:div>
    <w:div w:id="1760714656">
      <w:bodyDiv w:val="1"/>
      <w:marLeft w:val="0"/>
      <w:marRight w:val="0"/>
      <w:marTop w:val="0"/>
      <w:marBottom w:val="0"/>
      <w:divBdr>
        <w:top w:val="none" w:sz="0" w:space="0" w:color="auto"/>
        <w:left w:val="none" w:sz="0" w:space="0" w:color="auto"/>
        <w:bottom w:val="none" w:sz="0" w:space="0" w:color="auto"/>
        <w:right w:val="none" w:sz="0" w:space="0" w:color="auto"/>
      </w:divBdr>
    </w:div>
    <w:div w:id="1762752683">
      <w:bodyDiv w:val="1"/>
      <w:marLeft w:val="0"/>
      <w:marRight w:val="0"/>
      <w:marTop w:val="0"/>
      <w:marBottom w:val="0"/>
      <w:divBdr>
        <w:top w:val="none" w:sz="0" w:space="0" w:color="auto"/>
        <w:left w:val="none" w:sz="0" w:space="0" w:color="auto"/>
        <w:bottom w:val="none" w:sz="0" w:space="0" w:color="auto"/>
        <w:right w:val="none" w:sz="0" w:space="0" w:color="auto"/>
      </w:divBdr>
    </w:div>
    <w:div w:id="1770158553">
      <w:bodyDiv w:val="1"/>
      <w:marLeft w:val="0"/>
      <w:marRight w:val="0"/>
      <w:marTop w:val="0"/>
      <w:marBottom w:val="0"/>
      <w:divBdr>
        <w:top w:val="none" w:sz="0" w:space="0" w:color="auto"/>
        <w:left w:val="none" w:sz="0" w:space="0" w:color="auto"/>
        <w:bottom w:val="none" w:sz="0" w:space="0" w:color="auto"/>
        <w:right w:val="none" w:sz="0" w:space="0" w:color="auto"/>
      </w:divBdr>
    </w:div>
    <w:div w:id="1770390535">
      <w:bodyDiv w:val="1"/>
      <w:marLeft w:val="0"/>
      <w:marRight w:val="0"/>
      <w:marTop w:val="0"/>
      <w:marBottom w:val="0"/>
      <w:divBdr>
        <w:top w:val="none" w:sz="0" w:space="0" w:color="auto"/>
        <w:left w:val="none" w:sz="0" w:space="0" w:color="auto"/>
        <w:bottom w:val="none" w:sz="0" w:space="0" w:color="auto"/>
        <w:right w:val="none" w:sz="0" w:space="0" w:color="auto"/>
      </w:divBdr>
      <w:divsChild>
        <w:div w:id="1359620211">
          <w:marLeft w:val="0"/>
          <w:marRight w:val="0"/>
          <w:marTop w:val="0"/>
          <w:marBottom w:val="0"/>
          <w:divBdr>
            <w:top w:val="none" w:sz="0" w:space="0" w:color="auto"/>
            <w:left w:val="none" w:sz="0" w:space="0" w:color="auto"/>
            <w:bottom w:val="none" w:sz="0" w:space="0" w:color="auto"/>
            <w:right w:val="none" w:sz="0" w:space="0" w:color="auto"/>
          </w:divBdr>
          <w:divsChild>
            <w:div w:id="1785072673">
              <w:marLeft w:val="0"/>
              <w:marRight w:val="0"/>
              <w:marTop w:val="0"/>
              <w:marBottom w:val="0"/>
              <w:divBdr>
                <w:top w:val="none" w:sz="0" w:space="0" w:color="auto"/>
                <w:left w:val="none" w:sz="0" w:space="0" w:color="auto"/>
                <w:bottom w:val="none" w:sz="0" w:space="0" w:color="auto"/>
                <w:right w:val="none" w:sz="0" w:space="0" w:color="auto"/>
              </w:divBdr>
              <w:divsChild>
                <w:div w:id="1347904802">
                  <w:marLeft w:val="0"/>
                  <w:marRight w:val="0"/>
                  <w:marTop w:val="0"/>
                  <w:marBottom w:val="0"/>
                  <w:divBdr>
                    <w:top w:val="none" w:sz="0" w:space="0" w:color="auto"/>
                    <w:left w:val="none" w:sz="0" w:space="0" w:color="auto"/>
                    <w:bottom w:val="none" w:sz="0" w:space="0" w:color="auto"/>
                    <w:right w:val="none" w:sz="0" w:space="0" w:color="auto"/>
                  </w:divBdr>
                  <w:divsChild>
                    <w:div w:id="908418527">
                      <w:marLeft w:val="0"/>
                      <w:marRight w:val="0"/>
                      <w:marTop w:val="0"/>
                      <w:marBottom w:val="0"/>
                      <w:divBdr>
                        <w:top w:val="none" w:sz="0" w:space="0" w:color="auto"/>
                        <w:left w:val="none" w:sz="0" w:space="0" w:color="auto"/>
                        <w:bottom w:val="none" w:sz="0" w:space="0" w:color="auto"/>
                        <w:right w:val="none" w:sz="0" w:space="0" w:color="auto"/>
                      </w:divBdr>
                      <w:divsChild>
                        <w:div w:id="990208589">
                          <w:marLeft w:val="0"/>
                          <w:marRight w:val="0"/>
                          <w:marTop w:val="0"/>
                          <w:marBottom w:val="0"/>
                          <w:divBdr>
                            <w:top w:val="none" w:sz="0" w:space="0" w:color="auto"/>
                            <w:left w:val="none" w:sz="0" w:space="0" w:color="auto"/>
                            <w:bottom w:val="none" w:sz="0" w:space="0" w:color="auto"/>
                            <w:right w:val="none" w:sz="0" w:space="0" w:color="auto"/>
                          </w:divBdr>
                          <w:divsChild>
                            <w:div w:id="1050416851">
                              <w:marLeft w:val="0"/>
                              <w:marRight w:val="0"/>
                              <w:marTop w:val="0"/>
                              <w:marBottom w:val="0"/>
                              <w:divBdr>
                                <w:top w:val="none" w:sz="0" w:space="0" w:color="auto"/>
                                <w:left w:val="none" w:sz="0" w:space="0" w:color="auto"/>
                                <w:bottom w:val="none" w:sz="0" w:space="0" w:color="auto"/>
                                <w:right w:val="none" w:sz="0" w:space="0" w:color="auto"/>
                              </w:divBdr>
                              <w:divsChild>
                                <w:div w:id="3828381">
                                  <w:marLeft w:val="0"/>
                                  <w:marRight w:val="0"/>
                                  <w:marTop w:val="0"/>
                                  <w:marBottom w:val="0"/>
                                  <w:divBdr>
                                    <w:top w:val="none" w:sz="0" w:space="0" w:color="auto"/>
                                    <w:left w:val="none" w:sz="0" w:space="0" w:color="auto"/>
                                    <w:bottom w:val="none" w:sz="0" w:space="0" w:color="auto"/>
                                    <w:right w:val="none" w:sz="0" w:space="0" w:color="auto"/>
                                  </w:divBdr>
                                  <w:divsChild>
                                    <w:div w:id="1756510505">
                                      <w:marLeft w:val="0"/>
                                      <w:marRight w:val="0"/>
                                      <w:marTop w:val="0"/>
                                      <w:marBottom w:val="0"/>
                                      <w:divBdr>
                                        <w:top w:val="none" w:sz="0" w:space="0" w:color="auto"/>
                                        <w:left w:val="none" w:sz="0" w:space="0" w:color="auto"/>
                                        <w:bottom w:val="none" w:sz="0" w:space="0" w:color="auto"/>
                                        <w:right w:val="none" w:sz="0" w:space="0" w:color="auto"/>
                                      </w:divBdr>
                                      <w:divsChild>
                                        <w:div w:id="659039260">
                                          <w:marLeft w:val="0"/>
                                          <w:marRight w:val="0"/>
                                          <w:marTop w:val="0"/>
                                          <w:marBottom w:val="0"/>
                                          <w:divBdr>
                                            <w:top w:val="none" w:sz="0" w:space="0" w:color="auto"/>
                                            <w:left w:val="none" w:sz="0" w:space="0" w:color="auto"/>
                                            <w:bottom w:val="none" w:sz="0" w:space="0" w:color="auto"/>
                                            <w:right w:val="none" w:sz="0" w:space="0" w:color="auto"/>
                                          </w:divBdr>
                                          <w:divsChild>
                                            <w:div w:id="1077821936">
                                              <w:marLeft w:val="0"/>
                                              <w:marRight w:val="0"/>
                                              <w:marTop w:val="0"/>
                                              <w:marBottom w:val="0"/>
                                              <w:divBdr>
                                                <w:top w:val="single" w:sz="6" w:space="0" w:color="F5F5F5"/>
                                                <w:left w:val="single" w:sz="6" w:space="0" w:color="F5F5F5"/>
                                                <w:bottom w:val="single" w:sz="6" w:space="0" w:color="F5F5F5"/>
                                                <w:right w:val="single" w:sz="6" w:space="0" w:color="F5F5F5"/>
                                              </w:divBdr>
                                              <w:divsChild>
                                                <w:div w:id="1418672090">
                                                  <w:marLeft w:val="0"/>
                                                  <w:marRight w:val="0"/>
                                                  <w:marTop w:val="0"/>
                                                  <w:marBottom w:val="0"/>
                                                  <w:divBdr>
                                                    <w:top w:val="none" w:sz="0" w:space="0" w:color="auto"/>
                                                    <w:left w:val="none" w:sz="0" w:space="0" w:color="auto"/>
                                                    <w:bottom w:val="none" w:sz="0" w:space="0" w:color="auto"/>
                                                    <w:right w:val="none" w:sz="0" w:space="0" w:color="auto"/>
                                                  </w:divBdr>
                                                  <w:divsChild>
                                                    <w:div w:id="11906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074668">
      <w:bodyDiv w:val="1"/>
      <w:marLeft w:val="0"/>
      <w:marRight w:val="0"/>
      <w:marTop w:val="0"/>
      <w:marBottom w:val="0"/>
      <w:divBdr>
        <w:top w:val="none" w:sz="0" w:space="0" w:color="auto"/>
        <w:left w:val="none" w:sz="0" w:space="0" w:color="auto"/>
        <w:bottom w:val="none" w:sz="0" w:space="0" w:color="auto"/>
        <w:right w:val="none" w:sz="0" w:space="0" w:color="auto"/>
      </w:divBdr>
    </w:div>
    <w:div w:id="1774393999">
      <w:bodyDiv w:val="1"/>
      <w:marLeft w:val="0"/>
      <w:marRight w:val="0"/>
      <w:marTop w:val="0"/>
      <w:marBottom w:val="0"/>
      <w:divBdr>
        <w:top w:val="none" w:sz="0" w:space="0" w:color="auto"/>
        <w:left w:val="none" w:sz="0" w:space="0" w:color="auto"/>
        <w:bottom w:val="none" w:sz="0" w:space="0" w:color="auto"/>
        <w:right w:val="none" w:sz="0" w:space="0" w:color="auto"/>
      </w:divBdr>
    </w:div>
    <w:div w:id="1775592471">
      <w:bodyDiv w:val="1"/>
      <w:marLeft w:val="0"/>
      <w:marRight w:val="0"/>
      <w:marTop w:val="0"/>
      <w:marBottom w:val="0"/>
      <w:divBdr>
        <w:top w:val="none" w:sz="0" w:space="0" w:color="auto"/>
        <w:left w:val="none" w:sz="0" w:space="0" w:color="auto"/>
        <w:bottom w:val="none" w:sz="0" w:space="0" w:color="auto"/>
        <w:right w:val="none" w:sz="0" w:space="0" w:color="auto"/>
      </w:divBdr>
      <w:divsChild>
        <w:div w:id="1117330086">
          <w:marLeft w:val="0"/>
          <w:marRight w:val="0"/>
          <w:marTop w:val="0"/>
          <w:marBottom w:val="0"/>
          <w:divBdr>
            <w:top w:val="none" w:sz="0" w:space="0" w:color="auto"/>
            <w:left w:val="none" w:sz="0" w:space="0" w:color="auto"/>
            <w:bottom w:val="none" w:sz="0" w:space="0" w:color="auto"/>
            <w:right w:val="none" w:sz="0" w:space="0" w:color="auto"/>
          </w:divBdr>
          <w:divsChild>
            <w:div w:id="2108691289">
              <w:marLeft w:val="0"/>
              <w:marRight w:val="0"/>
              <w:marTop w:val="0"/>
              <w:marBottom w:val="0"/>
              <w:divBdr>
                <w:top w:val="none" w:sz="0" w:space="0" w:color="auto"/>
                <w:left w:val="none" w:sz="0" w:space="0" w:color="auto"/>
                <w:bottom w:val="none" w:sz="0" w:space="0" w:color="auto"/>
                <w:right w:val="none" w:sz="0" w:space="0" w:color="auto"/>
              </w:divBdr>
              <w:divsChild>
                <w:div w:id="142047494">
                  <w:marLeft w:val="0"/>
                  <w:marRight w:val="0"/>
                  <w:marTop w:val="0"/>
                  <w:marBottom w:val="0"/>
                  <w:divBdr>
                    <w:top w:val="none" w:sz="0" w:space="0" w:color="auto"/>
                    <w:left w:val="none" w:sz="0" w:space="0" w:color="auto"/>
                    <w:bottom w:val="none" w:sz="0" w:space="0" w:color="auto"/>
                    <w:right w:val="none" w:sz="0" w:space="0" w:color="auto"/>
                  </w:divBdr>
                  <w:divsChild>
                    <w:div w:id="619726513">
                      <w:marLeft w:val="0"/>
                      <w:marRight w:val="0"/>
                      <w:marTop w:val="0"/>
                      <w:marBottom w:val="0"/>
                      <w:divBdr>
                        <w:top w:val="none" w:sz="0" w:space="0" w:color="auto"/>
                        <w:left w:val="none" w:sz="0" w:space="0" w:color="auto"/>
                        <w:bottom w:val="none" w:sz="0" w:space="0" w:color="auto"/>
                        <w:right w:val="none" w:sz="0" w:space="0" w:color="auto"/>
                      </w:divBdr>
                      <w:divsChild>
                        <w:div w:id="907300517">
                          <w:marLeft w:val="0"/>
                          <w:marRight w:val="0"/>
                          <w:marTop w:val="0"/>
                          <w:marBottom w:val="0"/>
                          <w:divBdr>
                            <w:top w:val="none" w:sz="0" w:space="0" w:color="auto"/>
                            <w:left w:val="none" w:sz="0" w:space="0" w:color="auto"/>
                            <w:bottom w:val="none" w:sz="0" w:space="0" w:color="auto"/>
                            <w:right w:val="none" w:sz="0" w:space="0" w:color="auto"/>
                          </w:divBdr>
                          <w:divsChild>
                            <w:div w:id="914439901">
                              <w:marLeft w:val="0"/>
                              <w:marRight w:val="0"/>
                              <w:marTop w:val="0"/>
                              <w:marBottom w:val="0"/>
                              <w:divBdr>
                                <w:top w:val="none" w:sz="0" w:space="0" w:color="auto"/>
                                <w:left w:val="none" w:sz="0" w:space="0" w:color="auto"/>
                                <w:bottom w:val="none" w:sz="0" w:space="0" w:color="auto"/>
                                <w:right w:val="none" w:sz="0" w:space="0" w:color="auto"/>
                              </w:divBdr>
                              <w:divsChild>
                                <w:div w:id="1424035659">
                                  <w:marLeft w:val="0"/>
                                  <w:marRight w:val="0"/>
                                  <w:marTop w:val="0"/>
                                  <w:marBottom w:val="0"/>
                                  <w:divBdr>
                                    <w:top w:val="none" w:sz="0" w:space="0" w:color="auto"/>
                                    <w:left w:val="none" w:sz="0" w:space="0" w:color="auto"/>
                                    <w:bottom w:val="none" w:sz="0" w:space="0" w:color="auto"/>
                                    <w:right w:val="none" w:sz="0" w:space="0" w:color="auto"/>
                                  </w:divBdr>
                                  <w:divsChild>
                                    <w:div w:id="591747180">
                                      <w:marLeft w:val="0"/>
                                      <w:marRight w:val="0"/>
                                      <w:marTop w:val="0"/>
                                      <w:marBottom w:val="0"/>
                                      <w:divBdr>
                                        <w:top w:val="none" w:sz="0" w:space="0" w:color="auto"/>
                                        <w:left w:val="none" w:sz="0" w:space="0" w:color="auto"/>
                                        <w:bottom w:val="none" w:sz="0" w:space="0" w:color="auto"/>
                                        <w:right w:val="none" w:sz="0" w:space="0" w:color="auto"/>
                                      </w:divBdr>
                                      <w:divsChild>
                                        <w:div w:id="1434738258">
                                          <w:marLeft w:val="0"/>
                                          <w:marRight w:val="0"/>
                                          <w:marTop w:val="0"/>
                                          <w:marBottom w:val="0"/>
                                          <w:divBdr>
                                            <w:top w:val="none" w:sz="0" w:space="0" w:color="auto"/>
                                            <w:left w:val="none" w:sz="0" w:space="0" w:color="auto"/>
                                            <w:bottom w:val="none" w:sz="0" w:space="0" w:color="auto"/>
                                            <w:right w:val="none" w:sz="0" w:space="0" w:color="auto"/>
                                          </w:divBdr>
                                          <w:divsChild>
                                            <w:div w:id="361592829">
                                              <w:marLeft w:val="0"/>
                                              <w:marRight w:val="0"/>
                                              <w:marTop w:val="0"/>
                                              <w:marBottom w:val="0"/>
                                              <w:divBdr>
                                                <w:top w:val="single" w:sz="6" w:space="0" w:color="F5F5F5"/>
                                                <w:left w:val="single" w:sz="6" w:space="0" w:color="F5F5F5"/>
                                                <w:bottom w:val="single" w:sz="6" w:space="0" w:color="F5F5F5"/>
                                                <w:right w:val="single" w:sz="6" w:space="0" w:color="F5F5F5"/>
                                              </w:divBdr>
                                              <w:divsChild>
                                                <w:div w:id="1940327512">
                                                  <w:marLeft w:val="0"/>
                                                  <w:marRight w:val="0"/>
                                                  <w:marTop w:val="0"/>
                                                  <w:marBottom w:val="0"/>
                                                  <w:divBdr>
                                                    <w:top w:val="none" w:sz="0" w:space="0" w:color="auto"/>
                                                    <w:left w:val="none" w:sz="0" w:space="0" w:color="auto"/>
                                                    <w:bottom w:val="none" w:sz="0" w:space="0" w:color="auto"/>
                                                    <w:right w:val="none" w:sz="0" w:space="0" w:color="auto"/>
                                                  </w:divBdr>
                                                  <w:divsChild>
                                                    <w:div w:id="13143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143294">
      <w:bodyDiv w:val="1"/>
      <w:marLeft w:val="0"/>
      <w:marRight w:val="0"/>
      <w:marTop w:val="0"/>
      <w:marBottom w:val="0"/>
      <w:divBdr>
        <w:top w:val="none" w:sz="0" w:space="0" w:color="auto"/>
        <w:left w:val="none" w:sz="0" w:space="0" w:color="auto"/>
        <w:bottom w:val="none" w:sz="0" w:space="0" w:color="auto"/>
        <w:right w:val="none" w:sz="0" w:space="0" w:color="auto"/>
      </w:divBdr>
    </w:div>
    <w:div w:id="1782645763">
      <w:bodyDiv w:val="1"/>
      <w:marLeft w:val="0"/>
      <w:marRight w:val="0"/>
      <w:marTop w:val="0"/>
      <w:marBottom w:val="0"/>
      <w:divBdr>
        <w:top w:val="none" w:sz="0" w:space="0" w:color="auto"/>
        <w:left w:val="none" w:sz="0" w:space="0" w:color="auto"/>
        <w:bottom w:val="none" w:sz="0" w:space="0" w:color="auto"/>
        <w:right w:val="none" w:sz="0" w:space="0" w:color="auto"/>
      </w:divBdr>
      <w:divsChild>
        <w:div w:id="332605932">
          <w:marLeft w:val="0"/>
          <w:marRight w:val="0"/>
          <w:marTop w:val="0"/>
          <w:marBottom w:val="0"/>
          <w:divBdr>
            <w:top w:val="none" w:sz="0" w:space="0" w:color="auto"/>
            <w:left w:val="none" w:sz="0" w:space="0" w:color="auto"/>
            <w:bottom w:val="none" w:sz="0" w:space="0" w:color="auto"/>
            <w:right w:val="none" w:sz="0" w:space="0" w:color="auto"/>
          </w:divBdr>
          <w:divsChild>
            <w:div w:id="1162618409">
              <w:marLeft w:val="0"/>
              <w:marRight w:val="0"/>
              <w:marTop w:val="0"/>
              <w:marBottom w:val="0"/>
              <w:divBdr>
                <w:top w:val="none" w:sz="0" w:space="0" w:color="auto"/>
                <w:left w:val="none" w:sz="0" w:space="0" w:color="auto"/>
                <w:bottom w:val="none" w:sz="0" w:space="0" w:color="auto"/>
                <w:right w:val="none" w:sz="0" w:space="0" w:color="auto"/>
              </w:divBdr>
              <w:divsChild>
                <w:div w:id="1981500817">
                  <w:marLeft w:val="0"/>
                  <w:marRight w:val="0"/>
                  <w:marTop w:val="0"/>
                  <w:marBottom w:val="0"/>
                  <w:divBdr>
                    <w:top w:val="none" w:sz="0" w:space="0" w:color="auto"/>
                    <w:left w:val="none" w:sz="0" w:space="0" w:color="auto"/>
                    <w:bottom w:val="none" w:sz="0" w:space="0" w:color="auto"/>
                    <w:right w:val="none" w:sz="0" w:space="0" w:color="auto"/>
                  </w:divBdr>
                  <w:divsChild>
                    <w:div w:id="1085373412">
                      <w:marLeft w:val="0"/>
                      <w:marRight w:val="0"/>
                      <w:marTop w:val="0"/>
                      <w:marBottom w:val="0"/>
                      <w:divBdr>
                        <w:top w:val="none" w:sz="0" w:space="0" w:color="auto"/>
                        <w:left w:val="none" w:sz="0" w:space="0" w:color="auto"/>
                        <w:bottom w:val="none" w:sz="0" w:space="0" w:color="auto"/>
                        <w:right w:val="none" w:sz="0" w:space="0" w:color="auto"/>
                      </w:divBdr>
                      <w:divsChild>
                        <w:div w:id="1125469565">
                          <w:marLeft w:val="0"/>
                          <w:marRight w:val="0"/>
                          <w:marTop w:val="0"/>
                          <w:marBottom w:val="0"/>
                          <w:divBdr>
                            <w:top w:val="none" w:sz="0" w:space="0" w:color="auto"/>
                            <w:left w:val="none" w:sz="0" w:space="0" w:color="auto"/>
                            <w:bottom w:val="none" w:sz="0" w:space="0" w:color="auto"/>
                            <w:right w:val="none" w:sz="0" w:space="0" w:color="auto"/>
                          </w:divBdr>
                          <w:divsChild>
                            <w:div w:id="1307080237">
                              <w:marLeft w:val="0"/>
                              <w:marRight w:val="0"/>
                              <w:marTop w:val="0"/>
                              <w:marBottom w:val="0"/>
                              <w:divBdr>
                                <w:top w:val="none" w:sz="0" w:space="0" w:color="auto"/>
                                <w:left w:val="none" w:sz="0" w:space="0" w:color="auto"/>
                                <w:bottom w:val="none" w:sz="0" w:space="0" w:color="auto"/>
                                <w:right w:val="none" w:sz="0" w:space="0" w:color="auto"/>
                              </w:divBdr>
                              <w:divsChild>
                                <w:div w:id="1143275679">
                                  <w:marLeft w:val="0"/>
                                  <w:marRight w:val="0"/>
                                  <w:marTop w:val="0"/>
                                  <w:marBottom w:val="0"/>
                                  <w:divBdr>
                                    <w:top w:val="none" w:sz="0" w:space="0" w:color="auto"/>
                                    <w:left w:val="none" w:sz="0" w:space="0" w:color="auto"/>
                                    <w:bottom w:val="none" w:sz="0" w:space="0" w:color="auto"/>
                                    <w:right w:val="none" w:sz="0" w:space="0" w:color="auto"/>
                                  </w:divBdr>
                                  <w:divsChild>
                                    <w:div w:id="610553917">
                                      <w:marLeft w:val="0"/>
                                      <w:marRight w:val="0"/>
                                      <w:marTop w:val="0"/>
                                      <w:marBottom w:val="0"/>
                                      <w:divBdr>
                                        <w:top w:val="none" w:sz="0" w:space="0" w:color="auto"/>
                                        <w:left w:val="none" w:sz="0" w:space="0" w:color="auto"/>
                                        <w:bottom w:val="none" w:sz="0" w:space="0" w:color="auto"/>
                                        <w:right w:val="none" w:sz="0" w:space="0" w:color="auto"/>
                                      </w:divBdr>
                                      <w:divsChild>
                                        <w:div w:id="992217416">
                                          <w:marLeft w:val="0"/>
                                          <w:marRight w:val="0"/>
                                          <w:marTop w:val="0"/>
                                          <w:marBottom w:val="0"/>
                                          <w:divBdr>
                                            <w:top w:val="none" w:sz="0" w:space="0" w:color="auto"/>
                                            <w:left w:val="none" w:sz="0" w:space="0" w:color="auto"/>
                                            <w:bottom w:val="none" w:sz="0" w:space="0" w:color="auto"/>
                                            <w:right w:val="none" w:sz="0" w:space="0" w:color="auto"/>
                                          </w:divBdr>
                                          <w:divsChild>
                                            <w:div w:id="1977639277">
                                              <w:marLeft w:val="0"/>
                                              <w:marRight w:val="0"/>
                                              <w:marTop w:val="0"/>
                                              <w:marBottom w:val="0"/>
                                              <w:divBdr>
                                                <w:top w:val="single" w:sz="6" w:space="0" w:color="F5F5F5"/>
                                                <w:left w:val="single" w:sz="6" w:space="0" w:color="F5F5F5"/>
                                                <w:bottom w:val="single" w:sz="6" w:space="0" w:color="F5F5F5"/>
                                                <w:right w:val="single" w:sz="6" w:space="0" w:color="F5F5F5"/>
                                              </w:divBdr>
                                              <w:divsChild>
                                                <w:div w:id="2066757202">
                                                  <w:marLeft w:val="0"/>
                                                  <w:marRight w:val="0"/>
                                                  <w:marTop w:val="0"/>
                                                  <w:marBottom w:val="0"/>
                                                  <w:divBdr>
                                                    <w:top w:val="none" w:sz="0" w:space="0" w:color="auto"/>
                                                    <w:left w:val="none" w:sz="0" w:space="0" w:color="auto"/>
                                                    <w:bottom w:val="none" w:sz="0" w:space="0" w:color="auto"/>
                                                    <w:right w:val="none" w:sz="0" w:space="0" w:color="auto"/>
                                                  </w:divBdr>
                                                  <w:divsChild>
                                                    <w:div w:id="11768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872059">
      <w:bodyDiv w:val="1"/>
      <w:marLeft w:val="0"/>
      <w:marRight w:val="0"/>
      <w:marTop w:val="0"/>
      <w:marBottom w:val="0"/>
      <w:divBdr>
        <w:top w:val="none" w:sz="0" w:space="0" w:color="auto"/>
        <w:left w:val="none" w:sz="0" w:space="0" w:color="auto"/>
        <w:bottom w:val="none" w:sz="0" w:space="0" w:color="auto"/>
        <w:right w:val="none" w:sz="0" w:space="0" w:color="auto"/>
      </w:divBdr>
      <w:divsChild>
        <w:div w:id="2014526181">
          <w:marLeft w:val="0"/>
          <w:marRight w:val="0"/>
          <w:marTop w:val="0"/>
          <w:marBottom w:val="0"/>
          <w:divBdr>
            <w:top w:val="none" w:sz="0" w:space="0" w:color="auto"/>
            <w:left w:val="none" w:sz="0" w:space="0" w:color="auto"/>
            <w:bottom w:val="none" w:sz="0" w:space="0" w:color="auto"/>
            <w:right w:val="none" w:sz="0" w:space="0" w:color="auto"/>
          </w:divBdr>
          <w:divsChild>
            <w:div w:id="1739202785">
              <w:marLeft w:val="0"/>
              <w:marRight w:val="0"/>
              <w:marTop w:val="0"/>
              <w:marBottom w:val="0"/>
              <w:divBdr>
                <w:top w:val="none" w:sz="0" w:space="0" w:color="auto"/>
                <w:left w:val="none" w:sz="0" w:space="0" w:color="auto"/>
                <w:bottom w:val="none" w:sz="0" w:space="0" w:color="auto"/>
                <w:right w:val="none" w:sz="0" w:space="0" w:color="auto"/>
              </w:divBdr>
              <w:divsChild>
                <w:div w:id="1785726939">
                  <w:marLeft w:val="0"/>
                  <w:marRight w:val="0"/>
                  <w:marTop w:val="0"/>
                  <w:marBottom w:val="0"/>
                  <w:divBdr>
                    <w:top w:val="none" w:sz="0" w:space="0" w:color="auto"/>
                    <w:left w:val="none" w:sz="0" w:space="0" w:color="auto"/>
                    <w:bottom w:val="none" w:sz="0" w:space="0" w:color="auto"/>
                    <w:right w:val="none" w:sz="0" w:space="0" w:color="auto"/>
                  </w:divBdr>
                  <w:divsChild>
                    <w:div w:id="499203763">
                      <w:marLeft w:val="0"/>
                      <w:marRight w:val="0"/>
                      <w:marTop w:val="0"/>
                      <w:marBottom w:val="0"/>
                      <w:divBdr>
                        <w:top w:val="none" w:sz="0" w:space="0" w:color="auto"/>
                        <w:left w:val="none" w:sz="0" w:space="0" w:color="auto"/>
                        <w:bottom w:val="none" w:sz="0" w:space="0" w:color="auto"/>
                        <w:right w:val="none" w:sz="0" w:space="0" w:color="auto"/>
                      </w:divBdr>
                      <w:divsChild>
                        <w:div w:id="1814177061">
                          <w:marLeft w:val="0"/>
                          <w:marRight w:val="0"/>
                          <w:marTop w:val="0"/>
                          <w:marBottom w:val="0"/>
                          <w:divBdr>
                            <w:top w:val="none" w:sz="0" w:space="0" w:color="auto"/>
                            <w:left w:val="none" w:sz="0" w:space="0" w:color="auto"/>
                            <w:bottom w:val="none" w:sz="0" w:space="0" w:color="auto"/>
                            <w:right w:val="none" w:sz="0" w:space="0" w:color="auto"/>
                          </w:divBdr>
                          <w:divsChild>
                            <w:div w:id="985083073">
                              <w:marLeft w:val="0"/>
                              <w:marRight w:val="0"/>
                              <w:marTop w:val="0"/>
                              <w:marBottom w:val="0"/>
                              <w:divBdr>
                                <w:top w:val="none" w:sz="0" w:space="0" w:color="auto"/>
                                <w:left w:val="none" w:sz="0" w:space="0" w:color="auto"/>
                                <w:bottom w:val="none" w:sz="0" w:space="0" w:color="auto"/>
                                <w:right w:val="none" w:sz="0" w:space="0" w:color="auto"/>
                              </w:divBdr>
                              <w:divsChild>
                                <w:div w:id="2031443332">
                                  <w:marLeft w:val="0"/>
                                  <w:marRight w:val="0"/>
                                  <w:marTop w:val="0"/>
                                  <w:marBottom w:val="0"/>
                                  <w:divBdr>
                                    <w:top w:val="none" w:sz="0" w:space="0" w:color="auto"/>
                                    <w:left w:val="none" w:sz="0" w:space="0" w:color="auto"/>
                                    <w:bottom w:val="none" w:sz="0" w:space="0" w:color="auto"/>
                                    <w:right w:val="none" w:sz="0" w:space="0" w:color="auto"/>
                                  </w:divBdr>
                                  <w:divsChild>
                                    <w:div w:id="1238905002">
                                      <w:marLeft w:val="0"/>
                                      <w:marRight w:val="0"/>
                                      <w:marTop w:val="0"/>
                                      <w:marBottom w:val="0"/>
                                      <w:divBdr>
                                        <w:top w:val="none" w:sz="0" w:space="0" w:color="auto"/>
                                        <w:left w:val="none" w:sz="0" w:space="0" w:color="auto"/>
                                        <w:bottom w:val="none" w:sz="0" w:space="0" w:color="auto"/>
                                        <w:right w:val="none" w:sz="0" w:space="0" w:color="auto"/>
                                      </w:divBdr>
                                      <w:divsChild>
                                        <w:div w:id="1779988964">
                                          <w:marLeft w:val="0"/>
                                          <w:marRight w:val="0"/>
                                          <w:marTop w:val="0"/>
                                          <w:marBottom w:val="0"/>
                                          <w:divBdr>
                                            <w:top w:val="none" w:sz="0" w:space="0" w:color="auto"/>
                                            <w:left w:val="none" w:sz="0" w:space="0" w:color="auto"/>
                                            <w:bottom w:val="none" w:sz="0" w:space="0" w:color="auto"/>
                                            <w:right w:val="none" w:sz="0" w:space="0" w:color="auto"/>
                                          </w:divBdr>
                                          <w:divsChild>
                                            <w:div w:id="786780896">
                                              <w:marLeft w:val="0"/>
                                              <w:marRight w:val="0"/>
                                              <w:marTop w:val="0"/>
                                              <w:marBottom w:val="0"/>
                                              <w:divBdr>
                                                <w:top w:val="single" w:sz="6" w:space="0" w:color="F5F5F5"/>
                                                <w:left w:val="single" w:sz="6" w:space="0" w:color="F5F5F5"/>
                                                <w:bottom w:val="single" w:sz="6" w:space="0" w:color="F5F5F5"/>
                                                <w:right w:val="single" w:sz="6" w:space="0" w:color="F5F5F5"/>
                                              </w:divBdr>
                                              <w:divsChild>
                                                <w:div w:id="774128746">
                                                  <w:marLeft w:val="0"/>
                                                  <w:marRight w:val="0"/>
                                                  <w:marTop w:val="0"/>
                                                  <w:marBottom w:val="0"/>
                                                  <w:divBdr>
                                                    <w:top w:val="none" w:sz="0" w:space="0" w:color="auto"/>
                                                    <w:left w:val="none" w:sz="0" w:space="0" w:color="auto"/>
                                                    <w:bottom w:val="none" w:sz="0" w:space="0" w:color="auto"/>
                                                    <w:right w:val="none" w:sz="0" w:space="0" w:color="auto"/>
                                                  </w:divBdr>
                                                  <w:divsChild>
                                                    <w:div w:id="6937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379982">
      <w:bodyDiv w:val="1"/>
      <w:marLeft w:val="0"/>
      <w:marRight w:val="0"/>
      <w:marTop w:val="0"/>
      <w:marBottom w:val="0"/>
      <w:divBdr>
        <w:top w:val="none" w:sz="0" w:space="0" w:color="auto"/>
        <w:left w:val="none" w:sz="0" w:space="0" w:color="auto"/>
        <w:bottom w:val="none" w:sz="0" w:space="0" w:color="auto"/>
        <w:right w:val="none" w:sz="0" w:space="0" w:color="auto"/>
      </w:divBdr>
    </w:div>
    <w:div w:id="1798909327">
      <w:bodyDiv w:val="1"/>
      <w:marLeft w:val="0"/>
      <w:marRight w:val="0"/>
      <w:marTop w:val="0"/>
      <w:marBottom w:val="0"/>
      <w:divBdr>
        <w:top w:val="none" w:sz="0" w:space="0" w:color="auto"/>
        <w:left w:val="none" w:sz="0" w:space="0" w:color="auto"/>
        <w:bottom w:val="none" w:sz="0" w:space="0" w:color="auto"/>
        <w:right w:val="none" w:sz="0" w:space="0" w:color="auto"/>
      </w:divBdr>
    </w:div>
    <w:div w:id="1806464341">
      <w:bodyDiv w:val="1"/>
      <w:marLeft w:val="0"/>
      <w:marRight w:val="0"/>
      <w:marTop w:val="0"/>
      <w:marBottom w:val="0"/>
      <w:divBdr>
        <w:top w:val="none" w:sz="0" w:space="0" w:color="auto"/>
        <w:left w:val="none" w:sz="0" w:space="0" w:color="auto"/>
        <w:bottom w:val="none" w:sz="0" w:space="0" w:color="auto"/>
        <w:right w:val="none" w:sz="0" w:space="0" w:color="auto"/>
      </w:divBdr>
      <w:divsChild>
        <w:div w:id="586040387">
          <w:marLeft w:val="0"/>
          <w:marRight w:val="0"/>
          <w:marTop w:val="0"/>
          <w:marBottom w:val="0"/>
          <w:divBdr>
            <w:top w:val="none" w:sz="0" w:space="0" w:color="auto"/>
            <w:left w:val="none" w:sz="0" w:space="0" w:color="auto"/>
            <w:bottom w:val="none" w:sz="0" w:space="0" w:color="auto"/>
            <w:right w:val="none" w:sz="0" w:space="0" w:color="auto"/>
          </w:divBdr>
          <w:divsChild>
            <w:div w:id="139738982">
              <w:marLeft w:val="0"/>
              <w:marRight w:val="0"/>
              <w:marTop w:val="0"/>
              <w:marBottom w:val="0"/>
              <w:divBdr>
                <w:top w:val="none" w:sz="0" w:space="0" w:color="auto"/>
                <w:left w:val="none" w:sz="0" w:space="0" w:color="auto"/>
                <w:bottom w:val="none" w:sz="0" w:space="0" w:color="auto"/>
                <w:right w:val="none" w:sz="0" w:space="0" w:color="auto"/>
              </w:divBdr>
              <w:divsChild>
                <w:div w:id="980231761">
                  <w:marLeft w:val="0"/>
                  <w:marRight w:val="0"/>
                  <w:marTop w:val="0"/>
                  <w:marBottom w:val="0"/>
                  <w:divBdr>
                    <w:top w:val="none" w:sz="0" w:space="0" w:color="auto"/>
                    <w:left w:val="none" w:sz="0" w:space="0" w:color="auto"/>
                    <w:bottom w:val="none" w:sz="0" w:space="0" w:color="auto"/>
                    <w:right w:val="none" w:sz="0" w:space="0" w:color="auto"/>
                  </w:divBdr>
                  <w:divsChild>
                    <w:div w:id="770469313">
                      <w:marLeft w:val="0"/>
                      <w:marRight w:val="0"/>
                      <w:marTop w:val="0"/>
                      <w:marBottom w:val="0"/>
                      <w:divBdr>
                        <w:top w:val="none" w:sz="0" w:space="0" w:color="auto"/>
                        <w:left w:val="none" w:sz="0" w:space="0" w:color="auto"/>
                        <w:bottom w:val="none" w:sz="0" w:space="0" w:color="auto"/>
                        <w:right w:val="none" w:sz="0" w:space="0" w:color="auto"/>
                      </w:divBdr>
                      <w:divsChild>
                        <w:div w:id="1283341024">
                          <w:marLeft w:val="0"/>
                          <w:marRight w:val="0"/>
                          <w:marTop w:val="0"/>
                          <w:marBottom w:val="0"/>
                          <w:divBdr>
                            <w:top w:val="none" w:sz="0" w:space="0" w:color="auto"/>
                            <w:left w:val="none" w:sz="0" w:space="0" w:color="auto"/>
                            <w:bottom w:val="none" w:sz="0" w:space="0" w:color="auto"/>
                            <w:right w:val="none" w:sz="0" w:space="0" w:color="auto"/>
                          </w:divBdr>
                          <w:divsChild>
                            <w:div w:id="553854354">
                              <w:marLeft w:val="0"/>
                              <w:marRight w:val="0"/>
                              <w:marTop w:val="240"/>
                              <w:marBottom w:val="0"/>
                              <w:divBdr>
                                <w:top w:val="none" w:sz="0" w:space="0" w:color="auto"/>
                                <w:left w:val="none" w:sz="0" w:space="0" w:color="auto"/>
                                <w:bottom w:val="none" w:sz="0" w:space="0" w:color="auto"/>
                                <w:right w:val="none" w:sz="0" w:space="0" w:color="auto"/>
                              </w:divBdr>
                            </w:div>
                            <w:div w:id="807943214">
                              <w:marLeft w:val="0"/>
                              <w:marRight w:val="0"/>
                              <w:marTop w:val="240"/>
                              <w:marBottom w:val="525"/>
                              <w:divBdr>
                                <w:top w:val="none" w:sz="0" w:space="0" w:color="auto"/>
                                <w:left w:val="none" w:sz="0" w:space="0" w:color="auto"/>
                                <w:bottom w:val="none" w:sz="0" w:space="0" w:color="auto"/>
                                <w:right w:val="none" w:sz="0" w:space="0" w:color="auto"/>
                              </w:divBdr>
                              <w:divsChild>
                                <w:div w:id="2015454360">
                                  <w:marLeft w:val="0"/>
                                  <w:marRight w:val="0"/>
                                  <w:marTop w:val="0"/>
                                  <w:marBottom w:val="0"/>
                                  <w:divBdr>
                                    <w:top w:val="none" w:sz="0" w:space="0" w:color="auto"/>
                                    <w:left w:val="none" w:sz="0" w:space="0" w:color="auto"/>
                                    <w:bottom w:val="none" w:sz="0" w:space="0" w:color="auto"/>
                                    <w:right w:val="none" w:sz="0" w:space="0" w:color="auto"/>
                                  </w:divBdr>
                                </w:div>
                              </w:divsChild>
                            </w:div>
                            <w:div w:id="1002858267">
                              <w:marLeft w:val="0"/>
                              <w:marRight w:val="0"/>
                              <w:marTop w:val="0"/>
                              <w:marBottom w:val="0"/>
                              <w:divBdr>
                                <w:top w:val="none" w:sz="0" w:space="0" w:color="auto"/>
                                <w:left w:val="none" w:sz="0" w:space="0" w:color="auto"/>
                                <w:bottom w:val="none" w:sz="0" w:space="0" w:color="auto"/>
                                <w:right w:val="none" w:sz="0" w:space="0" w:color="auto"/>
                              </w:divBdr>
                              <w:divsChild>
                                <w:div w:id="1621182277">
                                  <w:marLeft w:val="0"/>
                                  <w:marRight w:val="0"/>
                                  <w:marTop w:val="0"/>
                                  <w:marBottom w:val="0"/>
                                  <w:divBdr>
                                    <w:top w:val="none" w:sz="0" w:space="0" w:color="auto"/>
                                    <w:left w:val="none" w:sz="0" w:space="0" w:color="auto"/>
                                    <w:bottom w:val="none" w:sz="0" w:space="0" w:color="auto"/>
                                    <w:right w:val="none" w:sz="0" w:space="0" w:color="auto"/>
                                  </w:divBdr>
                                  <w:divsChild>
                                    <w:div w:id="1668627896">
                                      <w:marLeft w:val="0"/>
                                      <w:marRight w:val="0"/>
                                      <w:marTop w:val="0"/>
                                      <w:marBottom w:val="0"/>
                                      <w:divBdr>
                                        <w:top w:val="none" w:sz="0" w:space="0" w:color="auto"/>
                                        <w:left w:val="none" w:sz="0" w:space="0" w:color="auto"/>
                                        <w:bottom w:val="none" w:sz="0" w:space="0" w:color="auto"/>
                                        <w:right w:val="none" w:sz="0" w:space="0" w:color="auto"/>
                                      </w:divBdr>
                                      <w:divsChild>
                                        <w:div w:id="1368679764">
                                          <w:marLeft w:val="0"/>
                                          <w:marRight w:val="0"/>
                                          <w:marTop w:val="0"/>
                                          <w:marBottom w:val="0"/>
                                          <w:divBdr>
                                            <w:top w:val="none" w:sz="0" w:space="0" w:color="auto"/>
                                            <w:left w:val="none" w:sz="0" w:space="0" w:color="auto"/>
                                            <w:bottom w:val="none" w:sz="0" w:space="0" w:color="auto"/>
                                            <w:right w:val="none" w:sz="0" w:space="0" w:color="auto"/>
                                          </w:divBdr>
                                          <w:divsChild>
                                            <w:div w:id="170611831">
                                              <w:marLeft w:val="0"/>
                                              <w:marRight w:val="0"/>
                                              <w:marTop w:val="0"/>
                                              <w:marBottom w:val="0"/>
                                              <w:divBdr>
                                                <w:top w:val="single" w:sz="6" w:space="0" w:color="F5F5F5"/>
                                                <w:left w:val="single" w:sz="6" w:space="0" w:color="F5F5F5"/>
                                                <w:bottom w:val="single" w:sz="6" w:space="0" w:color="F5F5F5"/>
                                                <w:right w:val="single" w:sz="6" w:space="0" w:color="F5F5F5"/>
                                              </w:divBdr>
                                              <w:divsChild>
                                                <w:div w:id="390156991">
                                                  <w:marLeft w:val="0"/>
                                                  <w:marRight w:val="0"/>
                                                  <w:marTop w:val="0"/>
                                                  <w:marBottom w:val="0"/>
                                                  <w:divBdr>
                                                    <w:top w:val="none" w:sz="0" w:space="0" w:color="auto"/>
                                                    <w:left w:val="none" w:sz="0" w:space="0" w:color="auto"/>
                                                    <w:bottom w:val="none" w:sz="0" w:space="0" w:color="auto"/>
                                                    <w:right w:val="none" w:sz="0" w:space="0" w:color="auto"/>
                                                  </w:divBdr>
                                                  <w:divsChild>
                                                    <w:div w:id="1196506580">
                                                      <w:marLeft w:val="0"/>
                                                      <w:marRight w:val="0"/>
                                                      <w:marTop w:val="0"/>
                                                      <w:marBottom w:val="0"/>
                                                      <w:divBdr>
                                                        <w:top w:val="none" w:sz="0" w:space="0" w:color="auto"/>
                                                        <w:left w:val="none" w:sz="0" w:space="0" w:color="auto"/>
                                                        <w:bottom w:val="none" w:sz="0" w:space="0" w:color="auto"/>
                                                        <w:right w:val="none" w:sz="0" w:space="0" w:color="auto"/>
                                                      </w:divBdr>
                                                      <w:divsChild>
                                                        <w:div w:id="1892693034">
                                                          <w:marLeft w:val="0"/>
                                                          <w:marRight w:val="120"/>
                                                          <w:marTop w:val="90"/>
                                                          <w:marBottom w:val="0"/>
                                                          <w:divBdr>
                                                            <w:top w:val="none" w:sz="0" w:space="0" w:color="auto"/>
                                                            <w:left w:val="none" w:sz="0" w:space="0" w:color="auto"/>
                                                            <w:bottom w:val="none" w:sz="0" w:space="0" w:color="auto"/>
                                                            <w:right w:val="none" w:sz="0" w:space="0" w:color="auto"/>
                                                          </w:divBdr>
                                                        </w:div>
                                                      </w:divsChild>
                                                    </w:div>
                                                    <w:div w:id="1684280211">
                                                      <w:marLeft w:val="0"/>
                                                      <w:marRight w:val="0"/>
                                                      <w:marTop w:val="0"/>
                                                      <w:marBottom w:val="0"/>
                                                      <w:divBdr>
                                                        <w:top w:val="none" w:sz="0" w:space="0" w:color="auto"/>
                                                        <w:left w:val="none" w:sz="0" w:space="0" w:color="auto"/>
                                                        <w:bottom w:val="none" w:sz="0" w:space="0" w:color="auto"/>
                                                        <w:right w:val="none" w:sz="0" w:space="0" w:color="auto"/>
                                                      </w:divBdr>
                                                      <w:divsChild>
                                                        <w:div w:id="6407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5076">
                                                  <w:marLeft w:val="0"/>
                                                  <w:marRight w:val="0"/>
                                                  <w:marTop w:val="0"/>
                                                  <w:marBottom w:val="0"/>
                                                  <w:divBdr>
                                                    <w:top w:val="none" w:sz="0" w:space="0" w:color="auto"/>
                                                    <w:left w:val="none" w:sz="0" w:space="0" w:color="auto"/>
                                                    <w:bottom w:val="none" w:sz="0" w:space="0" w:color="auto"/>
                                                    <w:right w:val="none" w:sz="0" w:space="0" w:color="auto"/>
                                                  </w:divBdr>
                                                  <w:divsChild>
                                                    <w:div w:id="14855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44552">
                                              <w:marLeft w:val="0"/>
                                              <w:marRight w:val="0"/>
                                              <w:marTop w:val="0"/>
                                              <w:marBottom w:val="0"/>
                                              <w:divBdr>
                                                <w:top w:val="none" w:sz="0" w:space="0" w:color="auto"/>
                                                <w:left w:val="none" w:sz="0" w:space="0" w:color="auto"/>
                                                <w:bottom w:val="none" w:sz="0" w:space="0" w:color="auto"/>
                                                <w:right w:val="none" w:sz="0" w:space="0" w:color="auto"/>
                                              </w:divBdr>
                                            </w:div>
                                            <w:div w:id="1816792947">
                                              <w:marLeft w:val="0"/>
                                              <w:marRight w:val="0"/>
                                              <w:marTop w:val="240"/>
                                              <w:marBottom w:val="0"/>
                                              <w:divBdr>
                                                <w:top w:val="single" w:sz="6" w:space="6" w:color="EBEBEB"/>
                                                <w:left w:val="single" w:sz="6" w:space="6" w:color="EBEBEB"/>
                                                <w:bottom w:val="single" w:sz="6" w:space="6" w:color="EBEBEB"/>
                                                <w:right w:val="single" w:sz="6" w:space="6" w:color="EBEBEB"/>
                                              </w:divBdr>
                                              <w:divsChild>
                                                <w:div w:id="1143935640">
                                                  <w:marLeft w:val="0"/>
                                                  <w:marRight w:val="0"/>
                                                  <w:marTop w:val="0"/>
                                                  <w:marBottom w:val="0"/>
                                                  <w:divBdr>
                                                    <w:top w:val="none" w:sz="0" w:space="0" w:color="auto"/>
                                                    <w:left w:val="none" w:sz="0" w:space="0" w:color="auto"/>
                                                    <w:bottom w:val="none" w:sz="0" w:space="0" w:color="auto"/>
                                                    <w:right w:val="none" w:sz="0" w:space="0" w:color="auto"/>
                                                  </w:divBdr>
                                                  <w:divsChild>
                                                    <w:div w:id="462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32">
                                              <w:marLeft w:val="0"/>
                                              <w:marRight w:val="0"/>
                                              <w:marTop w:val="0"/>
                                              <w:marBottom w:val="0"/>
                                              <w:divBdr>
                                                <w:top w:val="none" w:sz="0" w:space="0" w:color="auto"/>
                                                <w:left w:val="none" w:sz="0" w:space="0" w:color="auto"/>
                                                <w:bottom w:val="none" w:sz="0" w:space="0" w:color="auto"/>
                                                <w:right w:val="none" w:sz="0" w:space="0" w:color="auto"/>
                                              </w:divBdr>
                                              <w:divsChild>
                                                <w:div w:id="540476603">
                                                  <w:marLeft w:val="0"/>
                                                  <w:marRight w:val="0"/>
                                                  <w:marTop w:val="180"/>
                                                  <w:marBottom w:val="0"/>
                                                  <w:divBdr>
                                                    <w:top w:val="single" w:sz="6" w:space="0" w:color="EBEBEB"/>
                                                    <w:left w:val="single" w:sz="6" w:space="0" w:color="EBEBEB"/>
                                                    <w:bottom w:val="single" w:sz="6" w:space="0" w:color="EBEBEB"/>
                                                    <w:right w:val="single" w:sz="6" w:space="0" w:color="EBEBEB"/>
                                                  </w:divBdr>
                                                  <w:divsChild>
                                                    <w:div w:id="165829716">
                                                      <w:marLeft w:val="0"/>
                                                      <w:marRight w:val="0"/>
                                                      <w:marTop w:val="0"/>
                                                      <w:marBottom w:val="0"/>
                                                      <w:divBdr>
                                                        <w:top w:val="none" w:sz="0" w:space="0" w:color="auto"/>
                                                        <w:left w:val="none" w:sz="0" w:space="0" w:color="auto"/>
                                                        <w:bottom w:val="none" w:sz="0" w:space="0" w:color="auto"/>
                                                        <w:right w:val="none" w:sz="0" w:space="0" w:color="auto"/>
                                                      </w:divBdr>
                                                      <w:divsChild>
                                                        <w:div w:id="1867981256">
                                                          <w:marLeft w:val="0"/>
                                                          <w:marRight w:val="0"/>
                                                          <w:marTop w:val="0"/>
                                                          <w:marBottom w:val="0"/>
                                                          <w:divBdr>
                                                            <w:top w:val="none" w:sz="0" w:space="0" w:color="auto"/>
                                                            <w:left w:val="none" w:sz="0" w:space="0" w:color="auto"/>
                                                            <w:bottom w:val="none" w:sz="0" w:space="0" w:color="auto"/>
                                                            <w:right w:val="none" w:sz="0" w:space="0" w:color="auto"/>
                                                          </w:divBdr>
                                                          <w:divsChild>
                                                            <w:div w:id="5918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6966">
                                                      <w:marLeft w:val="0"/>
                                                      <w:marRight w:val="0"/>
                                                      <w:marTop w:val="0"/>
                                                      <w:marBottom w:val="0"/>
                                                      <w:divBdr>
                                                        <w:top w:val="none" w:sz="0" w:space="0" w:color="auto"/>
                                                        <w:left w:val="none" w:sz="0" w:space="0" w:color="auto"/>
                                                        <w:bottom w:val="none" w:sz="0" w:space="0" w:color="auto"/>
                                                        <w:right w:val="none" w:sz="0" w:space="0" w:color="auto"/>
                                                      </w:divBdr>
                                                      <w:divsChild>
                                                        <w:div w:id="9911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6623">
                                              <w:marLeft w:val="0"/>
                                              <w:marRight w:val="0"/>
                                              <w:marTop w:val="0"/>
                                              <w:marBottom w:val="0"/>
                                              <w:divBdr>
                                                <w:top w:val="none" w:sz="0" w:space="0" w:color="auto"/>
                                                <w:left w:val="none" w:sz="0" w:space="0" w:color="auto"/>
                                                <w:bottom w:val="none" w:sz="0" w:space="0" w:color="auto"/>
                                                <w:right w:val="none" w:sz="0" w:space="0" w:color="auto"/>
                                              </w:divBdr>
                                              <w:divsChild>
                                                <w:div w:id="27263847">
                                                  <w:marLeft w:val="0"/>
                                                  <w:marRight w:val="0"/>
                                                  <w:marTop w:val="0"/>
                                                  <w:marBottom w:val="0"/>
                                                  <w:divBdr>
                                                    <w:top w:val="none" w:sz="0" w:space="0" w:color="auto"/>
                                                    <w:left w:val="none" w:sz="0" w:space="0" w:color="auto"/>
                                                    <w:bottom w:val="none" w:sz="0" w:space="0" w:color="auto"/>
                                                    <w:right w:val="none" w:sz="0" w:space="0" w:color="auto"/>
                                                  </w:divBdr>
                                                </w:div>
                                                <w:div w:id="32316951">
                                                  <w:marLeft w:val="0"/>
                                                  <w:marRight w:val="0"/>
                                                  <w:marTop w:val="0"/>
                                                  <w:marBottom w:val="0"/>
                                                  <w:divBdr>
                                                    <w:top w:val="none" w:sz="0" w:space="0" w:color="auto"/>
                                                    <w:left w:val="none" w:sz="0" w:space="0" w:color="auto"/>
                                                    <w:bottom w:val="none" w:sz="0" w:space="0" w:color="auto"/>
                                                    <w:right w:val="none" w:sz="0" w:space="0" w:color="auto"/>
                                                  </w:divBdr>
                                                </w:div>
                                                <w:div w:id="167058702">
                                                  <w:marLeft w:val="0"/>
                                                  <w:marRight w:val="0"/>
                                                  <w:marTop w:val="0"/>
                                                  <w:marBottom w:val="0"/>
                                                  <w:divBdr>
                                                    <w:top w:val="none" w:sz="0" w:space="0" w:color="auto"/>
                                                    <w:left w:val="none" w:sz="0" w:space="0" w:color="auto"/>
                                                    <w:bottom w:val="none" w:sz="0" w:space="0" w:color="auto"/>
                                                    <w:right w:val="none" w:sz="0" w:space="0" w:color="auto"/>
                                                  </w:divBdr>
                                                </w:div>
                                                <w:div w:id="170728958">
                                                  <w:marLeft w:val="0"/>
                                                  <w:marRight w:val="0"/>
                                                  <w:marTop w:val="0"/>
                                                  <w:marBottom w:val="0"/>
                                                  <w:divBdr>
                                                    <w:top w:val="none" w:sz="0" w:space="0" w:color="auto"/>
                                                    <w:left w:val="none" w:sz="0" w:space="0" w:color="auto"/>
                                                    <w:bottom w:val="none" w:sz="0" w:space="0" w:color="auto"/>
                                                    <w:right w:val="none" w:sz="0" w:space="0" w:color="auto"/>
                                                  </w:divBdr>
                                                </w:div>
                                                <w:div w:id="284389013">
                                                  <w:marLeft w:val="0"/>
                                                  <w:marRight w:val="0"/>
                                                  <w:marTop w:val="0"/>
                                                  <w:marBottom w:val="0"/>
                                                  <w:divBdr>
                                                    <w:top w:val="none" w:sz="0" w:space="0" w:color="auto"/>
                                                    <w:left w:val="none" w:sz="0" w:space="0" w:color="auto"/>
                                                    <w:bottom w:val="none" w:sz="0" w:space="0" w:color="auto"/>
                                                    <w:right w:val="none" w:sz="0" w:space="0" w:color="auto"/>
                                                  </w:divBdr>
                                                </w:div>
                                                <w:div w:id="332683045">
                                                  <w:marLeft w:val="0"/>
                                                  <w:marRight w:val="0"/>
                                                  <w:marTop w:val="0"/>
                                                  <w:marBottom w:val="0"/>
                                                  <w:divBdr>
                                                    <w:top w:val="none" w:sz="0" w:space="0" w:color="auto"/>
                                                    <w:left w:val="none" w:sz="0" w:space="0" w:color="auto"/>
                                                    <w:bottom w:val="none" w:sz="0" w:space="0" w:color="auto"/>
                                                    <w:right w:val="none" w:sz="0" w:space="0" w:color="auto"/>
                                                  </w:divBdr>
                                                </w:div>
                                                <w:div w:id="573668285">
                                                  <w:marLeft w:val="0"/>
                                                  <w:marRight w:val="0"/>
                                                  <w:marTop w:val="0"/>
                                                  <w:marBottom w:val="0"/>
                                                  <w:divBdr>
                                                    <w:top w:val="none" w:sz="0" w:space="0" w:color="auto"/>
                                                    <w:left w:val="none" w:sz="0" w:space="0" w:color="auto"/>
                                                    <w:bottom w:val="none" w:sz="0" w:space="0" w:color="auto"/>
                                                    <w:right w:val="none" w:sz="0" w:space="0" w:color="auto"/>
                                                  </w:divBdr>
                                                </w:div>
                                                <w:div w:id="583226514">
                                                  <w:marLeft w:val="0"/>
                                                  <w:marRight w:val="0"/>
                                                  <w:marTop w:val="0"/>
                                                  <w:marBottom w:val="0"/>
                                                  <w:divBdr>
                                                    <w:top w:val="none" w:sz="0" w:space="0" w:color="auto"/>
                                                    <w:left w:val="none" w:sz="0" w:space="0" w:color="auto"/>
                                                    <w:bottom w:val="none" w:sz="0" w:space="0" w:color="auto"/>
                                                    <w:right w:val="none" w:sz="0" w:space="0" w:color="auto"/>
                                                  </w:divBdr>
                                                </w:div>
                                                <w:div w:id="641927009">
                                                  <w:marLeft w:val="0"/>
                                                  <w:marRight w:val="0"/>
                                                  <w:marTop w:val="0"/>
                                                  <w:marBottom w:val="0"/>
                                                  <w:divBdr>
                                                    <w:top w:val="none" w:sz="0" w:space="0" w:color="auto"/>
                                                    <w:left w:val="none" w:sz="0" w:space="0" w:color="auto"/>
                                                    <w:bottom w:val="none" w:sz="0" w:space="0" w:color="auto"/>
                                                    <w:right w:val="none" w:sz="0" w:space="0" w:color="auto"/>
                                                  </w:divBdr>
                                                </w:div>
                                                <w:div w:id="896087527">
                                                  <w:marLeft w:val="0"/>
                                                  <w:marRight w:val="0"/>
                                                  <w:marTop w:val="0"/>
                                                  <w:marBottom w:val="0"/>
                                                  <w:divBdr>
                                                    <w:top w:val="none" w:sz="0" w:space="0" w:color="auto"/>
                                                    <w:left w:val="none" w:sz="0" w:space="0" w:color="auto"/>
                                                    <w:bottom w:val="none" w:sz="0" w:space="0" w:color="auto"/>
                                                    <w:right w:val="none" w:sz="0" w:space="0" w:color="auto"/>
                                                  </w:divBdr>
                                                </w:div>
                                                <w:div w:id="1459251892">
                                                  <w:marLeft w:val="0"/>
                                                  <w:marRight w:val="0"/>
                                                  <w:marTop w:val="0"/>
                                                  <w:marBottom w:val="0"/>
                                                  <w:divBdr>
                                                    <w:top w:val="none" w:sz="0" w:space="0" w:color="auto"/>
                                                    <w:left w:val="none" w:sz="0" w:space="0" w:color="auto"/>
                                                    <w:bottom w:val="none" w:sz="0" w:space="0" w:color="auto"/>
                                                    <w:right w:val="none" w:sz="0" w:space="0" w:color="auto"/>
                                                  </w:divBdr>
                                                </w:div>
                                                <w:div w:id="1707750307">
                                                  <w:marLeft w:val="0"/>
                                                  <w:marRight w:val="0"/>
                                                  <w:marTop w:val="0"/>
                                                  <w:marBottom w:val="0"/>
                                                  <w:divBdr>
                                                    <w:top w:val="none" w:sz="0" w:space="0" w:color="auto"/>
                                                    <w:left w:val="none" w:sz="0" w:space="0" w:color="auto"/>
                                                    <w:bottom w:val="none" w:sz="0" w:space="0" w:color="auto"/>
                                                    <w:right w:val="none" w:sz="0" w:space="0" w:color="auto"/>
                                                  </w:divBdr>
                                                </w:div>
                                                <w:div w:id="17666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005924">
              <w:marLeft w:val="0"/>
              <w:marRight w:val="0"/>
              <w:marTop w:val="0"/>
              <w:marBottom w:val="0"/>
              <w:divBdr>
                <w:top w:val="single" w:sz="6" w:space="31" w:color="F0C36D"/>
                <w:left w:val="single" w:sz="6" w:space="31" w:color="F0C36D"/>
                <w:bottom w:val="single" w:sz="6" w:space="31" w:color="F0C36D"/>
                <w:right w:val="single" w:sz="6" w:space="31" w:color="F0C36D"/>
              </w:divBdr>
            </w:div>
            <w:div w:id="1059592105">
              <w:marLeft w:val="0"/>
              <w:marRight w:val="0"/>
              <w:marTop w:val="0"/>
              <w:marBottom w:val="0"/>
              <w:divBdr>
                <w:top w:val="single" w:sz="6" w:space="31" w:color="F0C36D"/>
                <w:left w:val="single" w:sz="6" w:space="31" w:color="F0C36D"/>
                <w:bottom w:val="single" w:sz="6" w:space="31" w:color="F0C36D"/>
                <w:right w:val="single" w:sz="6" w:space="31" w:color="F0C36D"/>
              </w:divBdr>
            </w:div>
            <w:div w:id="1158034405">
              <w:marLeft w:val="0"/>
              <w:marRight w:val="0"/>
              <w:marTop w:val="0"/>
              <w:marBottom w:val="0"/>
              <w:divBdr>
                <w:top w:val="single" w:sz="6" w:space="31" w:color="F0C36D"/>
                <w:left w:val="single" w:sz="6" w:space="31" w:color="F0C36D"/>
                <w:bottom w:val="single" w:sz="6" w:space="31" w:color="F0C36D"/>
                <w:right w:val="single" w:sz="6" w:space="31" w:color="F0C36D"/>
              </w:divBdr>
            </w:div>
            <w:div w:id="1626498960">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809517236">
      <w:bodyDiv w:val="1"/>
      <w:marLeft w:val="0"/>
      <w:marRight w:val="0"/>
      <w:marTop w:val="0"/>
      <w:marBottom w:val="0"/>
      <w:divBdr>
        <w:top w:val="none" w:sz="0" w:space="0" w:color="auto"/>
        <w:left w:val="none" w:sz="0" w:space="0" w:color="auto"/>
        <w:bottom w:val="none" w:sz="0" w:space="0" w:color="auto"/>
        <w:right w:val="none" w:sz="0" w:space="0" w:color="auto"/>
      </w:divBdr>
    </w:div>
    <w:div w:id="1809588000">
      <w:bodyDiv w:val="1"/>
      <w:marLeft w:val="0"/>
      <w:marRight w:val="0"/>
      <w:marTop w:val="0"/>
      <w:marBottom w:val="0"/>
      <w:divBdr>
        <w:top w:val="none" w:sz="0" w:space="0" w:color="auto"/>
        <w:left w:val="none" w:sz="0" w:space="0" w:color="auto"/>
        <w:bottom w:val="none" w:sz="0" w:space="0" w:color="auto"/>
        <w:right w:val="none" w:sz="0" w:space="0" w:color="auto"/>
      </w:divBdr>
    </w:div>
    <w:div w:id="1810704678">
      <w:bodyDiv w:val="1"/>
      <w:marLeft w:val="0"/>
      <w:marRight w:val="0"/>
      <w:marTop w:val="0"/>
      <w:marBottom w:val="0"/>
      <w:divBdr>
        <w:top w:val="none" w:sz="0" w:space="0" w:color="auto"/>
        <w:left w:val="none" w:sz="0" w:space="0" w:color="auto"/>
        <w:bottom w:val="none" w:sz="0" w:space="0" w:color="auto"/>
        <w:right w:val="none" w:sz="0" w:space="0" w:color="auto"/>
      </w:divBdr>
    </w:div>
    <w:div w:id="1813449148">
      <w:bodyDiv w:val="1"/>
      <w:marLeft w:val="0"/>
      <w:marRight w:val="0"/>
      <w:marTop w:val="0"/>
      <w:marBottom w:val="0"/>
      <w:divBdr>
        <w:top w:val="none" w:sz="0" w:space="0" w:color="auto"/>
        <w:left w:val="none" w:sz="0" w:space="0" w:color="auto"/>
        <w:bottom w:val="none" w:sz="0" w:space="0" w:color="auto"/>
        <w:right w:val="none" w:sz="0" w:space="0" w:color="auto"/>
      </w:divBdr>
    </w:div>
    <w:div w:id="1840077728">
      <w:bodyDiv w:val="1"/>
      <w:marLeft w:val="0"/>
      <w:marRight w:val="0"/>
      <w:marTop w:val="0"/>
      <w:marBottom w:val="0"/>
      <w:divBdr>
        <w:top w:val="none" w:sz="0" w:space="0" w:color="auto"/>
        <w:left w:val="none" w:sz="0" w:space="0" w:color="auto"/>
        <w:bottom w:val="none" w:sz="0" w:space="0" w:color="auto"/>
        <w:right w:val="none" w:sz="0" w:space="0" w:color="auto"/>
      </w:divBdr>
    </w:div>
    <w:div w:id="1848402728">
      <w:bodyDiv w:val="1"/>
      <w:marLeft w:val="0"/>
      <w:marRight w:val="0"/>
      <w:marTop w:val="0"/>
      <w:marBottom w:val="0"/>
      <w:divBdr>
        <w:top w:val="none" w:sz="0" w:space="0" w:color="auto"/>
        <w:left w:val="none" w:sz="0" w:space="0" w:color="auto"/>
        <w:bottom w:val="none" w:sz="0" w:space="0" w:color="auto"/>
        <w:right w:val="none" w:sz="0" w:space="0" w:color="auto"/>
      </w:divBdr>
    </w:div>
    <w:div w:id="1850175826">
      <w:bodyDiv w:val="1"/>
      <w:marLeft w:val="0"/>
      <w:marRight w:val="0"/>
      <w:marTop w:val="0"/>
      <w:marBottom w:val="0"/>
      <w:divBdr>
        <w:top w:val="none" w:sz="0" w:space="0" w:color="auto"/>
        <w:left w:val="none" w:sz="0" w:space="0" w:color="auto"/>
        <w:bottom w:val="none" w:sz="0" w:space="0" w:color="auto"/>
        <w:right w:val="none" w:sz="0" w:space="0" w:color="auto"/>
      </w:divBdr>
    </w:div>
    <w:div w:id="1851480666">
      <w:bodyDiv w:val="1"/>
      <w:marLeft w:val="0"/>
      <w:marRight w:val="0"/>
      <w:marTop w:val="0"/>
      <w:marBottom w:val="0"/>
      <w:divBdr>
        <w:top w:val="none" w:sz="0" w:space="0" w:color="auto"/>
        <w:left w:val="none" w:sz="0" w:space="0" w:color="auto"/>
        <w:bottom w:val="none" w:sz="0" w:space="0" w:color="auto"/>
        <w:right w:val="none" w:sz="0" w:space="0" w:color="auto"/>
      </w:divBdr>
      <w:divsChild>
        <w:div w:id="158739138">
          <w:marLeft w:val="0"/>
          <w:marRight w:val="0"/>
          <w:marTop w:val="0"/>
          <w:marBottom w:val="0"/>
          <w:divBdr>
            <w:top w:val="none" w:sz="0" w:space="0" w:color="auto"/>
            <w:left w:val="none" w:sz="0" w:space="0" w:color="auto"/>
            <w:bottom w:val="none" w:sz="0" w:space="0" w:color="auto"/>
            <w:right w:val="none" w:sz="0" w:space="0" w:color="auto"/>
          </w:divBdr>
        </w:div>
      </w:divsChild>
    </w:div>
    <w:div w:id="1851990081">
      <w:bodyDiv w:val="1"/>
      <w:marLeft w:val="0"/>
      <w:marRight w:val="0"/>
      <w:marTop w:val="0"/>
      <w:marBottom w:val="0"/>
      <w:divBdr>
        <w:top w:val="none" w:sz="0" w:space="0" w:color="auto"/>
        <w:left w:val="none" w:sz="0" w:space="0" w:color="auto"/>
        <w:bottom w:val="none" w:sz="0" w:space="0" w:color="auto"/>
        <w:right w:val="none" w:sz="0" w:space="0" w:color="auto"/>
      </w:divBdr>
    </w:div>
    <w:div w:id="1857309241">
      <w:bodyDiv w:val="1"/>
      <w:marLeft w:val="0"/>
      <w:marRight w:val="0"/>
      <w:marTop w:val="0"/>
      <w:marBottom w:val="0"/>
      <w:divBdr>
        <w:top w:val="none" w:sz="0" w:space="0" w:color="auto"/>
        <w:left w:val="none" w:sz="0" w:space="0" w:color="auto"/>
        <w:bottom w:val="none" w:sz="0" w:space="0" w:color="auto"/>
        <w:right w:val="none" w:sz="0" w:space="0" w:color="auto"/>
      </w:divBdr>
      <w:divsChild>
        <w:div w:id="279918765">
          <w:marLeft w:val="0"/>
          <w:marRight w:val="0"/>
          <w:marTop w:val="0"/>
          <w:marBottom w:val="0"/>
          <w:divBdr>
            <w:top w:val="none" w:sz="0" w:space="0" w:color="auto"/>
            <w:left w:val="none" w:sz="0" w:space="0" w:color="auto"/>
            <w:bottom w:val="none" w:sz="0" w:space="0" w:color="auto"/>
            <w:right w:val="none" w:sz="0" w:space="0" w:color="auto"/>
          </w:divBdr>
          <w:divsChild>
            <w:div w:id="472984076">
              <w:marLeft w:val="0"/>
              <w:marRight w:val="0"/>
              <w:marTop w:val="0"/>
              <w:marBottom w:val="0"/>
              <w:divBdr>
                <w:top w:val="none" w:sz="0" w:space="0" w:color="auto"/>
                <w:left w:val="none" w:sz="0" w:space="0" w:color="auto"/>
                <w:bottom w:val="none" w:sz="0" w:space="0" w:color="auto"/>
                <w:right w:val="none" w:sz="0" w:space="0" w:color="auto"/>
              </w:divBdr>
              <w:divsChild>
                <w:div w:id="1684897318">
                  <w:marLeft w:val="0"/>
                  <w:marRight w:val="0"/>
                  <w:marTop w:val="0"/>
                  <w:marBottom w:val="0"/>
                  <w:divBdr>
                    <w:top w:val="none" w:sz="0" w:space="0" w:color="auto"/>
                    <w:left w:val="none" w:sz="0" w:space="0" w:color="auto"/>
                    <w:bottom w:val="none" w:sz="0" w:space="0" w:color="auto"/>
                    <w:right w:val="none" w:sz="0" w:space="0" w:color="auto"/>
                  </w:divBdr>
                  <w:divsChild>
                    <w:div w:id="1996058157">
                      <w:marLeft w:val="0"/>
                      <w:marRight w:val="0"/>
                      <w:marTop w:val="0"/>
                      <w:marBottom w:val="0"/>
                      <w:divBdr>
                        <w:top w:val="none" w:sz="0" w:space="0" w:color="auto"/>
                        <w:left w:val="none" w:sz="0" w:space="0" w:color="auto"/>
                        <w:bottom w:val="none" w:sz="0" w:space="0" w:color="auto"/>
                        <w:right w:val="none" w:sz="0" w:space="0" w:color="auto"/>
                      </w:divBdr>
                      <w:divsChild>
                        <w:div w:id="534585960">
                          <w:marLeft w:val="0"/>
                          <w:marRight w:val="0"/>
                          <w:marTop w:val="0"/>
                          <w:marBottom w:val="0"/>
                          <w:divBdr>
                            <w:top w:val="none" w:sz="0" w:space="0" w:color="auto"/>
                            <w:left w:val="none" w:sz="0" w:space="0" w:color="auto"/>
                            <w:bottom w:val="none" w:sz="0" w:space="0" w:color="auto"/>
                            <w:right w:val="none" w:sz="0" w:space="0" w:color="auto"/>
                          </w:divBdr>
                          <w:divsChild>
                            <w:div w:id="1621691507">
                              <w:marLeft w:val="0"/>
                              <w:marRight w:val="0"/>
                              <w:marTop w:val="0"/>
                              <w:marBottom w:val="0"/>
                              <w:divBdr>
                                <w:top w:val="none" w:sz="0" w:space="0" w:color="auto"/>
                                <w:left w:val="none" w:sz="0" w:space="0" w:color="auto"/>
                                <w:bottom w:val="none" w:sz="0" w:space="0" w:color="auto"/>
                                <w:right w:val="none" w:sz="0" w:space="0" w:color="auto"/>
                              </w:divBdr>
                              <w:divsChild>
                                <w:div w:id="1455641148">
                                  <w:marLeft w:val="0"/>
                                  <w:marRight w:val="0"/>
                                  <w:marTop w:val="0"/>
                                  <w:marBottom w:val="0"/>
                                  <w:divBdr>
                                    <w:top w:val="none" w:sz="0" w:space="0" w:color="auto"/>
                                    <w:left w:val="none" w:sz="0" w:space="0" w:color="auto"/>
                                    <w:bottom w:val="none" w:sz="0" w:space="0" w:color="auto"/>
                                    <w:right w:val="none" w:sz="0" w:space="0" w:color="auto"/>
                                  </w:divBdr>
                                  <w:divsChild>
                                    <w:div w:id="1149512836">
                                      <w:marLeft w:val="0"/>
                                      <w:marRight w:val="0"/>
                                      <w:marTop w:val="0"/>
                                      <w:marBottom w:val="0"/>
                                      <w:divBdr>
                                        <w:top w:val="none" w:sz="0" w:space="0" w:color="auto"/>
                                        <w:left w:val="none" w:sz="0" w:space="0" w:color="auto"/>
                                        <w:bottom w:val="none" w:sz="0" w:space="0" w:color="auto"/>
                                        <w:right w:val="none" w:sz="0" w:space="0" w:color="auto"/>
                                      </w:divBdr>
                                      <w:divsChild>
                                        <w:div w:id="140926033">
                                          <w:marLeft w:val="0"/>
                                          <w:marRight w:val="0"/>
                                          <w:marTop w:val="0"/>
                                          <w:marBottom w:val="0"/>
                                          <w:divBdr>
                                            <w:top w:val="none" w:sz="0" w:space="0" w:color="auto"/>
                                            <w:left w:val="none" w:sz="0" w:space="0" w:color="auto"/>
                                            <w:bottom w:val="none" w:sz="0" w:space="0" w:color="auto"/>
                                            <w:right w:val="none" w:sz="0" w:space="0" w:color="auto"/>
                                          </w:divBdr>
                                          <w:divsChild>
                                            <w:div w:id="1462916676">
                                              <w:marLeft w:val="0"/>
                                              <w:marRight w:val="0"/>
                                              <w:marTop w:val="0"/>
                                              <w:marBottom w:val="0"/>
                                              <w:divBdr>
                                                <w:top w:val="single" w:sz="6" w:space="0" w:color="F5F5F5"/>
                                                <w:left w:val="single" w:sz="6" w:space="0" w:color="F5F5F5"/>
                                                <w:bottom w:val="single" w:sz="6" w:space="0" w:color="F5F5F5"/>
                                                <w:right w:val="single" w:sz="6" w:space="0" w:color="F5F5F5"/>
                                              </w:divBdr>
                                              <w:divsChild>
                                                <w:div w:id="869608053">
                                                  <w:marLeft w:val="0"/>
                                                  <w:marRight w:val="0"/>
                                                  <w:marTop w:val="0"/>
                                                  <w:marBottom w:val="0"/>
                                                  <w:divBdr>
                                                    <w:top w:val="none" w:sz="0" w:space="0" w:color="auto"/>
                                                    <w:left w:val="none" w:sz="0" w:space="0" w:color="auto"/>
                                                    <w:bottom w:val="none" w:sz="0" w:space="0" w:color="auto"/>
                                                    <w:right w:val="none" w:sz="0" w:space="0" w:color="auto"/>
                                                  </w:divBdr>
                                                  <w:divsChild>
                                                    <w:div w:id="9689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7844776">
      <w:bodyDiv w:val="1"/>
      <w:marLeft w:val="0"/>
      <w:marRight w:val="0"/>
      <w:marTop w:val="0"/>
      <w:marBottom w:val="0"/>
      <w:divBdr>
        <w:top w:val="none" w:sz="0" w:space="0" w:color="auto"/>
        <w:left w:val="none" w:sz="0" w:space="0" w:color="auto"/>
        <w:bottom w:val="none" w:sz="0" w:space="0" w:color="auto"/>
        <w:right w:val="none" w:sz="0" w:space="0" w:color="auto"/>
      </w:divBdr>
    </w:div>
    <w:div w:id="1862165461">
      <w:bodyDiv w:val="1"/>
      <w:marLeft w:val="0"/>
      <w:marRight w:val="0"/>
      <w:marTop w:val="0"/>
      <w:marBottom w:val="0"/>
      <w:divBdr>
        <w:top w:val="none" w:sz="0" w:space="0" w:color="auto"/>
        <w:left w:val="none" w:sz="0" w:space="0" w:color="auto"/>
        <w:bottom w:val="none" w:sz="0" w:space="0" w:color="auto"/>
        <w:right w:val="none" w:sz="0" w:space="0" w:color="auto"/>
      </w:divBdr>
    </w:div>
    <w:div w:id="1865942558">
      <w:bodyDiv w:val="1"/>
      <w:marLeft w:val="0"/>
      <w:marRight w:val="0"/>
      <w:marTop w:val="0"/>
      <w:marBottom w:val="0"/>
      <w:divBdr>
        <w:top w:val="none" w:sz="0" w:space="0" w:color="auto"/>
        <w:left w:val="none" w:sz="0" w:space="0" w:color="auto"/>
        <w:bottom w:val="none" w:sz="0" w:space="0" w:color="auto"/>
        <w:right w:val="none" w:sz="0" w:space="0" w:color="auto"/>
      </w:divBdr>
    </w:div>
    <w:div w:id="1866358785">
      <w:bodyDiv w:val="1"/>
      <w:marLeft w:val="0"/>
      <w:marRight w:val="0"/>
      <w:marTop w:val="0"/>
      <w:marBottom w:val="0"/>
      <w:divBdr>
        <w:top w:val="none" w:sz="0" w:space="0" w:color="auto"/>
        <w:left w:val="none" w:sz="0" w:space="0" w:color="auto"/>
        <w:bottom w:val="none" w:sz="0" w:space="0" w:color="auto"/>
        <w:right w:val="none" w:sz="0" w:space="0" w:color="auto"/>
      </w:divBdr>
    </w:div>
    <w:div w:id="1867282487">
      <w:bodyDiv w:val="1"/>
      <w:marLeft w:val="0"/>
      <w:marRight w:val="0"/>
      <w:marTop w:val="0"/>
      <w:marBottom w:val="0"/>
      <w:divBdr>
        <w:top w:val="none" w:sz="0" w:space="0" w:color="auto"/>
        <w:left w:val="none" w:sz="0" w:space="0" w:color="auto"/>
        <w:bottom w:val="none" w:sz="0" w:space="0" w:color="auto"/>
        <w:right w:val="none" w:sz="0" w:space="0" w:color="auto"/>
      </w:divBdr>
    </w:div>
    <w:div w:id="1867714207">
      <w:bodyDiv w:val="1"/>
      <w:marLeft w:val="0"/>
      <w:marRight w:val="0"/>
      <w:marTop w:val="0"/>
      <w:marBottom w:val="0"/>
      <w:divBdr>
        <w:top w:val="none" w:sz="0" w:space="0" w:color="auto"/>
        <w:left w:val="none" w:sz="0" w:space="0" w:color="auto"/>
        <w:bottom w:val="none" w:sz="0" w:space="0" w:color="auto"/>
        <w:right w:val="none" w:sz="0" w:space="0" w:color="auto"/>
      </w:divBdr>
    </w:div>
    <w:div w:id="1872766382">
      <w:bodyDiv w:val="1"/>
      <w:marLeft w:val="0"/>
      <w:marRight w:val="0"/>
      <w:marTop w:val="0"/>
      <w:marBottom w:val="0"/>
      <w:divBdr>
        <w:top w:val="none" w:sz="0" w:space="0" w:color="auto"/>
        <w:left w:val="none" w:sz="0" w:space="0" w:color="auto"/>
        <w:bottom w:val="none" w:sz="0" w:space="0" w:color="auto"/>
        <w:right w:val="none" w:sz="0" w:space="0" w:color="auto"/>
      </w:divBdr>
    </w:div>
    <w:div w:id="1876116802">
      <w:bodyDiv w:val="1"/>
      <w:marLeft w:val="0"/>
      <w:marRight w:val="0"/>
      <w:marTop w:val="0"/>
      <w:marBottom w:val="0"/>
      <w:divBdr>
        <w:top w:val="none" w:sz="0" w:space="0" w:color="auto"/>
        <w:left w:val="none" w:sz="0" w:space="0" w:color="auto"/>
        <w:bottom w:val="none" w:sz="0" w:space="0" w:color="auto"/>
        <w:right w:val="none" w:sz="0" w:space="0" w:color="auto"/>
      </w:divBdr>
    </w:div>
    <w:div w:id="1877084434">
      <w:bodyDiv w:val="1"/>
      <w:marLeft w:val="0"/>
      <w:marRight w:val="0"/>
      <w:marTop w:val="0"/>
      <w:marBottom w:val="0"/>
      <w:divBdr>
        <w:top w:val="none" w:sz="0" w:space="0" w:color="auto"/>
        <w:left w:val="none" w:sz="0" w:space="0" w:color="auto"/>
        <w:bottom w:val="none" w:sz="0" w:space="0" w:color="auto"/>
        <w:right w:val="none" w:sz="0" w:space="0" w:color="auto"/>
      </w:divBdr>
    </w:div>
    <w:div w:id="1877162570">
      <w:bodyDiv w:val="1"/>
      <w:marLeft w:val="0"/>
      <w:marRight w:val="0"/>
      <w:marTop w:val="0"/>
      <w:marBottom w:val="0"/>
      <w:divBdr>
        <w:top w:val="none" w:sz="0" w:space="0" w:color="auto"/>
        <w:left w:val="none" w:sz="0" w:space="0" w:color="auto"/>
        <w:bottom w:val="none" w:sz="0" w:space="0" w:color="auto"/>
        <w:right w:val="none" w:sz="0" w:space="0" w:color="auto"/>
      </w:divBdr>
    </w:div>
    <w:div w:id="1880820986">
      <w:bodyDiv w:val="1"/>
      <w:marLeft w:val="0"/>
      <w:marRight w:val="0"/>
      <w:marTop w:val="0"/>
      <w:marBottom w:val="0"/>
      <w:divBdr>
        <w:top w:val="none" w:sz="0" w:space="0" w:color="auto"/>
        <w:left w:val="none" w:sz="0" w:space="0" w:color="auto"/>
        <w:bottom w:val="none" w:sz="0" w:space="0" w:color="auto"/>
        <w:right w:val="none" w:sz="0" w:space="0" w:color="auto"/>
      </w:divBdr>
    </w:div>
    <w:div w:id="1883401159">
      <w:bodyDiv w:val="1"/>
      <w:marLeft w:val="0"/>
      <w:marRight w:val="0"/>
      <w:marTop w:val="0"/>
      <w:marBottom w:val="0"/>
      <w:divBdr>
        <w:top w:val="none" w:sz="0" w:space="0" w:color="auto"/>
        <w:left w:val="none" w:sz="0" w:space="0" w:color="auto"/>
        <w:bottom w:val="none" w:sz="0" w:space="0" w:color="auto"/>
        <w:right w:val="none" w:sz="0" w:space="0" w:color="auto"/>
      </w:divBdr>
      <w:divsChild>
        <w:div w:id="1320188072">
          <w:marLeft w:val="0"/>
          <w:marRight w:val="0"/>
          <w:marTop w:val="0"/>
          <w:marBottom w:val="0"/>
          <w:divBdr>
            <w:top w:val="none" w:sz="0" w:space="0" w:color="auto"/>
            <w:left w:val="none" w:sz="0" w:space="0" w:color="auto"/>
            <w:bottom w:val="none" w:sz="0" w:space="0" w:color="auto"/>
            <w:right w:val="none" w:sz="0" w:space="0" w:color="auto"/>
          </w:divBdr>
          <w:divsChild>
            <w:div w:id="2100559914">
              <w:marLeft w:val="0"/>
              <w:marRight w:val="0"/>
              <w:marTop w:val="0"/>
              <w:marBottom w:val="0"/>
              <w:divBdr>
                <w:top w:val="none" w:sz="0" w:space="0" w:color="auto"/>
                <w:left w:val="none" w:sz="0" w:space="0" w:color="auto"/>
                <w:bottom w:val="none" w:sz="0" w:space="0" w:color="auto"/>
                <w:right w:val="none" w:sz="0" w:space="0" w:color="auto"/>
              </w:divBdr>
              <w:divsChild>
                <w:div w:id="2139950488">
                  <w:marLeft w:val="0"/>
                  <w:marRight w:val="0"/>
                  <w:marTop w:val="0"/>
                  <w:marBottom w:val="0"/>
                  <w:divBdr>
                    <w:top w:val="none" w:sz="0" w:space="0" w:color="auto"/>
                    <w:left w:val="none" w:sz="0" w:space="0" w:color="auto"/>
                    <w:bottom w:val="none" w:sz="0" w:space="0" w:color="auto"/>
                    <w:right w:val="none" w:sz="0" w:space="0" w:color="auto"/>
                  </w:divBdr>
                  <w:divsChild>
                    <w:div w:id="1701511448">
                      <w:marLeft w:val="0"/>
                      <w:marRight w:val="0"/>
                      <w:marTop w:val="0"/>
                      <w:marBottom w:val="0"/>
                      <w:divBdr>
                        <w:top w:val="none" w:sz="0" w:space="0" w:color="auto"/>
                        <w:left w:val="none" w:sz="0" w:space="0" w:color="auto"/>
                        <w:bottom w:val="none" w:sz="0" w:space="0" w:color="auto"/>
                        <w:right w:val="none" w:sz="0" w:space="0" w:color="auto"/>
                      </w:divBdr>
                      <w:divsChild>
                        <w:div w:id="31274988">
                          <w:marLeft w:val="0"/>
                          <w:marRight w:val="0"/>
                          <w:marTop w:val="0"/>
                          <w:marBottom w:val="0"/>
                          <w:divBdr>
                            <w:top w:val="none" w:sz="0" w:space="0" w:color="auto"/>
                            <w:left w:val="none" w:sz="0" w:space="0" w:color="auto"/>
                            <w:bottom w:val="none" w:sz="0" w:space="0" w:color="auto"/>
                            <w:right w:val="none" w:sz="0" w:space="0" w:color="auto"/>
                          </w:divBdr>
                          <w:divsChild>
                            <w:div w:id="11225323">
                              <w:marLeft w:val="0"/>
                              <w:marRight w:val="0"/>
                              <w:marTop w:val="0"/>
                              <w:marBottom w:val="0"/>
                              <w:divBdr>
                                <w:top w:val="none" w:sz="0" w:space="0" w:color="auto"/>
                                <w:left w:val="none" w:sz="0" w:space="0" w:color="auto"/>
                                <w:bottom w:val="none" w:sz="0" w:space="0" w:color="auto"/>
                                <w:right w:val="none" w:sz="0" w:space="0" w:color="auto"/>
                              </w:divBdr>
                              <w:divsChild>
                                <w:div w:id="1560432225">
                                  <w:marLeft w:val="0"/>
                                  <w:marRight w:val="0"/>
                                  <w:marTop w:val="0"/>
                                  <w:marBottom w:val="0"/>
                                  <w:divBdr>
                                    <w:top w:val="none" w:sz="0" w:space="0" w:color="auto"/>
                                    <w:left w:val="none" w:sz="0" w:space="0" w:color="auto"/>
                                    <w:bottom w:val="none" w:sz="0" w:space="0" w:color="auto"/>
                                    <w:right w:val="none" w:sz="0" w:space="0" w:color="auto"/>
                                  </w:divBdr>
                                  <w:divsChild>
                                    <w:div w:id="268590723">
                                      <w:marLeft w:val="0"/>
                                      <w:marRight w:val="0"/>
                                      <w:marTop w:val="0"/>
                                      <w:marBottom w:val="0"/>
                                      <w:divBdr>
                                        <w:top w:val="none" w:sz="0" w:space="0" w:color="auto"/>
                                        <w:left w:val="none" w:sz="0" w:space="0" w:color="auto"/>
                                        <w:bottom w:val="none" w:sz="0" w:space="0" w:color="auto"/>
                                        <w:right w:val="none" w:sz="0" w:space="0" w:color="auto"/>
                                      </w:divBdr>
                                      <w:divsChild>
                                        <w:div w:id="257446147">
                                          <w:marLeft w:val="0"/>
                                          <w:marRight w:val="0"/>
                                          <w:marTop w:val="0"/>
                                          <w:marBottom w:val="0"/>
                                          <w:divBdr>
                                            <w:top w:val="none" w:sz="0" w:space="0" w:color="auto"/>
                                            <w:left w:val="none" w:sz="0" w:space="0" w:color="auto"/>
                                            <w:bottom w:val="none" w:sz="0" w:space="0" w:color="auto"/>
                                            <w:right w:val="none" w:sz="0" w:space="0" w:color="auto"/>
                                          </w:divBdr>
                                          <w:divsChild>
                                            <w:div w:id="855188943">
                                              <w:marLeft w:val="0"/>
                                              <w:marRight w:val="0"/>
                                              <w:marTop w:val="0"/>
                                              <w:marBottom w:val="0"/>
                                              <w:divBdr>
                                                <w:top w:val="single" w:sz="6" w:space="0" w:color="F5F5F5"/>
                                                <w:left w:val="single" w:sz="6" w:space="0" w:color="F5F5F5"/>
                                                <w:bottom w:val="single" w:sz="6" w:space="0" w:color="F5F5F5"/>
                                                <w:right w:val="single" w:sz="6" w:space="0" w:color="F5F5F5"/>
                                              </w:divBdr>
                                              <w:divsChild>
                                                <w:div w:id="1233388919">
                                                  <w:marLeft w:val="0"/>
                                                  <w:marRight w:val="0"/>
                                                  <w:marTop w:val="0"/>
                                                  <w:marBottom w:val="0"/>
                                                  <w:divBdr>
                                                    <w:top w:val="none" w:sz="0" w:space="0" w:color="auto"/>
                                                    <w:left w:val="none" w:sz="0" w:space="0" w:color="auto"/>
                                                    <w:bottom w:val="none" w:sz="0" w:space="0" w:color="auto"/>
                                                    <w:right w:val="none" w:sz="0" w:space="0" w:color="auto"/>
                                                  </w:divBdr>
                                                  <w:divsChild>
                                                    <w:div w:id="13088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893417921">
      <w:bodyDiv w:val="1"/>
      <w:marLeft w:val="0"/>
      <w:marRight w:val="0"/>
      <w:marTop w:val="0"/>
      <w:marBottom w:val="0"/>
      <w:divBdr>
        <w:top w:val="none" w:sz="0" w:space="0" w:color="auto"/>
        <w:left w:val="none" w:sz="0" w:space="0" w:color="auto"/>
        <w:bottom w:val="none" w:sz="0" w:space="0" w:color="auto"/>
        <w:right w:val="none" w:sz="0" w:space="0" w:color="auto"/>
      </w:divBdr>
      <w:divsChild>
        <w:div w:id="930238075">
          <w:marLeft w:val="0"/>
          <w:marRight w:val="0"/>
          <w:marTop w:val="0"/>
          <w:marBottom w:val="0"/>
          <w:divBdr>
            <w:top w:val="none" w:sz="0" w:space="0" w:color="auto"/>
            <w:left w:val="none" w:sz="0" w:space="0" w:color="auto"/>
            <w:bottom w:val="none" w:sz="0" w:space="0" w:color="auto"/>
            <w:right w:val="none" w:sz="0" w:space="0" w:color="auto"/>
          </w:divBdr>
          <w:divsChild>
            <w:div w:id="263726518">
              <w:marLeft w:val="0"/>
              <w:marRight w:val="0"/>
              <w:marTop w:val="0"/>
              <w:marBottom w:val="0"/>
              <w:divBdr>
                <w:top w:val="none" w:sz="0" w:space="0" w:color="auto"/>
                <w:left w:val="none" w:sz="0" w:space="0" w:color="auto"/>
                <w:bottom w:val="none" w:sz="0" w:space="0" w:color="auto"/>
                <w:right w:val="none" w:sz="0" w:space="0" w:color="auto"/>
              </w:divBdr>
              <w:divsChild>
                <w:div w:id="467405218">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sChild>
                        <w:div w:id="1243370080">
                          <w:marLeft w:val="0"/>
                          <w:marRight w:val="0"/>
                          <w:marTop w:val="0"/>
                          <w:marBottom w:val="0"/>
                          <w:divBdr>
                            <w:top w:val="none" w:sz="0" w:space="0" w:color="auto"/>
                            <w:left w:val="none" w:sz="0" w:space="0" w:color="auto"/>
                            <w:bottom w:val="none" w:sz="0" w:space="0" w:color="auto"/>
                            <w:right w:val="none" w:sz="0" w:space="0" w:color="auto"/>
                          </w:divBdr>
                          <w:divsChild>
                            <w:div w:id="1614707269">
                              <w:marLeft w:val="0"/>
                              <w:marRight w:val="0"/>
                              <w:marTop w:val="0"/>
                              <w:marBottom w:val="0"/>
                              <w:divBdr>
                                <w:top w:val="none" w:sz="0" w:space="0" w:color="auto"/>
                                <w:left w:val="none" w:sz="0" w:space="0" w:color="auto"/>
                                <w:bottom w:val="none" w:sz="0" w:space="0" w:color="auto"/>
                                <w:right w:val="none" w:sz="0" w:space="0" w:color="auto"/>
                              </w:divBdr>
                              <w:divsChild>
                                <w:div w:id="528763765">
                                  <w:marLeft w:val="0"/>
                                  <w:marRight w:val="0"/>
                                  <w:marTop w:val="0"/>
                                  <w:marBottom w:val="0"/>
                                  <w:divBdr>
                                    <w:top w:val="none" w:sz="0" w:space="0" w:color="auto"/>
                                    <w:left w:val="none" w:sz="0" w:space="0" w:color="auto"/>
                                    <w:bottom w:val="none" w:sz="0" w:space="0" w:color="auto"/>
                                    <w:right w:val="none" w:sz="0" w:space="0" w:color="auto"/>
                                  </w:divBdr>
                                  <w:divsChild>
                                    <w:div w:id="629288380">
                                      <w:marLeft w:val="0"/>
                                      <w:marRight w:val="0"/>
                                      <w:marTop w:val="0"/>
                                      <w:marBottom w:val="0"/>
                                      <w:divBdr>
                                        <w:top w:val="none" w:sz="0" w:space="0" w:color="auto"/>
                                        <w:left w:val="none" w:sz="0" w:space="0" w:color="auto"/>
                                        <w:bottom w:val="none" w:sz="0" w:space="0" w:color="auto"/>
                                        <w:right w:val="none" w:sz="0" w:space="0" w:color="auto"/>
                                      </w:divBdr>
                                      <w:divsChild>
                                        <w:div w:id="970020681">
                                          <w:marLeft w:val="0"/>
                                          <w:marRight w:val="0"/>
                                          <w:marTop w:val="0"/>
                                          <w:marBottom w:val="0"/>
                                          <w:divBdr>
                                            <w:top w:val="none" w:sz="0" w:space="0" w:color="auto"/>
                                            <w:left w:val="none" w:sz="0" w:space="0" w:color="auto"/>
                                            <w:bottom w:val="none" w:sz="0" w:space="0" w:color="auto"/>
                                            <w:right w:val="none" w:sz="0" w:space="0" w:color="auto"/>
                                          </w:divBdr>
                                          <w:divsChild>
                                            <w:div w:id="165950476">
                                              <w:marLeft w:val="0"/>
                                              <w:marRight w:val="0"/>
                                              <w:marTop w:val="0"/>
                                              <w:marBottom w:val="0"/>
                                              <w:divBdr>
                                                <w:top w:val="single" w:sz="6" w:space="0" w:color="F5F5F5"/>
                                                <w:left w:val="single" w:sz="6" w:space="0" w:color="F5F5F5"/>
                                                <w:bottom w:val="single" w:sz="6" w:space="0" w:color="F5F5F5"/>
                                                <w:right w:val="single" w:sz="6" w:space="0" w:color="F5F5F5"/>
                                              </w:divBdr>
                                              <w:divsChild>
                                                <w:div w:id="574779964">
                                                  <w:marLeft w:val="0"/>
                                                  <w:marRight w:val="0"/>
                                                  <w:marTop w:val="0"/>
                                                  <w:marBottom w:val="0"/>
                                                  <w:divBdr>
                                                    <w:top w:val="none" w:sz="0" w:space="0" w:color="auto"/>
                                                    <w:left w:val="none" w:sz="0" w:space="0" w:color="auto"/>
                                                    <w:bottom w:val="none" w:sz="0" w:space="0" w:color="auto"/>
                                                    <w:right w:val="none" w:sz="0" w:space="0" w:color="auto"/>
                                                  </w:divBdr>
                                                  <w:divsChild>
                                                    <w:div w:id="608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384806">
      <w:bodyDiv w:val="1"/>
      <w:marLeft w:val="0"/>
      <w:marRight w:val="0"/>
      <w:marTop w:val="0"/>
      <w:marBottom w:val="0"/>
      <w:divBdr>
        <w:top w:val="none" w:sz="0" w:space="0" w:color="auto"/>
        <w:left w:val="none" w:sz="0" w:space="0" w:color="auto"/>
        <w:bottom w:val="none" w:sz="0" w:space="0" w:color="auto"/>
        <w:right w:val="none" w:sz="0" w:space="0" w:color="auto"/>
      </w:divBdr>
    </w:div>
    <w:div w:id="1898200389">
      <w:bodyDiv w:val="1"/>
      <w:marLeft w:val="0"/>
      <w:marRight w:val="0"/>
      <w:marTop w:val="0"/>
      <w:marBottom w:val="0"/>
      <w:divBdr>
        <w:top w:val="none" w:sz="0" w:space="0" w:color="auto"/>
        <w:left w:val="none" w:sz="0" w:space="0" w:color="auto"/>
        <w:bottom w:val="none" w:sz="0" w:space="0" w:color="auto"/>
        <w:right w:val="none" w:sz="0" w:space="0" w:color="auto"/>
      </w:divBdr>
    </w:div>
    <w:div w:id="1898777008">
      <w:bodyDiv w:val="1"/>
      <w:marLeft w:val="0"/>
      <w:marRight w:val="0"/>
      <w:marTop w:val="0"/>
      <w:marBottom w:val="0"/>
      <w:divBdr>
        <w:top w:val="none" w:sz="0" w:space="0" w:color="auto"/>
        <w:left w:val="none" w:sz="0" w:space="0" w:color="auto"/>
        <w:bottom w:val="none" w:sz="0" w:space="0" w:color="auto"/>
        <w:right w:val="none" w:sz="0" w:space="0" w:color="auto"/>
      </w:divBdr>
    </w:div>
    <w:div w:id="1899441458">
      <w:bodyDiv w:val="1"/>
      <w:marLeft w:val="0"/>
      <w:marRight w:val="0"/>
      <w:marTop w:val="0"/>
      <w:marBottom w:val="0"/>
      <w:divBdr>
        <w:top w:val="none" w:sz="0" w:space="0" w:color="auto"/>
        <w:left w:val="none" w:sz="0" w:space="0" w:color="auto"/>
        <w:bottom w:val="none" w:sz="0" w:space="0" w:color="auto"/>
        <w:right w:val="none" w:sz="0" w:space="0" w:color="auto"/>
      </w:divBdr>
    </w:div>
    <w:div w:id="1912734680">
      <w:bodyDiv w:val="1"/>
      <w:marLeft w:val="0"/>
      <w:marRight w:val="0"/>
      <w:marTop w:val="0"/>
      <w:marBottom w:val="0"/>
      <w:divBdr>
        <w:top w:val="none" w:sz="0" w:space="0" w:color="auto"/>
        <w:left w:val="none" w:sz="0" w:space="0" w:color="auto"/>
        <w:bottom w:val="none" w:sz="0" w:space="0" w:color="auto"/>
        <w:right w:val="none" w:sz="0" w:space="0" w:color="auto"/>
      </w:divBdr>
    </w:div>
    <w:div w:id="1922175817">
      <w:bodyDiv w:val="1"/>
      <w:marLeft w:val="0"/>
      <w:marRight w:val="0"/>
      <w:marTop w:val="0"/>
      <w:marBottom w:val="0"/>
      <w:divBdr>
        <w:top w:val="none" w:sz="0" w:space="0" w:color="auto"/>
        <w:left w:val="none" w:sz="0" w:space="0" w:color="auto"/>
        <w:bottom w:val="none" w:sz="0" w:space="0" w:color="auto"/>
        <w:right w:val="none" w:sz="0" w:space="0" w:color="auto"/>
      </w:divBdr>
    </w:div>
    <w:div w:id="1927834985">
      <w:bodyDiv w:val="1"/>
      <w:marLeft w:val="0"/>
      <w:marRight w:val="0"/>
      <w:marTop w:val="0"/>
      <w:marBottom w:val="0"/>
      <w:divBdr>
        <w:top w:val="none" w:sz="0" w:space="0" w:color="auto"/>
        <w:left w:val="none" w:sz="0" w:space="0" w:color="auto"/>
        <w:bottom w:val="none" w:sz="0" w:space="0" w:color="auto"/>
        <w:right w:val="none" w:sz="0" w:space="0" w:color="auto"/>
      </w:divBdr>
    </w:div>
    <w:div w:id="1938252026">
      <w:bodyDiv w:val="1"/>
      <w:marLeft w:val="0"/>
      <w:marRight w:val="0"/>
      <w:marTop w:val="0"/>
      <w:marBottom w:val="0"/>
      <w:divBdr>
        <w:top w:val="none" w:sz="0" w:space="0" w:color="auto"/>
        <w:left w:val="none" w:sz="0" w:space="0" w:color="auto"/>
        <w:bottom w:val="none" w:sz="0" w:space="0" w:color="auto"/>
        <w:right w:val="none" w:sz="0" w:space="0" w:color="auto"/>
      </w:divBdr>
    </w:div>
    <w:div w:id="1946227777">
      <w:bodyDiv w:val="1"/>
      <w:marLeft w:val="0"/>
      <w:marRight w:val="0"/>
      <w:marTop w:val="0"/>
      <w:marBottom w:val="0"/>
      <w:divBdr>
        <w:top w:val="none" w:sz="0" w:space="0" w:color="auto"/>
        <w:left w:val="none" w:sz="0" w:space="0" w:color="auto"/>
        <w:bottom w:val="none" w:sz="0" w:space="0" w:color="auto"/>
        <w:right w:val="none" w:sz="0" w:space="0" w:color="auto"/>
      </w:divBdr>
    </w:div>
    <w:div w:id="1950354840">
      <w:bodyDiv w:val="1"/>
      <w:marLeft w:val="0"/>
      <w:marRight w:val="0"/>
      <w:marTop w:val="0"/>
      <w:marBottom w:val="0"/>
      <w:divBdr>
        <w:top w:val="none" w:sz="0" w:space="0" w:color="auto"/>
        <w:left w:val="none" w:sz="0" w:space="0" w:color="auto"/>
        <w:bottom w:val="none" w:sz="0" w:space="0" w:color="auto"/>
        <w:right w:val="none" w:sz="0" w:space="0" w:color="auto"/>
      </w:divBdr>
    </w:div>
    <w:div w:id="1954439455">
      <w:bodyDiv w:val="1"/>
      <w:marLeft w:val="0"/>
      <w:marRight w:val="0"/>
      <w:marTop w:val="0"/>
      <w:marBottom w:val="0"/>
      <w:divBdr>
        <w:top w:val="none" w:sz="0" w:space="0" w:color="auto"/>
        <w:left w:val="none" w:sz="0" w:space="0" w:color="auto"/>
        <w:bottom w:val="none" w:sz="0" w:space="0" w:color="auto"/>
        <w:right w:val="none" w:sz="0" w:space="0" w:color="auto"/>
      </w:divBdr>
    </w:div>
    <w:div w:id="1956716278">
      <w:bodyDiv w:val="1"/>
      <w:marLeft w:val="0"/>
      <w:marRight w:val="0"/>
      <w:marTop w:val="0"/>
      <w:marBottom w:val="0"/>
      <w:divBdr>
        <w:top w:val="none" w:sz="0" w:space="0" w:color="auto"/>
        <w:left w:val="none" w:sz="0" w:space="0" w:color="auto"/>
        <w:bottom w:val="none" w:sz="0" w:space="0" w:color="auto"/>
        <w:right w:val="none" w:sz="0" w:space="0" w:color="auto"/>
      </w:divBdr>
    </w:div>
    <w:div w:id="1959024150">
      <w:bodyDiv w:val="1"/>
      <w:marLeft w:val="0"/>
      <w:marRight w:val="0"/>
      <w:marTop w:val="0"/>
      <w:marBottom w:val="0"/>
      <w:divBdr>
        <w:top w:val="none" w:sz="0" w:space="0" w:color="auto"/>
        <w:left w:val="none" w:sz="0" w:space="0" w:color="auto"/>
        <w:bottom w:val="none" w:sz="0" w:space="0" w:color="auto"/>
        <w:right w:val="none" w:sz="0" w:space="0" w:color="auto"/>
      </w:divBdr>
    </w:div>
    <w:div w:id="1964966294">
      <w:bodyDiv w:val="1"/>
      <w:marLeft w:val="0"/>
      <w:marRight w:val="0"/>
      <w:marTop w:val="0"/>
      <w:marBottom w:val="0"/>
      <w:divBdr>
        <w:top w:val="none" w:sz="0" w:space="0" w:color="auto"/>
        <w:left w:val="none" w:sz="0" w:space="0" w:color="auto"/>
        <w:bottom w:val="none" w:sz="0" w:space="0" w:color="auto"/>
        <w:right w:val="none" w:sz="0" w:space="0" w:color="auto"/>
      </w:divBdr>
    </w:div>
    <w:div w:id="1967932797">
      <w:bodyDiv w:val="1"/>
      <w:marLeft w:val="0"/>
      <w:marRight w:val="0"/>
      <w:marTop w:val="0"/>
      <w:marBottom w:val="0"/>
      <w:divBdr>
        <w:top w:val="none" w:sz="0" w:space="0" w:color="auto"/>
        <w:left w:val="none" w:sz="0" w:space="0" w:color="auto"/>
        <w:bottom w:val="none" w:sz="0" w:space="0" w:color="auto"/>
        <w:right w:val="none" w:sz="0" w:space="0" w:color="auto"/>
      </w:divBdr>
    </w:div>
    <w:div w:id="1969629938">
      <w:bodyDiv w:val="1"/>
      <w:marLeft w:val="0"/>
      <w:marRight w:val="0"/>
      <w:marTop w:val="0"/>
      <w:marBottom w:val="0"/>
      <w:divBdr>
        <w:top w:val="none" w:sz="0" w:space="0" w:color="auto"/>
        <w:left w:val="none" w:sz="0" w:space="0" w:color="auto"/>
        <w:bottom w:val="none" w:sz="0" w:space="0" w:color="auto"/>
        <w:right w:val="none" w:sz="0" w:space="0" w:color="auto"/>
      </w:divBdr>
    </w:div>
    <w:div w:id="1970354084">
      <w:bodyDiv w:val="1"/>
      <w:marLeft w:val="0"/>
      <w:marRight w:val="0"/>
      <w:marTop w:val="0"/>
      <w:marBottom w:val="0"/>
      <w:divBdr>
        <w:top w:val="none" w:sz="0" w:space="0" w:color="auto"/>
        <w:left w:val="none" w:sz="0" w:space="0" w:color="auto"/>
        <w:bottom w:val="none" w:sz="0" w:space="0" w:color="auto"/>
        <w:right w:val="none" w:sz="0" w:space="0" w:color="auto"/>
      </w:divBdr>
      <w:divsChild>
        <w:div w:id="1413427230">
          <w:marLeft w:val="0"/>
          <w:marRight w:val="0"/>
          <w:marTop w:val="0"/>
          <w:marBottom w:val="0"/>
          <w:divBdr>
            <w:top w:val="none" w:sz="0" w:space="0" w:color="auto"/>
            <w:left w:val="none" w:sz="0" w:space="0" w:color="auto"/>
            <w:bottom w:val="none" w:sz="0" w:space="0" w:color="auto"/>
            <w:right w:val="none" w:sz="0" w:space="0" w:color="auto"/>
          </w:divBdr>
          <w:divsChild>
            <w:div w:id="436874749">
              <w:marLeft w:val="0"/>
              <w:marRight w:val="0"/>
              <w:marTop w:val="0"/>
              <w:marBottom w:val="0"/>
              <w:divBdr>
                <w:top w:val="none" w:sz="0" w:space="0" w:color="auto"/>
                <w:left w:val="none" w:sz="0" w:space="0" w:color="auto"/>
                <w:bottom w:val="none" w:sz="0" w:space="0" w:color="auto"/>
                <w:right w:val="none" w:sz="0" w:space="0" w:color="auto"/>
              </w:divBdr>
              <w:divsChild>
                <w:div w:id="1916475361">
                  <w:marLeft w:val="0"/>
                  <w:marRight w:val="0"/>
                  <w:marTop w:val="0"/>
                  <w:marBottom w:val="0"/>
                  <w:divBdr>
                    <w:top w:val="none" w:sz="0" w:space="0" w:color="auto"/>
                    <w:left w:val="none" w:sz="0" w:space="0" w:color="auto"/>
                    <w:bottom w:val="none" w:sz="0" w:space="0" w:color="auto"/>
                    <w:right w:val="none" w:sz="0" w:space="0" w:color="auto"/>
                  </w:divBdr>
                  <w:divsChild>
                    <w:div w:id="255017765">
                      <w:marLeft w:val="0"/>
                      <w:marRight w:val="0"/>
                      <w:marTop w:val="0"/>
                      <w:marBottom w:val="0"/>
                      <w:divBdr>
                        <w:top w:val="none" w:sz="0" w:space="0" w:color="auto"/>
                        <w:left w:val="none" w:sz="0" w:space="0" w:color="auto"/>
                        <w:bottom w:val="none" w:sz="0" w:space="0" w:color="auto"/>
                        <w:right w:val="none" w:sz="0" w:space="0" w:color="auto"/>
                      </w:divBdr>
                      <w:divsChild>
                        <w:div w:id="1081563536">
                          <w:marLeft w:val="0"/>
                          <w:marRight w:val="0"/>
                          <w:marTop w:val="0"/>
                          <w:marBottom w:val="0"/>
                          <w:divBdr>
                            <w:top w:val="none" w:sz="0" w:space="0" w:color="auto"/>
                            <w:left w:val="none" w:sz="0" w:space="0" w:color="auto"/>
                            <w:bottom w:val="none" w:sz="0" w:space="0" w:color="auto"/>
                            <w:right w:val="none" w:sz="0" w:space="0" w:color="auto"/>
                          </w:divBdr>
                          <w:divsChild>
                            <w:div w:id="2045978011">
                              <w:marLeft w:val="0"/>
                              <w:marRight w:val="0"/>
                              <w:marTop w:val="0"/>
                              <w:marBottom w:val="0"/>
                              <w:divBdr>
                                <w:top w:val="none" w:sz="0" w:space="0" w:color="auto"/>
                                <w:left w:val="none" w:sz="0" w:space="0" w:color="auto"/>
                                <w:bottom w:val="none" w:sz="0" w:space="0" w:color="auto"/>
                                <w:right w:val="none" w:sz="0" w:space="0" w:color="auto"/>
                              </w:divBdr>
                              <w:divsChild>
                                <w:div w:id="1133137081">
                                  <w:marLeft w:val="0"/>
                                  <w:marRight w:val="0"/>
                                  <w:marTop w:val="0"/>
                                  <w:marBottom w:val="0"/>
                                  <w:divBdr>
                                    <w:top w:val="none" w:sz="0" w:space="0" w:color="auto"/>
                                    <w:left w:val="none" w:sz="0" w:space="0" w:color="auto"/>
                                    <w:bottom w:val="none" w:sz="0" w:space="0" w:color="auto"/>
                                    <w:right w:val="none" w:sz="0" w:space="0" w:color="auto"/>
                                  </w:divBdr>
                                  <w:divsChild>
                                    <w:div w:id="830174952">
                                      <w:marLeft w:val="0"/>
                                      <w:marRight w:val="0"/>
                                      <w:marTop w:val="0"/>
                                      <w:marBottom w:val="0"/>
                                      <w:divBdr>
                                        <w:top w:val="none" w:sz="0" w:space="0" w:color="auto"/>
                                        <w:left w:val="none" w:sz="0" w:space="0" w:color="auto"/>
                                        <w:bottom w:val="none" w:sz="0" w:space="0" w:color="auto"/>
                                        <w:right w:val="none" w:sz="0" w:space="0" w:color="auto"/>
                                      </w:divBdr>
                                      <w:divsChild>
                                        <w:div w:id="660039859">
                                          <w:marLeft w:val="0"/>
                                          <w:marRight w:val="0"/>
                                          <w:marTop w:val="0"/>
                                          <w:marBottom w:val="0"/>
                                          <w:divBdr>
                                            <w:top w:val="none" w:sz="0" w:space="0" w:color="auto"/>
                                            <w:left w:val="none" w:sz="0" w:space="0" w:color="auto"/>
                                            <w:bottom w:val="none" w:sz="0" w:space="0" w:color="auto"/>
                                            <w:right w:val="none" w:sz="0" w:space="0" w:color="auto"/>
                                          </w:divBdr>
                                          <w:divsChild>
                                            <w:div w:id="1228682204">
                                              <w:marLeft w:val="0"/>
                                              <w:marRight w:val="0"/>
                                              <w:marTop w:val="0"/>
                                              <w:marBottom w:val="120"/>
                                              <w:divBdr>
                                                <w:top w:val="single" w:sz="6" w:space="0" w:color="F5F5F5"/>
                                                <w:left w:val="single" w:sz="6" w:space="0" w:color="F5F5F5"/>
                                                <w:bottom w:val="single" w:sz="6" w:space="0" w:color="F5F5F5"/>
                                                <w:right w:val="single" w:sz="6" w:space="0" w:color="F5F5F5"/>
                                              </w:divBdr>
                                              <w:divsChild>
                                                <w:div w:id="1929340600">
                                                  <w:marLeft w:val="0"/>
                                                  <w:marRight w:val="0"/>
                                                  <w:marTop w:val="0"/>
                                                  <w:marBottom w:val="0"/>
                                                  <w:divBdr>
                                                    <w:top w:val="none" w:sz="0" w:space="0" w:color="auto"/>
                                                    <w:left w:val="none" w:sz="0" w:space="0" w:color="auto"/>
                                                    <w:bottom w:val="none" w:sz="0" w:space="0" w:color="auto"/>
                                                    <w:right w:val="none" w:sz="0" w:space="0" w:color="auto"/>
                                                  </w:divBdr>
                                                  <w:divsChild>
                                                    <w:div w:id="19474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1729">
      <w:bodyDiv w:val="1"/>
      <w:marLeft w:val="0"/>
      <w:marRight w:val="0"/>
      <w:marTop w:val="0"/>
      <w:marBottom w:val="0"/>
      <w:divBdr>
        <w:top w:val="none" w:sz="0" w:space="0" w:color="auto"/>
        <w:left w:val="none" w:sz="0" w:space="0" w:color="auto"/>
        <w:bottom w:val="none" w:sz="0" w:space="0" w:color="auto"/>
        <w:right w:val="none" w:sz="0" w:space="0" w:color="auto"/>
      </w:divBdr>
    </w:div>
    <w:div w:id="1995596385">
      <w:bodyDiv w:val="1"/>
      <w:marLeft w:val="0"/>
      <w:marRight w:val="0"/>
      <w:marTop w:val="0"/>
      <w:marBottom w:val="0"/>
      <w:divBdr>
        <w:top w:val="none" w:sz="0" w:space="0" w:color="auto"/>
        <w:left w:val="none" w:sz="0" w:space="0" w:color="auto"/>
        <w:bottom w:val="none" w:sz="0" w:space="0" w:color="auto"/>
        <w:right w:val="none" w:sz="0" w:space="0" w:color="auto"/>
      </w:divBdr>
    </w:div>
    <w:div w:id="1998878271">
      <w:bodyDiv w:val="1"/>
      <w:marLeft w:val="0"/>
      <w:marRight w:val="0"/>
      <w:marTop w:val="0"/>
      <w:marBottom w:val="0"/>
      <w:divBdr>
        <w:top w:val="none" w:sz="0" w:space="0" w:color="auto"/>
        <w:left w:val="none" w:sz="0" w:space="0" w:color="auto"/>
        <w:bottom w:val="none" w:sz="0" w:space="0" w:color="auto"/>
        <w:right w:val="none" w:sz="0" w:space="0" w:color="auto"/>
      </w:divBdr>
    </w:div>
    <w:div w:id="1999530914">
      <w:bodyDiv w:val="1"/>
      <w:marLeft w:val="0"/>
      <w:marRight w:val="0"/>
      <w:marTop w:val="0"/>
      <w:marBottom w:val="0"/>
      <w:divBdr>
        <w:top w:val="none" w:sz="0" w:space="0" w:color="auto"/>
        <w:left w:val="none" w:sz="0" w:space="0" w:color="auto"/>
        <w:bottom w:val="none" w:sz="0" w:space="0" w:color="auto"/>
        <w:right w:val="none" w:sz="0" w:space="0" w:color="auto"/>
      </w:divBdr>
    </w:div>
    <w:div w:id="2001692989">
      <w:bodyDiv w:val="1"/>
      <w:marLeft w:val="0"/>
      <w:marRight w:val="0"/>
      <w:marTop w:val="0"/>
      <w:marBottom w:val="0"/>
      <w:divBdr>
        <w:top w:val="none" w:sz="0" w:space="0" w:color="auto"/>
        <w:left w:val="none" w:sz="0" w:space="0" w:color="auto"/>
        <w:bottom w:val="none" w:sz="0" w:space="0" w:color="auto"/>
        <w:right w:val="none" w:sz="0" w:space="0" w:color="auto"/>
      </w:divBdr>
    </w:div>
    <w:div w:id="2002807188">
      <w:bodyDiv w:val="1"/>
      <w:marLeft w:val="0"/>
      <w:marRight w:val="0"/>
      <w:marTop w:val="0"/>
      <w:marBottom w:val="0"/>
      <w:divBdr>
        <w:top w:val="none" w:sz="0" w:space="0" w:color="auto"/>
        <w:left w:val="none" w:sz="0" w:space="0" w:color="auto"/>
        <w:bottom w:val="none" w:sz="0" w:space="0" w:color="auto"/>
        <w:right w:val="none" w:sz="0" w:space="0" w:color="auto"/>
      </w:divBdr>
    </w:div>
    <w:div w:id="2005082666">
      <w:bodyDiv w:val="1"/>
      <w:marLeft w:val="0"/>
      <w:marRight w:val="0"/>
      <w:marTop w:val="0"/>
      <w:marBottom w:val="0"/>
      <w:divBdr>
        <w:top w:val="none" w:sz="0" w:space="0" w:color="auto"/>
        <w:left w:val="none" w:sz="0" w:space="0" w:color="auto"/>
        <w:bottom w:val="none" w:sz="0" w:space="0" w:color="auto"/>
        <w:right w:val="none" w:sz="0" w:space="0" w:color="auto"/>
      </w:divBdr>
    </w:div>
    <w:div w:id="2009215664">
      <w:bodyDiv w:val="1"/>
      <w:marLeft w:val="0"/>
      <w:marRight w:val="0"/>
      <w:marTop w:val="0"/>
      <w:marBottom w:val="0"/>
      <w:divBdr>
        <w:top w:val="none" w:sz="0" w:space="0" w:color="auto"/>
        <w:left w:val="none" w:sz="0" w:space="0" w:color="auto"/>
        <w:bottom w:val="none" w:sz="0" w:space="0" w:color="auto"/>
        <w:right w:val="none" w:sz="0" w:space="0" w:color="auto"/>
      </w:divBdr>
    </w:div>
    <w:div w:id="2011103579">
      <w:bodyDiv w:val="1"/>
      <w:marLeft w:val="0"/>
      <w:marRight w:val="0"/>
      <w:marTop w:val="0"/>
      <w:marBottom w:val="0"/>
      <w:divBdr>
        <w:top w:val="none" w:sz="0" w:space="0" w:color="auto"/>
        <w:left w:val="none" w:sz="0" w:space="0" w:color="auto"/>
        <w:bottom w:val="none" w:sz="0" w:space="0" w:color="auto"/>
        <w:right w:val="none" w:sz="0" w:space="0" w:color="auto"/>
      </w:divBdr>
    </w:div>
    <w:div w:id="2012293889">
      <w:bodyDiv w:val="1"/>
      <w:marLeft w:val="0"/>
      <w:marRight w:val="0"/>
      <w:marTop w:val="0"/>
      <w:marBottom w:val="0"/>
      <w:divBdr>
        <w:top w:val="none" w:sz="0" w:space="0" w:color="auto"/>
        <w:left w:val="none" w:sz="0" w:space="0" w:color="auto"/>
        <w:bottom w:val="none" w:sz="0" w:space="0" w:color="auto"/>
        <w:right w:val="none" w:sz="0" w:space="0" w:color="auto"/>
      </w:divBdr>
    </w:div>
    <w:div w:id="2017220542">
      <w:bodyDiv w:val="1"/>
      <w:marLeft w:val="0"/>
      <w:marRight w:val="0"/>
      <w:marTop w:val="0"/>
      <w:marBottom w:val="0"/>
      <w:divBdr>
        <w:top w:val="none" w:sz="0" w:space="0" w:color="auto"/>
        <w:left w:val="none" w:sz="0" w:space="0" w:color="auto"/>
        <w:bottom w:val="none" w:sz="0" w:space="0" w:color="auto"/>
        <w:right w:val="none" w:sz="0" w:space="0" w:color="auto"/>
      </w:divBdr>
    </w:div>
    <w:div w:id="2021010252">
      <w:bodyDiv w:val="1"/>
      <w:marLeft w:val="0"/>
      <w:marRight w:val="0"/>
      <w:marTop w:val="0"/>
      <w:marBottom w:val="0"/>
      <w:divBdr>
        <w:top w:val="none" w:sz="0" w:space="0" w:color="auto"/>
        <w:left w:val="none" w:sz="0" w:space="0" w:color="auto"/>
        <w:bottom w:val="none" w:sz="0" w:space="0" w:color="auto"/>
        <w:right w:val="none" w:sz="0" w:space="0" w:color="auto"/>
      </w:divBdr>
    </w:div>
    <w:div w:id="2022320475">
      <w:bodyDiv w:val="1"/>
      <w:marLeft w:val="0"/>
      <w:marRight w:val="0"/>
      <w:marTop w:val="0"/>
      <w:marBottom w:val="0"/>
      <w:divBdr>
        <w:top w:val="none" w:sz="0" w:space="0" w:color="auto"/>
        <w:left w:val="none" w:sz="0" w:space="0" w:color="auto"/>
        <w:bottom w:val="none" w:sz="0" w:space="0" w:color="auto"/>
        <w:right w:val="none" w:sz="0" w:space="0" w:color="auto"/>
      </w:divBdr>
    </w:div>
    <w:div w:id="2024934476">
      <w:bodyDiv w:val="1"/>
      <w:marLeft w:val="0"/>
      <w:marRight w:val="0"/>
      <w:marTop w:val="0"/>
      <w:marBottom w:val="0"/>
      <w:divBdr>
        <w:top w:val="none" w:sz="0" w:space="0" w:color="auto"/>
        <w:left w:val="none" w:sz="0" w:space="0" w:color="auto"/>
        <w:bottom w:val="none" w:sz="0" w:space="0" w:color="auto"/>
        <w:right w:val="none" w:sz="0" w:space="0" w:color="auto"/>
      </w:divBdr>
    </w:div>
    <w:div w:id="2030595008">
      <w:bodyDiv w:val="1"/>
      <w:marLeft w:val="0"/>
      <w:marRight w:val="0"/>
      <w:marTop w:val="0"/>
      <w:marBottom w:val="0"/>
      <w:divBdr>
        <w:top w:val="none" w:sz="0" w:space="0" w:color="auto"/>
        <w:left w:val="none" w:sz="0" w:space="0" w:color="auto"/>
        <w:bottom w:val="none" w:sz="0" w:space="0" w:color="auto"/>
        <w:right w:val="none" w:sz="0" w:space="0" w:color="auto"/>
      </w:divBdr>
    </w:div>
    <w:div w:id="2034921406">
      <w:bodyDiv w:val="1"/>
      <w:marLeft w:val="0"/>
      <w:marRight w:val="0"/>
      <w:marTop w:val="0"/>
      <w:marBottom w:val="0"/>
      <w:divBdr>
        <w:top w:val="none" w:sz="0" w:space="0" w:color="auto"/>
        <w:left w:val="none" w:sz="0" w:space="0" w:color="auto"/>
        <w:bottom w:val="none" w:sz="0" w:space="0" w:color="auto"/>
        <w:right w:val="none" w:sz="0" w:space="0" w:color="auto"/>
      </w:divBdr>
    </w:div>
    <w:div w:id="2037077829">
      <w:bodyDiv w:val="1"/>
      <w:marLeft w:val="0"/>
      <w:marRight w:val="0"/>
      <w:marTop w:val="0"/>
      <w:marBottom w:val="0"/>
      <w:divBdr>
        <w:top w:val="none" w:sz="0" w:space="0" w:color="auto"/>
        <w:left w:val="none" w:sz="0" w:space="0" w:color="auto"/>
        <w:bottom w:val="none" w:sz="0" w:space="0" w:color="auto"/>
        <w:right w:val="none" w:sz="0" w:space="0" w:color="auto"/>
      </w:divBdr>
    </w:div>
    <w:div w:id="2040353675">
      <w:bodyDiv w:val="1"/>
      <w:marLeft w:val="0"/>
      <w:marRight w:val="0"/>
      <w:marTop w:val="0"/>
      <w:marBottom w:val="0"/>
      <w:divBdr>
        <w:top w:val="none" w:sz="0" w:space="0" w:color="auto"/>
        <w:left w:val="none" w:sz="0" w:space="0" w:color="auto"/>
        <w:bottom w:val="none" w:sz="0" w:space="0" w:color="auto"/>
        <w:right w:val="none" w:sz="0" w:space="0" w:color="auto"/>
      </w:divBdr>
    </w:div>
    <w:div w:id="2041664282">
      <w:bodyDiv w:val="1"/>
      <w:marLeft w:val="0"/>
      <w:marRight w:val="0"/>
      <w:marTop w:val="0"/>
      <w:marBottom w:val="0"/>
      <w:divBdr>
        <w:top w:val="none" w:sz="0" w:space="0" w:color="auto"/>
        <w:left w:val="none" w:sz="0" w:space="0" w:color="auto"/>
        <w:bottom w:val="none" w:sz="0" w:space="0" w:color="auto"/>
        <w:right w:val="none" w:sz="0" w:space="0" w:color="auto"/>
      </w:divBdr>
      <w:divsChild>
        <w:div w:id="1402094820">
          <w:marLeft w:val="0"/>
          <w:marRight w:val="0"/>
          <w:marTop w:val="0"/>
          <w:marBottom w:val="0"/>
          <w:divBdr>
            <w:top w:val="none" w:sz="0" w:space="0" w:color="auto"/>
            <w:left w:val="none" w:sz="0" w:space="0" w:color="auto"/>
            <w:bottom w:val="none" w:sz="0" w:space="0" w:color="auto"/>
            <w:right w:val="none" w:sz="0" w:space="0" w:color="auto"/>
          </w:divBdr>
          <w:divsChild>
            <w:div w:id="754399592">
              <w:marLeft w:val="0"/>
              <w:marRight w:val="0"/>
              <w:marTop w:val="0"/>
              <w:marBottom w:val="0"/>
              <w:divBdr>
                <w:top w:val="none" w:sz="0" w:space="0" w:color="auto"/>
                <w:left w:val="none" w:sz="0" w:space="0" w:color="auto"/>
                <w:bottom w:val="none" w:sz="0" w:space="0" w:color="auto"/>
                <w:right w:val="none" w:sz="0" w:space="0" w:color="auto"/>
              </w:divBdr>
              <w:divsChild>
                <w:div w:id="817499425">
                  <w:marLeft w:val="0"/>
                  <w:marRight w:val="0"/>
                  <w:marTop w:val="0"/>
                  <w:marBottom w:val="0"/>
                  <w:divBdr>
                    <w:top w:val="none" w:sz="0" w:space="0" w:color="auto"/>
                    <w:left w:val="none" w:sz="0" w:space="0" w:color="auto"/>
                    <w:bottom w:val="none" w:sz="0" w:space="0" w:color="auto"/>
                    <w:right w:val="none" w:sz="0" w:space="0" w:color="auto"/>
                  </w:divBdr>
                  <w:divsChild>
                    <w:div w:id="979579999">
                      <w:marLeft w:val="0"/>
                      <w:marRight w:val="0"/>
                      <w:marTop w:val="0"/>
                      <w:marBottom w:val="0"/>
                      <w:divBdr>
                        <w:top w:val="none" w:sz="0" w:space="0" w:color="auto"/>
                        <w:left w:val="none" w:sz="0" w:space="0" w:color="auto"/>
                        <w:bottom w:val="none" w:sz="0" w:space="0" w:color="auto"/>
                        <w:right w:val="none" w:sz="0" w:space="0" w:color="auto"/>
                      </w:divBdr>
                      <w:divsChild>
                        <w:div w:id="1048069536">
                          <w:marLeft w:val="0"/>
                          <w:marRight w:val="0"/>
                          <w:marTop w:val="0"/>
                          <w:marBottom w:val="0"/>
                          <w:divBdr>
                            <w:top w:val="none" w:sz="0" w:space="0" w:color="auto"/>
                            <w:left w:val="none" w:sz="0" w:space="0" w:color="auto"/>
                            <w:bottom w:val="none" w:sz="0" w:space="0" w:color="auto"/>
                            <w:right w:val="none" w:sz="0" w:space="0" w:color="auto"/>
                          </w:divBdr>
                          <w:divsChild>
                            <w:div w:id="1115059783">
                              <w:marLeft w:val="0"/>
                              <w:marRight w:val="0"/>
                              <w:marTop w:val="0"/>
                              <w:marBottom w:val="0"/>
                              <w:divBdr>
                                <w:top w:val="none" w:sz="0" w:space="0" w:color="auto"/>
                                <w:left w:val="none" w:sz="0" w:space="0" w:color="auto"/>
                                <w:bottom w:val="none" w:sz="0" w:space="0" w:color="auto"/>
                                <w:right w:val="none" w:sz="0" w:space="0" w:color="auto"/>
                              </w:divBdr>
                              <w:divsChild>
                                <w:div w:id="1532255597">
                                  <w:marLeft w:val="0"/>
                                  <w:marRight w:val="0"/>
                                  <w:marTop w:val="0"/>
                                  <w:marBottom w:val="0"/>
                                  <w:divBdr>
                                    <w:top w:val="none" w:sz="0" w:space="0" w:color="auto"/>
                                    <w:left w:val="none" w:sz="0" w:space="0" w:color="auto"/>
                                    <w:bottom w:val="none" w:sz="0" w:space="0" w:color="auto"/>
                                    <w:right w:val="none" w:sz="0" w:space="0" w:color="auto"/>
                                  </w:divBdr>
                                  <w:divsChild>
                                    <w:div w:id="1072194803">
                                      <w:marLeft w:val="0"/>
                                      <w:marRight w:val="0"/>
                                      <w:marTop w:val="0"/>
                                      <w:marBottom w:val="0"/>
                                      <w:divBdr>
                                        <w:top w:val="none" w:sz="0" w:space="0" w:color="auto"/>
                                        <w:left w:val="none" w:sz="0" w:space="0" w:color="auto"/>
                                        <w:bottom w:val="none" w:sz="0" w:space="0" w:color="auto"/>
                                        <w:right w:val="none" w:sz="0" w:space="0" w:color="auto"/>
                                      </w:divBdr>
                                      <w:divsChild>
                                        <w:div w:id="1789397361">
                                          <w:marLeft w:val="0"/>
                                          <w:marRight w:val="0"/>
                                          <w:marTop w:val="0"/>
                                          <w:marBottom w:val="0"/>
                                          <w:divBdr>
                                            <w:top w:val="none" w:sz="0" w:space="0" w:color="auto"/>
                                            <w:left w:val="none" w:sz="0" w:space="0" w:color="auto"/>
                                            <w:bottom w:val="none" w:sz="0" w:space="0" w:color="auto"/>
                                            <w:right w:val="none" w:sz="0" w:space="0" w:color="auto"/>
                                          </w:divBdr>
                                          <w:divsChild>
                                            <w:div w:id="1414475445">
                                              <w:marLeft w:val="0"/>
                                              <w:marRight w:val="0"/>
                                              <w:marTop w:val="0"/>
                                              <w:marBottom w:val="0"/>
                                              <w:divBdr>
                                                <w:top w:val="single" w:sz="6" w:space="0" w:color="F5F5F5"/>
                                                <w:left w:val="single" w:sz="6" w:space="0" w:color="F5F5F5"/>
                                                <w:bottom w:val="single" w:sz="6" w:space="0" w:color="F5F5F5"/>
                                                <w:right w:val="single" w:sz="6" w:space="0" w:color="F5F5F5"/>
                                              </w:divBdr>
                                              <w:divsChild>
                                                <w:div w:id="462042485">
                                                  <w:marLeft w:val="0"/>
                                                  <w:marRight w:val="0"/>
                                                  <w:marTop w:val="0"/>
                                                  <w:marBottom w:val="0"/>
                                                  <w:divBdr>
                                                    <w:top w:val="none" w:sz="0" w:space="0" w:color="auto"/>
                                                    <w:left w:val="none" w:sz="0" w:space="0" w:color="auto"/>
                                                    <w:bottom w:val="none" w:sz="0" w:space="0" w:color="auto"/>
                                                    <w:right w:val="none" w:sz="0" w:space="0" w:color="auto"/>
                                                  </w:divBdr>
                                                  <w:divsChild>
                                                    <w:div w:id="16316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050430">
      <w:bodyDiv w:val="1"/>
      <w:marLeft w:val="0"/>
      <w:marRight w:val="0"/>
      <w:marTop w:val="0"/>
      <w:marBottom w:val="0"/>
      <w:divBdr>
        <w:top w:val="none" w:sz="0" w:space="0" w:color="auto"/>
        <w:left w:val="none" w:sz="0" w:space="0" w:color="auto"/>
        <w:bottom w:val="none" w:sz="0" w:space="0" w:color="auto"/>
        <w:right w:val="none" w:sz="0" w:space="0" w:color="auto"/>
      </w:divBdr>
    </w:div>
    <w:div w:id="2044623851">
      <w:bodyDiv w:val="1"/>
      <w:marLeft w:val="0"/>
      <w:marRight w:val="0"/>
      <w:marTop w:val="0"/>
      <w:marBottom w:val="0"/>
      <w:divBdr>
        <w:top w:val="none" w:sz="0" w:space="0" w:color="auto"/>
        <w:left w:val="none" w:sz="0" w:space="0" w:color="auto"/>
        <w:bottom w:val="none" w:sz="0" w:space="0" w:color="auto"/>
        <w:right w:val="none" w:sz="0" w:space="0" w:color="auto"/>
      </w:divBdr>
    </w:div>
    <w:div w:id="2053266991">
      <w:bodyDiv w:val="1"/>
      <w:marLeft w:val="0"/>
      <w:marRight w:val="0"/>
      <w:marTop w:val="0"/>
      <w:marBottom w:val="0"/>
      <w:divBdr>
        <w:top w:val="none" w:sz="0" w:space="0" w:color="auto"/>
        <w:left w:val="none" w:sz="0" w:space="0" w:color="auto"/>
        <w:bottom w:val="none" w:sz="0" w:space="0" w:color="auto"/>
        <w:right w:val="none" w:sz="0" w:space="0" w:color="auto"/>
      </w:divBdr>
    </w:div>
    <w:div w:id="2062096694">
      <w:bodyDiv w:val="1"/>
      <w:marLeft w:val="0"/>
      <w:marRight w:val="0"/>
      <w:marTop w:val="0"/>
      <w:marBottom w:val="0"/>
      <w:divBdr>
        <w:top w:val="none" w:sz="0" w:space="0" w:color="auto"/>
        <w:left w:val="none" w:sz="0" w:space="0" w:color="auto"/>
        <w:bottom w:val="none" w:sz="0" w:space="0" w:color="auto"/>
        <w:right w:val="none" w:sz="0" w:space="0" w:color="auto"/>
      </w:divBdr>
    </w:div>
    <w:div w:id="2063627923">
      <w:bodyDiv w:val="1"/>
      <w:marLeft w:val="0"/>
      <w:marRight w:val="0"/>
      <w:marTop w:val="0"/>
      <w:marBottom w:val="0"/>
      <w:divBdr>
        <w:top w:val="none" w:sz="0" w:space="0" w:color="auto"/>
        <w:left w:val="none" w:sz="0" w:space="0" w:color="auto"/>
        <w:bottom w:val="none" w:sz="0" w:space="0" w:color="auto"/>
        <w:right w:val="none" w:sz="0" w:space="0" w:color="auto"/>
      </w:divBdr>
    </w:div>
    <w:div w:id="2065060489">
      <w:bodyDiv w:val="1"/>
      <w:marLeft w:val="0"/>
      <w:marRight w:val="0"/>
      <w:marTop w:val="0"/>
      <w:marBottom w:val="0"/>
      <w:divBdr>
        <w:top w:val="none" w:sz="0" w:space="0" w:color="auto"/>
        <w:left w:val="none" w:sz="0" w:space="0" w:color="auto"/>
        <w:bottom w:val="none" w:sz="0" w:space="0" w:color="auto"/>
        <w:right w:val="none" w:sz="0" w:space="0" w:color="auto"/>
      </w:divBdr>
    </w:div>
    <w:div w:id="2070959778">
      <w:bodyDiv w:val="1"/>
      <w:marLeft w:val="0"/>
      <w:marRight w:val="0"/>
      <w:marTop w:val="0"/>
      <w:marBottom w:val="0"/>
      <w:divBdr>
        <w:top w:val="none" w:sz="0" w:space="0" w:color="auto"/>
        <w:left w:val="none" w:sz="0" w:space="0" w:color="auto"/>
        <w:bottom w:val="none" w:sz="0" w:space="0" w:color="auto"/>
        <w:right w:val="none" w:sz="0" w:space="0" w:color="auto"/>
      </w:divBdr>
    </w:div>
    <w:div w:id="2071078815">
      <w:bodyDiv w:val="1"/>
      <w:marLeft w:val="0"/>
      <w:marRight w:val="0"/>
      <w:marTop w:val="0"/>
      <w:marBottom w:val="0"/>
      <w:divBdr>
        <w:top w:val="none" w:sz="0" w:space="0" w:color="auto"/>
        <w:left w:val="none" w:sz="0" w:space="0" w:color="auto"/>
        <w:bottom w:val="none" w:sz="0" w:space="0" w:color="auto"/>
        <w:right w:val="none" w:sz="0" w:space="0" w:color="auto"/>
      </w:divBdr>
    </w:div>
    <w:div w:id="2072196482">
      <w:bodyDiv w:val="1"/>
      <w:marLeft w:val="0"/>
      <w:marRight w:val="0"/>
      <w:marTop w:val="0"/>
      <w:marBottom w:val="0"/>
      <w:divBdr>
        <w:top w:val="none" w:sz="0" w:space="0" w:color="auto"/>
        <w:left w:val="none" w:sz="0" w:space="0" w:color="auto"/>
        <w:bottom w:val="none" w:sz="0" w:space="0" w:color="auto"/>
        <w:right w:val="none" w:sz="0" w:space="0" w:color="auto"/>
      </w:divBdr>
    </w:div>
    <w:div w:id="2073960289">
      <w:bodyDiv w:val="1"/>
      <w:marLeft w:val="0"/>
      <w:marRight w:val="0"/>
      <w:marTop w:val="0"/>
      <w:marBottom w:val="0"/>
      <w:divBdr>
        <w:top w:val="none" w:sz="0" w:space="0" w:color="auto"/>
        <w:left w:val="none" w:sz="0" w:space="0" w:color="auto"/>
        <w:bottom w:val="none" w:sz="0" w:space="0" w:color="auto"/>
        <w:right w:val="none" w:sz="0" w:space="0" w:color="auto"/>
      </w:divBdr>
    </w:div>
    <w:div w:id="2080595328">
      <w:bodyDiv w:val="1"/>
      <w:marLeft w:val="0"/>
      <w:marRight w:val="0"/>
      <w:marTop w:val="0"/>
      <w:marBottom w:val="0"/>
      <w:divBdr>
        <w:top w:val="none" w:sz="0" w:space="0" w:color="auto"/>
        <w:left w:val="none" w:sz="0" w:space="0" w:color="auto"/>
        <w:bottom w:val="none" w:sz="0" w:space="0" w:color="auto"/>
        <w:right w:val="none" w:sz="0" w:space="0" w:color="auto"/>
      </w:divBdr>
    </w:div>
    <w:div w:id="2084985018">
      <w:bodyDiv w:val="1"/>
      <w:marLeft w:val="0"/>
      <w:marRight w:val="0"/>
      <w:marTop w:val="0"/>
      <w:marBottom w:val="0"/>
      <w:divBdr>
        <w:top w:val="none" w:sz="0" w:space="0" w:color="auto"/>
        <w:left w:val="none" w:sz="0" w:space="0" w:color="auto"/>
        <w:bottom w:val="none" w:sz="0" w:space="0" w:color="auto"/>
        <w:right w:val="none" w:sz="0" w:space="0" w:color="auto"/>
      </w:divBdr>
    </w:div>
    <w:div w:id="2088114513">
      <w:bodyDiv w:val="1"/>
      <w:marLeft w:val="0"/>
      <w:marRight w:val="0"/>
      <w:marTop w:val="0"/>
      <w:marBottom w:val="0"/>
      <w:divBdr>
        <w:top w:val="none" w:sz="0" w:space="0" w:color="auto"/>
        <w:left w:val="none" w:sz="0" w:space="0" w:color="auto"/>
        <w:bottom w:val="none" w:sz="0" w:space="0" w:color="auto"/>
        <w:right w:val="none" w:sz="0" w:space="0" w:color="auto"/>
      </w:divBdr>
    </w:div>
    <w:div w:id="2089420057">
      <w:bodyDiv w:val="1"/>
      <w:marLeft w:val="0"/>
      <w:marRight w:val="0"/>
      <w:marTop w:val="0"/>
      <w:marBottom w:val="0"/>
      <w:divBdr>
        <w:top w:val="none" w:sz="0" w:space="0" w:color="auto"/>
        <w:left w:val="none" w:sz="0" w:space="0" w:color="auto"/>
        <w:bottom w:val="none" w:sz="0" w:space="0" w:color="auto"/>
        <w:right w:val="none" w:sz="0" w:space="0" w:color="auto"/>
      </w:divBdr>
    </w:div>
    <w:div w:id="2092004113">
      <w:bodyDiv w:val="1"/>
      <w:marLeft w:val="0"/>
      <w:marRight w:val="0"/>
      <w:marTop w:val="0"/>
      <w:marBottom w:val="0"/>
      <w:divBdr>
        <w:top w:val="none" w:sz="0" w:space="0" w:color="auto"/>
        <w:left w:val="none" w:sz="0" w:space="0" w:color="auto"/>
        <w:bottom w:val="none" w:sz="0" w:space="0" w:color="auto"/>
        <w:right w:val="none" w:sz="0" w:space="0" w:color="auto"/>
      </w:divBdr>
    </w:div>
    <w:div w:id="2095932465">
      <w:bodyDiv w:val="1"/>
      <w:marLeft w:val="0"/>
      <w:marRight w:val="0"/>
      <w:marTop w:val="0"/>
      <w:marBottom w:val="0"/>
      <w:divBdr>
        <w:top w:val="none" w:sz="0" w:space="0" w:color="auto"/>
        <w:left w:val="none" w:sz="0" w:space="0" w:color="auto"/>
        <w:bottom w:val="none" w:sz="0" w:space="0" w:color="auto"/>
        <w:right w:val="none" w:sz="0" w:space="0" w:color="auto"/>
      </w:divBdr>
    </w:div>
    <w:div w:id="2100708390">
      <w:bodyDiv w:val="1"/>
      <w:marLeft w:val="0"/>
      <w:marRight w:val="0"/>
      <w:marTop w:val="0"/>
      <w:marBottom w:val="0"/>
      <w:divBdr>
        <w:top w:val="none" w:sz="0" w:space="0" w:color="auto"/>
        <w:left w:val="none" w:sz="0" w:space="0" w:color="auto"/>
        <w:bottom w:val="none" w:sz="0" w:space="0" w:color="auto"/>
        <w:right w:val="none" w:sz="0" w:space="0" w:color="auto"/>
      </w:divBdr>
    </w:div>
    <w:div w:id="2100903405">
      <w:bodyDiv w:val="1"/>
      <w:marLeft w:val="0"/>
      <w:marRight w:val="0"/>
      <w:marTop w:val="0"/>
      <w:marBottom w:val="0"/>
      <w:divBdr>
        <w:top w:val="none" w:sz="0" w:space="0" w:color="auto"/>
        <w:left w:val="none" w:sz="0" w:space="0" w:color="auto"/>
        <w:bottom w:val="none" w:sz="0" w:space="0" w:color="auto"/>
        <w:right w:val="none" w:sz="0" w:space="0" w:color="auto"/>
      </w:divBdr>
    </w:div>
    <w:div w:id="2107340992">
      <w:bodyDiv w:val="1"/>
      <w:marLeft w:val="0"/>
      <w:marRight w:val="0"/>
      <w:marTop w:val="0"/>
      <w:marBottom w:val="0"/>
      <w:divBdr>
        <w:top w:val="none" w:sz="0" w:space="0" w:color="auto"/>
        <w:left w:val="none" w:sz="0" w:space="0" w:color="auto"/>
        <w:bottom w:val="none" w:sz="0" w:space="0" w:color="auto"/>
        <w:right w:val="none" w:sz="0" w:space="0" w:color="auto"/>
      </w:divBdr>
    </w:div>
    <w:div w:id="2109042030">
      <w:bodyDiv w:val="1"/>
      <w:marLeft w:val="0"/>
      <w:marRight w:val="0"/>
      <w:marTop w:val="0"/>
      <w:marBottom w:val="0"/>
      <w:divBdr>
        <w:top w:val="none" w:sz="0" w:space="0" w:color="auto"/>
        <w:left w:val="none" w:sz="0" w:space="0" w:color="auto"/>
        <w:bottom w:val="none" w:sz="0" w:space="0" w:color="auto"/>
        <w:right w:val="none" w:sz="0" w:space="0" w:color="auto"/>
      </w:divBdr>
    </w:div>
    <w:div w:id="2109155138">
      <w:bodyDiv w:val="1"/>
      <w:marLeft w:val="0"/>
      <w:marRight w:val="0"/>
      <w:marTop w:val="0"/>
      <w:marBottom w:val="0"/>
      <w:divBdr>
        <w:top w:val="none" w:sz="0" w:space="0" w:color="auto"/>
        <w:left w:val="none" w:sz="0" w:space="0" w:color="auto"/>
        <w:bottom w:val="none" w:sz="0" w:space="0" w:color="auto"/>
        <w:right w:val="none" w:sz="0" w:space="0" w:color="auto"/>
      </w:divBdr>
    </w:div>
    <w:div w:id="2109692662">
      <w:bodyDiv w:val="1"/>
      <w:marLeft w:val="0"/>
      <w:marRight w:val="0"/>
      <w:marTop w:val="0"/>
      <w:marBottom w:val="0"/>
      <w:divBdr>
        <w:top w:val="none" w:sz="0" w:space="0" w:color="auto"/>
        <w:left w:val="none" w:sz="0" w:space="0" w:color="auto"/>
        <w:bottom w:val="none" w:sz="0" w:space="0" w:color="auto"/>
        <w:right w:val="none" w:sz="0" w:space="0" w:color="auto"/>
      </w:divBdr>
    </w:div>
    <w:div w:id="2112504951">
      <w:bodyDiv w:val="1"/>
      <w:marLeft w:val="0"/>
      <w:marRight w:val="0"/>
      <w:marTop w:val="0"/>
      <w:marBottom w:val="0"/>
      <w:divBdr>
        <w:top w:val="none" w:sz="0" w:space="0" w:color="auto"/>
        <w:left w:val="none" w:sz="0" w:space="0" w:color="auto"/>
        <w:bottom w:val="none" w:sz="0" w:space="0" w:color="auto"/>
        <w:right w:val="none" w:sz="0" w:space="0" w:color="auto"/>
      </w:divBdr>
    </w:div>
    <w:div w:id="2115400453">
      <w:bodyDiv w:val="1"/>
      <w:marLeft w:val="0"/>
      <w:marRight w:val="0"/>
      <w:marTop w:val="0"/>
      <w:marBottom w:val="0"/>
      <w:divBdr>
        <w:top w:val="none" w:sz="0" w:space="0" w:color="auto"/>
        <w:left w:val="none" w:sz="0" w:space="0" w:color="auto"/>
        <w:bottom w:val="none" w:sz="0" w:space="0" w:color="auto"/>
        <w:right w:val="none" w:sz="0" w:space="0" w:color="auto"/>
      </w:divBdr>
    </w:div>
    <w:div w:id="2117172638">
      <w:bodyDiv w:val="1"/>
      <w:marLeft w:val="0"/>
      <w:marRight w:val="0"/>
      <w:marTop w:val="0"/>
      <w:marBottom w:val="0"/>
      <w:divBdr>
        <w:top w:val="none" w:sz="0" w:space="0" w:color="auto"/>
        <w:left w:val="none" w:sz="0" w:space="0" w:color="auto"/>
        <w:bottom w:val="none" w:sz="0" w:space="0" w:color="auto"/>
        <w:right w:val="none" w:sz="0" w:space="0" w:color="auto"/>
      </w:divBdr>
    </w:div>
    <w:div w:id="2119762780">
      <w:bodyDiv w:val="1"/>
      <w:marLeft w:val="0"/>
      <w:marRight w:val="0"/>
      <w:marTop w:val="0"/>
      <w:marBottom w:val="0"/>
      <w:divBdr>
        <w:top w:val="none" w:sz="0" w:space="0" w:color="auto"/>
        <w:left w:val="none" w:sz="0" w:space="0" w:color="auto"/>
        <w:bottom w:val="none" w:sz="0" w:space="0" w:color="auto"/>
        <w:right w:val="none" w:sz="0" w:space="0" w:color="auto"/>
      </w:divBdr>
      <w:divsChild>
        <w:div w:id="2128035651">
          <w:marLeft w:val="0"/>
          <w:marRight w:val="0"/>
          <w:marTop w:val="0"/>
          <w:marBottom w:val="0"/>
          <w:divBdr>
            <w:top w:val="none" w:sz="0" w:space="0" w:color="auto"/>
            <w:left w:val="none" w:sz="0" w:space="0" w:color="auto"/>
            <w:bottom w:val="none" w:sz="0" w:space="0" w:color="auto"/>
            <w:right w:val="none" w:sz="0" w:space="0" w:color="auto"/>
          </w:divBdr>
          <w:divsChild>
            <w:div w:id="1850439061">
              <w:marLeft w:val="0"/>
              <w:marRight w:val="0"/>
              <w:marTop w:val="0"/>
              <w:marBottom w:val="0"/>
              <w:divBdr>
                <w:top w:val="none" w:sz="0" w:space="0" w:color="auto"/>
                <w:left w:val="none" w:sz="0" w:space="0" w:color="auto"/>
                <w:bottom w:val="none" w:sz="0" w:space="0" w:color="auto"/>
                <w:right w:val="none" w:sz="0" w:space="0" w:color="auto"/>
              </w:divBdr>
              <w:divsChild>
                <w:div w:id="1904483022">
                  <w:marLeft w:val="0"/>
                  <w:marRight w:val="0"/>
                  <w:marTop w:val="0"/>
                  <w:marBottom w:val="0"/>
                  <w:divBdr>
                    <w:top w:val="none" w:sz="0" w:space="0" w:color="auto"/>
                    <w:left w:val="none" w:sz="0" w:space="0" w:color="auto"/>
                    <w:bottom w:val="none" w:sz="0" w:space="0" w:color="auto"/>
                    <w:right w:val="none" w:sz="0" w:space="0" w:color="auto"/>
                  </w:divBdr>
                  <w:divsChild>
                    <w:div w:id="1420713226">
                      <w:marLeft w:val="0"/>
                      <w:marRight w:val="0"/>
                      <w:marTop w:val="0"/>
                      <w:marBottom w:val="0"/>
                      <w:divBdr>
                        <w:top w:val="none" w:sz="0" w:space="0" w:color="auto"/>
                        <w:left w:val="none" w:sz="0" w:space="0" w:color="auto"/>
                        <w:bottom w:val="none" w:sz="0" w:space="0" w:color="auto"/>
                        <w:right w:val="none" w:sz="0" w:space="0" w:color="auto"/>
                      </w:divBdr>
                      <w:divsChild>
                        <w:div w:id="6258132">
                          <w:marLeft w:val="0"/>
                          <w:marRight w:val="0"/>
                          <w:marTop w:val="0"/>
                          <w:marBottom w:val="0"/>
                          <w:divBdr>
                            <w:top w:val="none" w:sz="0" w:space="0" w:color="auto"/>
                            <w:left w:val="none" w:sz="0" w:space="0" w:color="auto"/>
                            <w:bottom w:val="none" w:sz="0" w:space="0" w:color="auto"/>
                            <w:right w:val="none" w:sz="0" w:space="0" w:color="auto"/>
                          </w:divBdr>
                          <w:divsChild>
                            <w:div w:id="805971100">
                              <w:marLeft w:val="0"/>
                              <w:marRight w:val="0"/>
                              <w:marTop w:val="0"/>
                              <w:marBottom w:val="0"/>
                              <w:divBdr>
                                <w:top w:val="none" w:sz="0" w:space="0" w:color="auto"/>
                                <w:left w:val="none" w:sz="0" w:space="0" w:color="auto"/>
                                <w:bottom w:val="none" w:sz="0" w:space="0" w:color="auto"/>
                                <w:right w:val="none" w:sz="0" w:space="0" w:color="auto"/>
                              </w:divBdr>
                              <w:divsChild>
                                <w:div w:id="1437288164">
                                  <w:marLeft w:val="0"/>
                                  <w:marRight w:val="0"/>
                                  <w:marTop w:val="0"/>
                                  <w:marBottom w:val="0"/>
                                  <w:divBdr>
                                    <w:top w:val="none" w:sz="0" w:space="0" w:color="auto"/>
                                    <w:left w:val="none" w:sz="0" w:space="0" w:color="auto"/>
                                    <w:bottom w:val="none" w:sz="0" w:space="0" w:color="auto"/>
                                    <w:right w:val="none" w:sz="0" w:space="0" w:color="auto"/>
                                  </w:divBdr>
                                  <w:divsChild>
                                    <w:div w:id="827861107">
                                      <w:marLeft w:val="0"/>
                                      <w:marRight w:val="0"/>
                                      <w:marTop w:val="0"/>
                                      <w:marBottom w:val="0"/>
                                      <w:divBdr>
                                        <w:top w:val="none" w:sz="0" w:space="0" w:color="auto"/>
                                        <w:left w:val="none" w:sz="0" w:space="0" w:color="auto"/>
                                        <w:bottom w:val="none" w:sz="0" w:space="0" w:color="auto"/>
                                        <w:right w:val="none" w:sz="0" w:space="0" w:color="auto"/>
                                      </w:divBdr>
                                      <w:divsChild>
                                        <w:div w:id="1918249304">
                                          <w:marLeft w:val="0"/>
                                          <w:marRight w:val="0"/>
                                          <w:marTop w:val="0"/>
                                          <w:marBottom w:val="0"/>
                                          <w:divBdr>
                                            <w:top w:val="none" w:sz="0" w:space="0" w:color="auto"/>
                                            <w:left w:val="none" w:sz="0" w:space="0" w:color="auto"/>
                                            <w:bottom w:val="none" w:sz="0" w:space="0" w:color="auto"/>
                                            <w:right w:val="none" w:sz="0" w:space="0" w:color="auto"/>
                                          </w:divBdr>
                                          <w:divsChild>
                                            <w:div w:id="1710957623">
                                              <w:marLeft w:val="0"/>
                                              <w:marRight w:val="0"/>
                                              <w:marTop w:val="0"/>
                                              <w:marBottom w:val="0"/>
                                              <w:divBdr>
                                                <w:top w:val="single" w:sz="6" w:space="0" w:color="F5F5F5"/>
                                                <w:left w:val="single" w:sz="6" w:space="0" w:color="F5F5F5"/>
                                                <w:bottom w:val="single" w:sz="6" w:space="0" w:color="F5F5F5"/>
                                                <w:right w:val="single" w:sz="6" w:space="0" w:color="F5F5F5"/>
                                              </w:divBdr>
                                              <w:divsChild>
                                                <w:div w:id="1159662068">
                                                  <w:marLeft w:val="0"/>
                                                  <w:marRight w:val="0"/>
                                                  <w:marTop w:val="0"/>
                                                  <w:marBottom w:val="0"/>
                                                  <w:divBdr>
                                                    <w:top w:val="none" w:sz="0" w:space="0" w:color="auto"/>
                                                    <w:left w:val="none" w:sz="0" w:space="0" w:color="auto"/>
                                                    <w:bottom w:val="none" w:sz="0" w:space="0" w:color="auto"/>
                                                    <w:right w:val="none" w:sz="0" w:space="0" w:color="auto"/>
                                                  </w:divBdr>
                                                  <w:divsChild>
                                                    <w:div w:id="1142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952448">
      <w:bodyDiv w:val="1"/>
      <w:marLeft w:val="0"/>
      <w:marRight w:val="0"/>
      <w:marTop w:val="0"/>
      <w:marBottom w:val="0"/>
      <w:divBdr>
        <w:top w:val="none" w:sz="0" w:space="0" w:color="auto"/>
        <w:left w:val="none" w:sz="0" w:space="0" w:color="auto"/>
        <w:bottom w:val="none" w:sz="0" w:space="0" w:color="auto"/>
        <w:right w:val="none" w:sz="0" w:space="0" w:color="auto"/>
      </w:divBdr>
    </w:div>
    <w:div w:id="2122869499">
      <w:bodyDiv w:val="1"/>
      <w:marLeft w:val="0"/>
      <w:marRight w:val="0"/>
      <w:marTop w:val="0"/>
      <w:marBottom w:val="0"/>
      <w:divBdr>
        <w:top w:val="none" w:sz="0" w:space="0" w:color="auto"/>
        <w:left w:val="none" w:sz="0" w:space="0" w:color="auto"/>
        <w:bottom w:val="none" w:sz="0" w:space="0" w:color="auto"/>
        <w:right w:val="none" w:sz="0" w:space="0" w:color="auto"/>
      </w:divBdr>
    </w:div>
    <w:div w:id="2126344896">
      <w:bodyDiv w:val="1"/>
      <w:marLeft w:val="0"/>
      <w:marRight w:val="0"/>
      <w:marTop w:val="0"/>
      <w:marBottom w:val="0"/>
      <w:divBdr>
        <w:top w:val="none" w:sz="0" w:space="0" w:color="auto"/>
        <w:left w:val="none" w:sz="0" w:space="0" w:color="auto"/>
        <w:bottom w:val="none" w:sz="0" w:space="0" w:color="auto"/>
        <w:right w:val="none" w:sz="0" w:space="0" w:color="auto"/>
      </w:divBdr>
    </w:div>
    <w:div w:id="2127383092">
      <w:bodyDiv w:val="1"/>
      <w:marLeft w:val="0"/>
      <w:marRight w:val="0"/>
      <w:marTop w:val="0"/>
      <w:marBottom w:val="0"/>
      <w:divBdr>
        <w:top w:val="none" w:sz="0" w:space="0" w:color="auto"/>
        <w:left w:val="none" w:sz="0" w:space="0" w:color="auto"/>
        <w:bottom w:val="none" w:sz="0" w:space="0" w:color="auto"/>
        <w:right w:val="none" w:sz="0" w:space="0" w:color="auto"/>
      </w:divBdr>
    </w:div>
    <w:div w:id="2131624286">
      <w:bodyDiv w:val="1"/>
      <w:marLeft w:val="0"/>
      <w:marRight w:val="0"/>
      <w:marTop w:val="0"/>
      <w:marBottom w:val="0"/>
      <w:divBdr>
        <w:top w:val="none" w:sz="0" w:space="0" w:color="auto"/>
        <w:left w:val="none" w:sz="0" w:space="0" w:color="auto"/>
        <w:bottom w:val="none" w:sz="0" w:space="0" w:color="auto"/>
        <w:right w:val="none" w:sz="0" w:space="0" w:color="auto"/>
      </w:divBdr>
    </w:div>
    <w:div w:id="2134785799">
      <w:bodyDiv w:val="1"/>
      <w:marLeft w:val="0"/>
      <w:marRight w:val="0"/>
      <w:marTop w:val="0"/>
      <w:marBottom w:val="0"/>
      <w:divBdr>
        <w:top w:val="none" w:sz="0" w:space="0" w:color="auto"/>
        <w:left w:val="none" w:sz="0" w:space="0" w:color="auto"/>
        <w:bottom w:val="none" w:sz="0" w:space="0" w:color="auto"/>
        <w:right w:val="none" w:sz="0" w:space="0" w:color="auto"/>
      </w:divBdr>
    </w:div>
    <w:div w:id="213551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4.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20.emf"/><Relationship Id="rId138" Type="http://schemas.openxmlformats.org/officeDocument/2006/relationships/image" Target="media/image125.emf"/><Relationship Id="rId16" Type="http://schemas.openxmlformats.org/officeDocument/2006/relationships/image" Target="media/image4.emf"/><Relationship Id="rId107" Type="http://schemas.openxmlformats.org/officeDocument/2006/relationships/image" Target="media/image94.emf"/><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emf"/><Relationship Id="rId144" Type="http://schemas.openxmlformats.org/officeDocument/2006/relationships/hyperlink" Target="http://www.egm.org.tr" TargetMode="External"/><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100.emf"/><Relationship Id="rId118" Type="http://schemas.openxmlformats.org/officeDocument/2006/relationships/image" Target="media/image105.emf"/><Relationship Id="rId134" Type="http://schemas.openxmlformats.org/officeDocument/2006/relationships/image" Target="media/image121.emf"/><Relationship Id="rId139" Type="http://schemas.openxmlformats.org/officeDocument/2006/relationships/image" Target="media/image126.emf"/><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124" Type="http://schemas.openxmlformats.org/officeDocument/2006/relationships/image" Target="media/image111.emf"/><Relationship Id="rId129" Type="http://schemas.openxmlformats.org/officeDocument/2006/relationships/image" Target="media/image116.emf"/><Relationship Id="rId137" Type="http://schemas.openxmlformats.org/officeDocument/2006/relationships/image" Target="media/image12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32" Type="http://schemas.openxmlformats.org/officeDocument/2006/relationships/image" Target="media/image119.emf"/><Relationship Id="rId140" Type="http://schemas.openxmlformats.org/officeDocument/2006/relationships/image" Target="media/image127.emf"/><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image" Target="media/image114.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30" Type="http://schemas.openxmlformats.org/officeDocument/2006/relationships/image" Target="media/image117.emf"/><Relationship Id="rId135" Type="http://schemas.openxmlformats.org/officeDocument/2006/relationships/image" Target="media/image122.emf"/><Relationship Id="rId143" Type="http://schemas.openxmlformats.org/officeDocument/2006/relationships/hyperlink" Target="http://www.egm.org.tr"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141" Type="http://schemas.openxmlformats.org/officeDocument/2006/relationships/hyperlink" Target="http://www.sbm.org.tr" TargetMode="External"/><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8.emf"/><Relationship Id="rId136" Type="http://schemas.openxmlformats.org/officeDocument/2006/relationships/image" Target="media/image123.emf"/><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header" Target="header2.xml"/><Relationship Id="rId14" Type="http://schemas.openxmlformats.org/officeDocument/2006/relationships/image" Target="media/image2.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hyperlink" Target="http://www.sbm.org.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1168D-76B7-4914-A799-90868C58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97</Pages>
  <Words>24701</Words>
  <Characters>140802</Characters>
  <Application>Microsoft Office Word</Application>
  <DocSecurity>0</DocSecurity>
  <Lines>1173</Lines>
  <Paragraphs>330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SDK_Rapor</vt:lpstr>
      <vt:lpstr>SDK_Rapor</vt:lpstr>
    </vt:vector>
  </TitlesOfParts>
  <Company>Hazine Müsteşarlığı</Company>
  <LinksUpToDate>false</LinksUpToDate>
  <CharactersWithSpaces>165173</CharactersWithSpaces>
  <SharedDoc>false</SharedDoc>
  <HLinks>
    <vt:vector size="36" baseType="variant">
      <vt:variant>
        <vt:i4>7340087</vt:i4>
      </vt:variant>
      <vt:variant>
        <vt:i4>333</vt:i4>
      </vt:variant>
      <vt:variant>
        <vt:i4>0</vt:i4>
      </vt:variant>
      <vt:variant>
        <vt:i4>5</vt:i4>
      </vt:variant>
      <vt:variant>
        <vt:lpwstr>http://www.egm.org.tr/</vt:lpwstr>
      </vt:variant>
      <vt:variant>
        <vt:lpwstr/>
      </vt:variant>
      <vt:variant>
        <vt:i4>6684722</vt:i4>
      </vt:variant>
      <vt:variant>
        <vt:i4>330</vt:i4>
      </vt:variant>
      <vt:variant>
        <vt:i4>0</vt:i4>
      </vt:variant>
      <vt:variant>
        <vt:i4>5</vt:i4>
      </vt:variant>
      <vt:variant>
        <vt:lpwstr>http://www.sbm.org.tr/</vt:lpwstr>
      </vt:variant>
      <vt:variant>
        <vt:lpwstr/>
      </vt:variant>
      <vt:variant>
        <vt:i4>6684722</vt:i4>
      </vt:variant>
      <vt:variant>
        <vt:i4>327</vt:i4>
      </vt:variant>
      <vt:variant>
        <vt:i4>0</vt:i4>
      </vt:variant>
      <vt:variant>
        <vt:i4>5</vt:i4>
      </vt:variant>
      <vt:variant>
        <vt:lpwstr>http://www.sbm.org.tr/</vt:lpwstr>
      </vt:variant>
      <vt:variant>
        <vt:lpwstr/>
      </vt:variant>
      <vt:variant>
        <vt:i4>7667826</vt:i4>
      </vt:variant>
      <vt:variant>
        <vt:i4>6</vt:i4>
      </vt:variant>
      <vt:variant>
        <vt:i4>0</vt:i4>
      </vt:variant>
      <vt:variant>
        <vt:i4>5</vt:i4>
      </vt:variant>
      <vt:variant>
        <vt:lpwstr>https://hmposta.hazine.gov.tr/exchweb/bin/redir.asp?URL=http://www.treasury.gov.tr</vt:lpwstr>
      </vt:variant>
      <vt:variant>
        <vt:lpwstr/>
      </vt:variant>
      <vt:variant>
        <vt:i4>3670117</vt:i4>
      </vt:variant>
      <vt:variant>
        <vt:i4>3</vt:i4>
      </vt:variant>
      <vt:variant>
        <vt:i4>0</vt:i4>
      </vt:variant>
      <vt:variant>
        <vt:i4>5</vt:i4>
      </vt:variant>
      <vt:variant>
        <vt:lpwstr>http://www.hazine.gov.tr.sigortacilik.htm/</vt:lpwstr>
      </vt:variant>
      <vt:variant>
        <vt:lpwstr/>
      </vt:variant>
      <vt:variant>
        <vt:i4>3670117</vt:i4>
      </vt:variant>
      <vt:variant>
        <vt:i4>0</vt:i4>
      </vt:variant>
      <vt:variant>
        <vt:i4>0</vt:i4>
      </vt:variant>
      <vt:variant>
        <vt:i4>5</vt:i4>
      </vt:variant>
      <vt:variant>
        <vt:lpwstr>http://www.hazine.gov.tr.sigortacilik.htm/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SDK_Rapor</dc:title>
  <dc:subject>2010 Faaliyet Raporu</dc:subject>
  <dc:creator>HMSDK</dc:creator>
  <cp:lastModifiedBy>SERDAR KUTLUER</cp:lastModifiedBy>
  <cp:revision>6</cp:revision>
  <cp:lastPrinted>2019-07-12T07:05:00Z</cp:lastPrinted>
  <dcterms:created xsi:type="dcterms:W3CDTF">2019-07-10T13:10:00Z</dcterms:created>
  <dcterms:modified xsi:type="dcterms:W3CDTF">2019-07-12T07:06:00Z</dcterms:modified>
</cp:coreProperties>
</file>