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80" w:rsidRDefault="00D97C80" w:rsidP="00D97C80">
      <w:pPr>
        <w:pStyle w:val="NormalWeb"/>
      </w:pPr>
      <w:r>
        <w:rPr>
          <w:rStyle w:val="Strong"/>
        </w:rPr>
        <w:t>Atıkların Düzenli Depolanmasına Dair Yönetmelik</w:t>
      </w:r>
    </w:p>
    <w:p w:rsidR="00D97C80" w:rsidRDefault="00D97C80" w:rsidP="00D97C80">
      <w:pPr>
        <w:pStyle w:val="NormalWeb"/>
      </w:pPr>
      <w:r>
        <w:t>26 Mart 2010 Tarihli Resmi Gazete</w:t>
      </w:r>
    </w:p>
    <w:p w:rsidR="00D97C80" w:rsidRPr="00D97C80" w:rsidRDefault="00D97C80" w:rsidP="00D97C80">
      <w:pPr>
        <w:pStyle w:val="NormalWeb"/>
      </w:pPr>
      <w:r>
        <w:t>Sayı: 27533</w:t>
      </w:r>
      <w:bookmarkStart w:id="0" w:name="_GoBack"/>
      <w:bookmarkEnd w:id="0"/>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Ek-1</w:t>
      </w:r>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xml:space="preserve">Testler ve Numune Alma </w:t>
      </w:r>
      <w:proofErr w:type="spellStart"/>
      <w:r w:rsidRPr="00D97C80">
        <w:rPr>
          <w:rFonts w:ascii="Calibri" w:eastAsia="Times New Roman" w:hAnsi="Calibri" w:cs="Calibri"/>
          <w:b/>
          <w:bCs/>
          <w:color w:val="000000"/>
          <w:lang w:eastAsia="tr-TR"/>
        </w:rPr>
        <w:t>Metodları</w:t>
      </w:r>
      <w:proofErr w:type="spellEnd"/>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1- Atığın temel özelliklerinin tanımlanması ve nitelendirilmesinde yapılan Testler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Atığın </w:t>
      </w:r>
      <w:proofErr w:type="spellStart"/>
      <w:r w:rsidRPr="00D97C80">
        <w:rPr>
          <w:rFonts w:ascii="Calibri" w:eastAsia="Times New Roman" w:hAnsi="Calibri" w:cs="Calibri"/>
          <w:color w:val="000000"/>
          <w:lang w:eastAsia="tr-TR"/>
        </w:rPr>
        <w:t>özütleme</w:t>
      </w:r>
      <w:proofErr w:type="spellEnd"/>
      <w:r w:rsidRPr="00D97C80">
        <w:rPr>
          <w:rFonts w:ascii="Calibri" w:eastAsia="Times New Roman" w:hAnsi="Calibri" w:cs="Calibri"/>
          <w:color w:val="000000"/>
          <w:lang w:eastAsia="tr-TR"/>
        </w:rPr>
        <w:t xml:space="preserve"> özellikleri de dâhil olmak üzere bu Yönetmeliğin </w:t>
      </w:r>
      <w:proofErr w:type="spellStart"/>
      <w:r w:rsidRPr="00D97C80">
        <w:rPr>
          <w:rFonts w:ascii="Calibri" w:eastAsia="Times New Roman" w:hAnsi="Calibri" w:cs="Calibri"/>
          <w:color w:val="000000"/>
          <w:lang w:eastAsia="tr-TR"/>
        </w:rPr>
        <w:t>ondokuzuncu</w:t>
      </w:r>
      <w:proofErr w:type="spellEnd"/>
      <w:r w:rsidRPr="00D97C80">
        <w:rPr>
          <w:rFonts w:ascii="Calibri" w:eastAsia="Times New Roman" w:hAnsi="Calibri" w:cs="Calibri"/>
          <w:color w:val="000000"/>
          <w:lang w:eastAsia="tr-TR"/>
        </w:rPr>
        <w:t xml:space="preserve"> maddesinde listelenen bilgilere ilişkin değerlendirmelerin yapılabilmesi için atık bazı testlere tabi tutulur. Temel özelliklerin belirlenmesi için yapılan bu testlerin sonucuna göre atığın depolanacağı tesis sınıfı belirlenir. Ayrıca atık bileşimi ve yapısının belirlenmesine ilişkin gerekli olan diğer testler atığın türüne bağlı olarak tespit edilir ve uygulanır.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Test yapılması aşamasında atıklar, düzenli olarak aynı </w:t>
      </w:r>
      <w:proofErr w:type="gramStart"/>
      <w:r w:rsidRPr="00D97C80">
        <w:rPr>
          <w:rFonts w:ascii="Calibri" w:eastAsia="Times New Roman" w:hAnsi="Calibri" w:cs="Calibri"/>
          <w:color w:val="000000"/>
          <w:lang w:eastAsia="tr-TR"/>
        </w:rPr>
        <w:t>proses</w:t>
      </w:r>
      <w:proofErr w:type="gramEnd"/>
      <w:r w:rsidRPr="00D97C80">
        <w:rPr>
          <w:rFonts w:ascii="Calibri" w:eastAsia="Times New Roman" w:hAnsi="Calibri" w:cs="Calibri"/>
          <w:color w:val="000000"/>
          <w:lang w:eastAsia="tr-TR"/>
        </w:rPr>
        <w:t xml:space="preserve"> sonucunda üretilen atıklar ve düzenli olarak üretilmeyen atıklar olmak üzere iki kategoride değerlendirilir ve buna göre test işlemleri yapılır.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Düzenli Olarak Aynı Proses Sonucunda Üretilen Atıklar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Atıklar;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 atığın üretildiği </w:t>
      </w:r>
      <w:proofErr w:type="gramStart"/>
      <w:r w:rsidRPr="00D97C80">
        <w:rPr>
          <w:rFonts w:ascii="Calibri" w:eastAsia="Times New Roman" w:hAnsi="Calibri" w:cs="Calibri"/>
          <w:color w:val="000000"/>
          <w:lang w:eastAsia="tr-TR"/>
        </w:rPr>
        <w:t>proses</w:t>
      </w:r>
      <w:proofErr w:type="gramEnd"/>
      <w:r w:rsidRPr="00D97C80">
        <w:rPr>
          <w:rFonts w:ascii="Calibri" w:eastAsia="Times New Roman" w:hAnsi="Calibri" w:cs="Calibri"/>
          <w:color w:val="000000"/>
          <w:lang w:eastAsia="tr-TR"/>
        </w:rPr>
        <w:t xml:space="preserve"> ve tesisler hakkında yeterli bilginin bulunduğu, işleme giren ham maddelerin ve prosesin iyi tanımlandığı,</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 atık sahibinin tesisinde özellikle hammadde veya </w:t>
      </w:r>
      <w:proofErr w:type="gramStart"/>
      <w:r w:rsidRPr="00D97C80">
        <w:rPr>
          <w:rFonts w:ascii="Calibri" w:eastAsia="Times New Roman" w:hAnsi="Calibri" w:cs="Calibri"/>
          <w:color w:val="000000"/>
          <w:lang w:eastAsia="tr-TR"/>
        </w:rPr>
        <w:t>proses</w:t>
      </w:r>
      <w:proofErr w:type="gramEnd"/>
      <w:r w:rsidRPr="00D97C80">
        <w:rPr>
          <w:rFonts w:ascii="Calibri" w:eastAsia="Times New Roman" w:hAnsi="Calibri" w:cs="Calibri"/>
          <w:color w:val="000000"/>
          <w:lang w:eastAsia="tr-TR"/>
        </w:rPr>
        <w:t xml:space="preserve"> değişikliği olduğunda depolama tesisi işletmecisine bildirerek tüm gerekli bilgileri sağladığı</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 durumlarda “düzenli olarak aynı </w:t>
      </w:r>
      <w:proofErr w:type="gramStart"/>
      <w:r w:rsidRPr="00D97C80">
        <w:rPr>
          <w:rFonts w:ascii="Calibri" w:eastAsia="Times New Roman" w:hAnsi="Calibri" w:cs="Calibri"/>
          <w:color w:val="000000"/>
          <w:lang w:eastAsia="tr-TR"/>
        </w:rPr>
        <w:t>proses</w:t>
      </w:r>
      <w:proofErr w:type="gramEnd"/>
      <w:r w:rsidRPr="00D97C80">
        <w:rPr>
          <w:rFonts w:ascii="Calibri" w:eastAsia="Times New Roman" w:hAnsi="Calibri" w:cs="Calibri"/>
          <w:color w:val="000000"/>
          <w:lang w:eastAsia="tr-TR"/>
        </w:rPr>
        <w:t xml:space="preserve"> sonucunda üretilen ve karakteristikleri değişken olmayan atıklar” olarak kabul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Atığın farklı tesislerdeki aynı proseslerden kaynaklanması halinde “düzenli olarak aynı proses sonucunda üretilen ve karakteristikleri değişken olmayan atıklar” olarak kabul edilmesi için aynı karakteristiğe sahip olması ve </w:t>
      </w:r>
      <w:r w:rsidRPr="00D97C80">
        <w:rPr>
          <w:rFonts w:ascii="Calibri" w:eastAsia="Times New Roman" w:hAnsi="Calibri" w:cs="Calibri"/>
          <w:b/>
          <w:bCs/>
          <w:color w:val="000000"/>
          <w:lang w:eastAsia="tr-TR"/>
        </w:rPr>
        <w:t xml:space="preserve">(Değişik </w:t>
      </w:r>
      <w:proofErr w:type="gramStart"/>
      <w:r w:rsidRPr="00D97C80">
        <w:rPr>
          <w:rFonts w:ascii="Calibri" w:eastAsia="Times New Roman" w:hAnsi="Calibri" w:cs="Calibri"/>
          <w:b/>
          <w:bCs/>
          <w:color w:val="000000"/>
          <w:lang w:eastAsia="tr-TR"/>
        </w:rPr>
        <w:t>ibare:RG</w:t>
      </w:r>
      <w:proofErr w:type="gramEnd"/>
      <w:r w:rsidRPr="00D97C80">
        <w:rPr>
          <w:rFonts w:ascii="Calibri" w:eastAsia="Times New Roman" w:hAnsi="Calibri" w:cs="Calibri"/>
          <w:b/>
          <w:bCs/>
          <w:color w:val="000000"/>
          <w:lang w:eastAsia="tr-TR"/>
        </w:rPr>
        <w:t>-26/12/2019-30990)</w:t>
      </w:r>
      <w:r w:rsidRPr="00D97C80">
        <w:rPr>
          <w:rFonts w:ascii="Calibri" w:eastAsia="Times New Roman" w:hAnsi="Calibri" w:cs="Calibri"/>
          <w:color w:val="000000"/>
          <w:lang w:eastAsia="tr-TR"/>
        </w:rPr>
        <w:t> </w:t>
      </w:r>
      <w:r w:rsidRPr="00D97C80">
        <w:rPr>
          <w:rFonts w:ascii="Calibri" w:eastAsia="Times New Roman" w:hAnsi="Calibri" w:cs="Calibri"/>
          <w:color w:val="000000"/>
          <w:u w:val="single"/>
          <w:lang w:eastAsia="tr-TR"/>
        </w:rPr>
        <w:t xml:space="preserve">2/4/2015 tarihli ve 29314 sayılı Resmî </w:t>
      </w:r>
      <w:proofErr w:type="spellStart"/>
      <w:r w:rsidRPr="00D97C80">
        <w:rPr>
          <w:rFonts w:ascii="Calibri" w:eastAsia="Times New Roman" w:hAnsi="Calibri" w:cs="Calibri"/>
          <w:color w:val="000000"/>
          <w:u w:val="single"/>
          <w:lang w:eastAsia="tr-TR"/>
        </w:rPr>
        <w:t>Gazete’de</w:t>
      </w:r>
      <w:proofErr w:type="spellEnd"/>
      <w:r w:rsidRPr="00D97C80">
        <w:rPr>
          <w:rFonts w:ascii="Calibri" w:eastAsia="Times New Roman" w:hAnsi="Calibri" w:cs="Calibri"/>
          <w:color w:val="000000"/>
          <w:u w:val="single"/>
          <w:lang w:eastAsia="tr-TR"/>
        </w:rPr>
        <w:t xml:space="preserve"> yayımlanan Atık Yönetimi Yönetmeliği EK-4’te</w:t>
      </w:r>
      <w:r w:rsidRPr="00D97C80">
        <w:rPr>
          <w:rFonts w:ascii="Calibri" w:eastAsia="Times New Roman" w:hAnsi="Calibri" w:cs="Calibri"/>
          <w:color w:val="000000"/>
          <w:lang w:eastAsia="tr-TR"/>
        </w:rPr>
        <w:t xml:space="preserve"> sektör esaslı listelenen 6 haneli atık kodunda olduğunun belirlenmesi gerekir. Atığın temel özellikleri belirlendikten sonra uygunluk testine gönderilir. Bu işlemler yapılırken; atığın üretildiği </w:t>
      </w:r>
      <w:proofErr w:type="gramStart"/>
      <w:r w:rsidRPr="00D97C80">
        <w:rPr>
          <w:rFonts w:ascii="Calibri" w:eastAsia="Times New Roman" w:hAnsi="Calibri" w:cs="Calibri"/>
          <w:color w:val="000000"/>
          <w:lang w:eastAsia="tr-TR"/>
        </w:rPr>
        <w:t>proseste</w:t>
      </w:r>
      <w:proofErr w:type="gramEnd"/>
      <w:r w:rsidRPr="00D97C80">
        <w:rPr>
          <w:rFonts w:ascii="Calibri" w:eastAsia="Times New Roman" w:hAnsi="Calibri" w:cs="Calibri"/>
          <w:color w:val="000000"/>
          <w:lang w:eastAsia="tr-TR"/>
        </w:rPr>
        <w:t xml:space="preserve"> hiç bir değişiklik olmaması gerekmektedir.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Atığın aynı tesisteki aynı </w:t>
      </w:r>
      <w:proofErr w:type="gramStart"/>
      <w:r w:rsidRPr="00D97C80">
        <w:rPr>
          <w:rFonts w:ascii="Calibri" w:eastAsia="Times New Roman" w:hAnsi="Calibri" w:cs="Calibri"/>
          <w:color w:val="000000"/>
          <w:lang w:eastAsia="tr-TR"/>
        </w:rPr>
        <w:t>prosesten</w:t>
      </w:r>
      <w:proofErr w:type="gramEnd"/>
      <w:r w:rsidRPr="00D97C80">
        <w:rPr>
          <w:rFonts w:ascii="Calibri" w:eastAsia="Times New Roman" w:hAnsi="Calibri" w:cs="Calibri"/>
          <w:color w:val="000000"/>
          <w:lang w:eastAsia="tr-TR"/>
        </w:rPr>
        <w:t xml:space="preserve"> kaynaklanması halinde atığın temel özelliklerine ilişkin yapılan analiz sonuçlarında sadece çok küçük farklılıklar olma hali kabul edilebilir. Atığın temel özellikleri belirlendikten sonra uygunluk testine gönderilir. Ancak; bu işlemler yapılırken; atığın üretildiği tesisteki </w:t>
      </w:r>
      <w:proofErr w:type="gramStart"/>
      <w:r w:rsidRPr="00D97C80">
        <w:rPr>
          <w:rFonts w:ascii="Calibri" w:eastAsia="Times New Roman" w:hAnsi="Calibri" w:cs="Calibri"/>
          <w:color w:val="000000"/>
          <w:lang w:eastAsia="tr-TR"/>
        </w:rPr>
        <w:t>proseslerde</w:t>
      </w:r>
      <w:proofErr w:type="gramEnd"/>
      <w:r w:rsidRPr="00D97C80">
        <w:rPr>
          <w:rFonts w:ascii="Calibri" w:eastAsia="Times New Roman" w:hAnsi="Calibri" w:cs="Calibri"/>
          <w:color w:val="000000"/>
          <w:lang w:eastAsia="tr-TR"/>
        </w:rPr>
        <w:t xml:space="preserve"> hiç bir değişiklik olmaması gerekmektedir.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Düzenli Olarak Üretilmeyen Atıklar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Aynı tesiste ve aynı </w:t>
      </w:r>
      <w:proofErr w:type="gramStart"/>
      <w:r w:rsidRPr="00D97C80">
        <w:rPr>
          <w:rFonts w:ascii="Calibri" w:eastAsia="Times New Roman" w:hAnsi="Calibri" w:cs="Calibri"/>
          <w:color w:val="000000"/>
          <w:lang w:eastAsia="tr-TR"/>
        </w:rPr>
        <w:t>proses</w:t>
      </w:r>
      <w:proofErr w:type="gramEnd"/>
      <w:r w:rsidRPr="00D97C80">
        <w:rPr>
          <w:rFonts w:ascii="Calibri" w:eastAsia="Times New Roman" w:hAnsi="Calibri" w:cs="Calibri"/>
          <w:color w:val="000000"/>
          <w:lang w:eastAsia="tr-TR"/>
        </w:rPr>
        <w:t xml:space="preserve"> sonucunda üretilmemiş olan atıklar ve bileşimi belirli olmayan atıklar “düzenli olarak üretilmeyen atıklar” olarak kabul edilir. Bu tür atıkların her partisi için münferiden olmak üzere temel özellikler tespit edilir. Bu aşamada, temel özelliklerinin tanımlanması ve nitelendirilmesinde yer alan tüm aşamalar yerine getirilir. Bu nedenle uygunluk testine gerek yoktur.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Transfer istasyonlarından kaynaklanan atıklar veya atık toplayıcılarından gelen karışık atıklar çok büyük değişkenlikler göstereceğinden, bu tür atıklar “düzenli olarak üretilmeyen atıklar” kapsamı altında ele alınır.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2 - Numune Alma Ve Test Metotları</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lastRenderedPageBreak/>
        <w:t>Temel özelliklerin belirlenmesi için numune alınması, testlerin yapılması ve uygunluk testleri </w:t>
      </w:r>
      <w:r w:rsidRPr="00D97C80">
        <w:rPr>
          <w:rFonts w:ascii="Calibri" w:eastAsia="Times New Roman" w:hAnsi="Calibri" w:cs="Calibri"/>
          <w:b/>
          <w:bCs/>
          <w:color w:val="000000"/>
          <w:lang w:eastAsia="tr-TR"/>
        </w:rPr>
        <w:t xml:space="preserve">(Değişik </w:t>
      </w:r>
      <w:proofErr w:type="gramStart"/>
      <w:r w:rsidRPr="00D97C80">
        <w:rPr>
          <w:rFonts w:ascii="Calibri" w:eastAsia="Times New Roman" w:hAnsi="Calibri" w:cs="Calibri"/>
          <w:b/>
          <w:bCs/>
          <w:color w:val="000000"/>
          <w:lang w:eastAsia="tr-TR"/>
        </w:rPr>
        <w:t>ibare:RG</w:t>
      </w:r>
      <w:proofErr w:type="gramEnd"/>
      <w:r w:rsidRPr="00D97C80">
        <w:rPr>
          <w:rFonts w:ascii="Calibri" w:eastAsia="Times New Roman" w:hAnsi="Calibri" w:cs="Calibri"/>
          <w:b/>
          <w:bCs/>
          <w:color w:val="000000"/>
          <w:lang w:eastAsia="tr-TR"/>
        </w:rPr>
        <w:t>-26/12/2019-30990)</w:t>
      </w:r>
      <w:r w:rsidRPr="00D97C80">
        <w:rPr>
          <w:rFonts w:ascii="Calibri" w:eastAsia="Times New Roman" w:hAnsi="Calibri" w:cs="Calibri"/>
          <w:color w:val="000000"/>
          <w:lang w:eastAsia="tr-TR"/>
        </w:rPr>
        <w:t> </w:t>
      </w:r>
      <w:r w:rsidRPr="00D97C80">
        <w:rPr>
          <w:rFonts w:ascii="Calibri" w:eastAsia="Times New Roman" w:hAnsi="Calibri" w:cs="Calibri"/>
          <w:color w:val="000000"/>
          <w:u w:val="single"/>
          <w:lang w:eastAsia="tr-TR"/>
        </w:rPr>
        <w:t xml:space="preserve">25/12/2013 tarihli ve 28862 sayılı Resmî </w:t>
      </w:r>
      <w:proofErr w:type="spellStart"/>
      <w:r w:rsidRPr="00D97C80">
        <w:rPr>
          <w:rFonts w:ascii="Calibri" w:eastAsia="Times New Roman" w:hAnsi="Calibri" w:cs="Calibri"/>
          <w:color w:val="000000"/>
          <w:u w:val="single"/>
          <w:lang w:eastAsia="tr-TR"/>
        </w:rPr>
        <w:t>Gazete’de</w:t>
      </w:r>
      <w:proofErr w:type="spellEnd"/>
      <w:r w:rsidRPr="00D97C80">
        <w:rPr>
          <w:rFonts w:ascii="Calibri" w:eastAsia="Times New Roman" w:hAnsi="Calibri" w:cs="Calibri"/>
          <w:color w:val="000000"/>
          <w:u w:val="single"/>
          <w:lang w:eastAsia="tr-TR"/>
        </w:rPr>
        <w:t xml:space="preserve"> yayımlanan Çevre Ölçüm ve Analiz Laboratuvarları Yeterlik Yönetmeliği</w:t>
      </w:r>
      <w:r w:rsidRPr="00D97C80">
        <w:rPr>
          <w:rFonts w:ascii="Calibri" w:eastAsia="Times New Roman" w:hAnsi="Calibri" w:cs="Calibri"/>
          <w:color w:val="000000"/>
          <w:lang w:eastAsia="tr-TR"/>
        </w:rPr>
        <w:t xml:space="preserve"> kapsamında Bakanlıkça yetki verilen </w:t>
      </w:r>
      <w:proofErr w:type="spellStart"/>
      <w:r w:rsidRPr="00D97C80">
        <w:rPr>
          <w:rFonts w:ascii="Calibri" w:eastAsia="Times New Roman" w:hAnsi="Calibri" w:cs="Calibri"/>
          <w:color w:val="000000"/>
          <w:lang w:eastAsia="tr-TR"/>
        </w:rPr>
        <w:t>laboratuarlar</w:t>
      </w:r>
      <w:proofErr w:type="spellEnd"/>
      <w:r w:rsidRPr="00D97C80">
        <w:rPr>
          <w:rFonts w:ascii="Calibri" w:eastAsia="Times New Roman" w:hAnsi="Calibri" w:cs="Calibri"/>
          <w:color w:val="000000"/>
          <w:lang w:eastAsia="tr-TR"/>
        </w:rPr>
        <w:t xml:space="preserve"> tarafından yapılır. </w:t>
      </w:r>
      <w:proofErr w:type="spellStart"/>
      <w:r w:rsidRPr="00D97C80">
        <w:rPr>
          <w:rFonts w:ascii="Calibri" w:eastAsia="Times New Roman" w:hAnsi="Calibri" w:cs="Calibri"/>
          <w:color w:val="000000"/>
          <w:lang w:eastAsia="tr-TR"/>
        </w:rPr>
        <w:t>Laboratuarların</w:t>
      </w:r>
      <w:proofErr w:type="spellEnd"/>
      <w:r w:rsidRPr="00D97C80">
        <w:rPr>
          <w:rFonts w:ascii="Calibri" w:eastAsia="Times New Roman" w:hAnsi="Calibri" w:cs="Calibri"/>
          <w:color w:val="000000"/>
          <w:lang w:eastAsia="tr-TR"/>
        </w:rPr>
        <w:t>, atık test ve analizlerinde kanıtlanmış tecrübeye ve etkili kalite kontrol sistemine sahip olması gerekir.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Numune alma</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Atıklardan temel özelliklerin tanımlanması ve nitelendirilmesi testi, uygunluk testi ve tesiste doğrulama testi için numune alınması amacıyla hâlihazırda CEN tarafından geliştirilmiş olan numune alma standardının 1. kısmına uygun bir numune alma planı yapılır.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Test metotları</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Test metotları öncelikle Türk Standardına uygun olmak zorundadır. Türk </w:t>
      </w:r>
      <w:proofErr w:type="spellStart"/>
      <w:r w:rsidRPr="00D97C80">
        <w:rPr>
          <w:rFonts w:ascii="Calibri" w:eastAsia="Times New Roman" w:hAnsi="Calibri" w:cs="Calibri"/>
          <w:color w:val="000000"/>
          <w:lang w:eastAsia="tr-TR"/>
        </w:rPr>
        <w:t>Standardlarının</w:t>
      </w:r>
      <w:proofErr w:type="spellEnd"/>
      <w:r w:rsidRPr="00D97C80">
        <w:rPr>
          <w:rFonts w:ascii="Calibri" w:eastAsia="Times New Roman" w:hAnsi="Calibri" w:cs="Calibri"/>
          <w:color w:val="000000"/>
          <w:lang w:eastAsia="tr-TR"/>
        </w:rPr>
        <w:t xml:space="preserve"> bulunmaması durumunda öncelikle EN ve ISO yöntemleri referans olarak önerilir. Ancak uluslararası geçerliliğe sahip tüm yöntemler kullanılabilecektir.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xml:space="preserve">Atıkların Nitelendirilmesi İle İlgili Türk </w:t>
      </w:r>
      <w:proofErr w:type="spellStart"/>
      <w:r w:rsidRPr="00D97C80">
        <w:rPr>
          <w:rFonts w:ascii="Calibri" w:eastAsia="Times New Roman" w:hAnsi="Calibri" w:cs="Calibri"/>
          <w:b/>
          <w:bCs/>
          <w:color w:val="000000"/>
          <w:lang w:eastAsia="tr-TR"/>
        </w:rPr>
        <w:t>Standardları</w:t>
      </w:r>
      <w:proofErr w:type="spellEnd"/>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tbl>
      <w:tblPr>
        <w:tblW w:w="8505" w:type="dxa"/>
        <w:jc w:val="center"/>
        <w:tblCellMar>
          <w:left w:w="0" w:type="dxa"/>
          <w:right w:w="0" w:type="dxa"/>
        </w:tblCellMar>
        <w:tblLook w:val="04A0" w:firstRow="1" w:lastRow="0" w:firstColumn="1" w:lastColumn="0" w:noHBand="0" w:noVBand="1"/>
      </w:tblPr>
      <w:tblGrid>
        <w:gridCol w:w="1799"/>
        <w:gridCol w:w="6706"/>
      </w:tblGrid>
      <w:tr w:rsidR="00D97C80" w:rsidRPr="00D97C80" w:rsidTr="00D97C80">
        <w:trPr>
          <w:jc w:val="center"/>
        </w:trPr>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 xml:space="preserve">Standard </w:t>
            </w:r>
            <w:proofErr w:type="spellStart"/>
            <w:r w:rsidRPr="00D97C80">
              <w:rPr>
                <w:rFonts w:ascii="Calibri" w:eastAsia="Times New Roman" w:hAnsi="Calibri" w:cs="Calibri"/>
                <w:b/>
                <w:bCs/>
                <w:lang w:eastAsia="tr-TR"/>
              </w:rPr>
              <w:t>no</w:t>
            </w:r>
            <w:proofErr w:type="spellEnd"/>
          </w:p>
        </w:tc>
        <w:tc>
          <w:tcPr>
            <w:tcW w:w="80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Standardın adı</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4" w:history="1">
              <w:r w:rsidRPr="00D97C80">
                <w:rPr>
                  <w:rFonts w:ascii="Calibri" w:eastAsia="Times New Roman" w:hAnsi="Calibri" w:cs="Calibri"/>
                  <w:u w:val="single"/>
                  <w:lang w:eastAsia="tr-TR"/>
                </w:rPr>
                <w:t>TS EN 12457-4</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Atıkların nitelendirilmesi - Katıdan </w:t>
            </w:r>
            <w:proofErr w:type="spellStart"/>
            <w:r w:rsidRPr="00D97C80">
              <w:rPr>
                <w:rFonts w:ascii="Calibri" w:eastAsia="Times New Roman" w:hAnsi="Calibri" w:cs="Calibri"/>
                <w:lang w:eastAsia="tr-TR"/>
              </w:rPr>
              <w:t>özütleme</w:t>
            </w:r>
            <w:proofErr w:type="spellEnd"/>
            <w:r w:rsidRPr="00D97C80">
              <w:rPr>
                <w:rFonts w:ascii="Calibri" w:eastAsia="Times New Roman" w:hAnsi="Calibri" w:cs="Calibri"/>
                <w:lang w:eastAsia="tr-TR"/>
              </w:rPr>
              <w:t xml:space="preserve"> analizi- granül katı atıkların ve çamurların katı </w:t>
            </w:r>
            <w:proofErr w:type="spellStart"/>
            <w:r w:rsidRPr="00D97C80">
              <w:rPr>
                <w:rFonts w:ascii="Calibri" w:eastAsia="Times New Roman" w:hAnsi="Calibri" w:cs="Calibri"/>
                <w:lang w:eastAsia="tr-TR"/>
              </w:rPr>
              <w:t>özütlemesi</w:t>
            </w:r>
            <w:proofErr w:type="spellEnd"/>
            <w:r w:rsidRPr="00D97C80">
              <w:rPr>
                <w:rFonts w:ascii="Calibri" w:eastAsia="Times New Roman" w:hAnsi="Calibri" w:cs="Calibri"/>
                <w:lang w:eastAsia="tr-TR"/>
              </w:rPr>
              <w:t xml:space="preserve"> için uygunluk deneyi - Bölüm </w:t>
            </w:r>
            <w:proofErr w:type="gramStart"/>
            <w:r w:rsidRPr="00D97C80">
              <w:rPr>
                <w:rFonts w:ascii="Calibri" w:eastAsia="Times New Roman" w:hAnsi="Calibri" w:cs="Calibri"/>
                <w:lang w:eastAsia="tr-TR"/>
              </w:rPr>
              <w:t>3 : Sıvı</w:t>
            </w:r>
            <w:proofErr w:type="gramEnd"/>
            <w:r w:rsidRPr="00D97C80">
              <w:rPr>
                <w:rFonts w:ascii="Calibri" w:eastAsia="Times New Roman" w:hAnsi="Calibri" w:cs="Calibri"/>
                <w:lang w:eastAsia="tr-TR"/>
              </w:rPr>
              <w:t xml:space="preserve"> katı oranı 10 L/Kg olan ve parçacık boyutu 4 mm’den küçük, yüksek katı madde muhtevalı malzemeler için tek aşamalı parti deneyi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5" w:history="1">
              <w:r w:rsidRPr="00D97C80">
                <w:rPr>
                  <w:rFonts w:ascii="Calibri" w:eastAsia="Times New Roman" w:hAnsi="Calibri" w:cs="Calibri"/>
                  <w:u w:val="single"/>
                  <w:lang w:eastAsia="tr-TR"/>
                </w:rPr>
                <w:t>TS EN 12506</w:t>
              </w:r>
            </w:hyperlink>
            <w:r w:rsidRPr="00D97C80">
              <w:rPr>
                <w:rFonts w:ascii="Calibri" w:eastAsia="Times New Roman" w:hAnsi="Calibri" w:cs="Calibri"/>
                <w:lang w:eastAsia="tr-TR"/>
              </w:rPr>
              <w:t>   </w:t>
            </w:r>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Atıkların nitelendirilmesi- Özütlerin analizi- </w:t>
            </w:r>
            <w:proofErr w:type="spellStart"/>
            <w:r w:rsidRPr="00D97C80">
              <w:rPr>
                <w:rFonts w:ascii="Calibri" w:eastAsia="Times New Roman" w:hAnsi="Calibri" w:cs="Calibri"/>
                <w:lang w:eastAsia="tr-TR"/>
              </w:rPr>
              <w:t>pH</w:t>
            </w:r>
            <w:proofErr w:type="spellEnd"/>
            <w:r w:rsidRPr="00D97C80">
              <w:rPr>
                <w:rFonts w:ascii="Calibri" w:eastAsia="Times New Roman" w:hAnsi="Calibri" w:cs="Calibri"/>
                <w:lang w:eastAsia="tr-TR"/>
              </w:rPr>
              <w:t xml:space="preserve">, As, </w:t>
            </w:r>
            <w:proofErr w:type="spellStart"/>
            <w:r w:rsidRPr="00D97C80">
              <w:rPr>
                <w:rFonts w:ascii="Calibri" w:eastAsia="Times New Roman" w:hAnsi="Calibri" w:cs="Calibri"/>
                <w:lang w:eastAsia="tr-TR"/>
              </w:rPr>
              <w:t>Ba</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Cd</w:t>
            </w:r>
            <w:proofErr w:type="spellEnd"/>
            <w:r w:rsidRPr="00D97C80">
              <w:rPr>
                <w:rFonts w:ascii="Calibri" w:eastAsia="Times New Roman" w:hAnsi="Calibri" w:cs="Calibri"/>
                <w:lang w:eastAsia="tr-TR"/>
              </w:rPr>
              <w:t xml:space="preserve">, Cl-, </w:t>
            </w:r>
            <w:proofErr w:type="spellStart"/>
            <w:r w:rsidRPr="00D97C80">
              <w:rPr>
                <w:rFonts w:ascii="Calibri" w:eastAsia="Times New Roman" w:hAnsi="Calibri" w:cs="Calibri"/>
                <w:lang w:eastAsia="tr-TR"/>
              </w:rPr>
              <w:t>Co</w:t>
            </w:r>
            <w:proofErr w:type="spellEnd"/>
            <w:r w:rsidRPr="00D97C80">
              <w:rPr>
                <w:rFonts w:ascii="Calibri" w:eastAsia="Times New Roman" w:hAnsi="Calibri" w:cs="Calibri"/>
                <w:lang w:eastAsia="tr-TR"/>
              </w:rPr>
              <w:t xml:space="preserve">, Cr, Cr(VI), Cu, </w:t>
            </w:r>
            <w:proofErr w:type="spellStart"/>
            <w:r w:rsidRPr="00D97C80">
              <w:rPr>
                <w:rFonts w:ascii="Calibri" w:eastAsia="Times New Roman" w:hAnsi="Calibri" w:cs="Calibri"/>
                <w:lang w:eastAsia="tr-TR"/>
              </w:rPr>
              <w:t>Mo</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Ni</w:t>
            </w:r>
            <w:proofErr w:type="spellEnd"/>
            <w:r w:rsidRPr="00D97C80">
              <w:rPr>
                <w:rFonts w:ascii="Calibri" w:eastAsia="Times New Roman" w:hAnsi="Calibri" w:cs="Calibri"/>
                <w:lang w:eastAsia="tr-TR"/>
              </w:rPr>
              <w:t xml:space="preserve">, NO2-, Pb, toplam S, SO42-, V ve </w:t>
            </w:r>
            <w:proofErr w:type="spellStart"/>
            <w:r w:rsidRPr="00D97C80">
              <w:rPr>
                <w:rFonts w:ascii="Calibri" w:eastAsia="Times New Roman" w:hAnsi="Calibri" w:cs="Calibri"/>
                <w:lang w:eastAsia="tr-TR"/>
              </w:rPr>
              <w:t>Zn</w:t>
            </w:r>
            <w:proofErr w:type="spellEnd"/>
            <w:r w:rsidRPr="00D97C80">
              <w:rPr>
                <w:rFonts w:ascii="Calibri" w:eastAsia="Times New Roman" w:hAnsi="Calibri" w:cs="Calibri"/>
                <w:lang w:eastAsia="tr-TR"/>
              </w:rPr>
              <w:t xml:space="preserve"> tayini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TS EN 12920</w:t>
            </w:r>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Atıkların nitelendirilmesi- Atıkların belirli şartlar altında </w:t>
            </w:r>
            <w:proofErr w:type="spellStart"/>
            <w:r w:rsidRPr="00D97C80">
              <w:rPr>
                <w:rFonts w:ascii="Calibri" w:eastAsia="Times New Roman" w:hAnsi="Calibri" w:cs="Calibri"/>
                <w:lang w:eastAsia="tr-TR"/>
              </w:rPr>
              <w:t>özütlenebilme</w:t>
            </w:r>
            <w:proofErr w:type="spellEnd"/>
            <w:r w:rsidRPr="00D97C80">
              <w:rPr>
                <w:rFonts w:ascii="Calibri" w:eastAsia="Times New Roman" w:hAnsi="Calibri" w:cs="Calibri"/>
                <w:lang w:eastAsia="tr-TR"/>
              </w:rPr>
              <w:t xml:space="preserve"> özelliğinin tayini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6" w:history="1">
              <w:r w:rsidRPr="00D97C80">
                <w:rPr>
                  <w:rFonts w:ascii="Calibri" w:eastAsia="Times New Roman" w:hAnsi="Calibri" w:cs="Calibri"/>
                  <w:u w:val="single"/>
                  <w:lang w:eastAsia="tr-TR"/>
                </w:rPr>
                <w:t>TS EN 13370</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Atık nitelendirilmesi – Özüt analizi – Amonyum-, AOX, iletkenlik, Hg, fenol indeksi, TOK, kolayca açığa çıkabilen CN- , F- tayini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7" w:history="1">
              <w:r w:rsidRPr="00D97C80">
                <w:rPr>
                  <w:rFonts w:ascii="Calibri" w:eastAsia="Times New Roman" w:hAnsi="Calibri" w:cs="Calibri"/>
                  <w:u w:val="single"/>
                  <w:lang w:eastAsia="tr-TR"/>
                </w:rPr>
                <w:t>TS EN 13656</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Atıkların nitelendirilmesi - Elementlerin, tayin için </w:t>
            </w:r>
            <w:proofErr w:type="spellStart"/>
            <w:r w:rsidRPr="00D97C80">
              <w:rPr>
                <w:rFonts w:ascii="Calibri" w:eastAsia="Times New Roman" w:hAnsi="Calibri" w:cs="Calibri"/>
                <w:lang w:eastAsia="tr-TR"/>
              </w:rPr>
              <w:t>hidroflorik</w:t>
            </w:r>
            <w:proofErr w:type="spellEnd"/>
            <w:r w:rsidRPr="00D97C80">
              <w:rPr>
                <w:rFonts w:ascii="Calibri" w:eastAsia="Times New Roman" w:hAnsi="Calibri" w:cs="Calibri"/>
                <w:lang w:eastAsia="tr-TR"/>
              </w:rPr>
              <w:t xml:space="preserve"> (HF) asit, nitrik asit (HNO</w:t>
            </w:r>
            <w:r w:rsidRPr="00D97C80">
              <w:rPr>
                <w:rFonts w:ascii="Calibri" w:eastAsia="Times New Roman" w:hAnsi="Calibri" w:cs="Calibri"/>
                <w:vertAlign w:val="subscript"/>
                <w:lang w:eastAsia="tr-TR"/>
              </w:rPr>
              <w:t>3</w:t>
            </w:r>
            <w:r w:rsidRPr="00D97C80">
              <w:rPr>
                <w:rFonts w:ascii="Calibri" w:eastAsia="Times New Roman" w:hAnsi="Calibri" w:cs="Calibri"/>
                <w:lang w:eastAsia="tr-TR"/>
              </w:rPr>
              <w:t>) ve hidroklorik asit (</w:t>
            </w:r>
            <w:proofErr w:type="spellStart"/>
            <w:r w:rsidRPr="00D97C80">
              <w:rPr>
                <w:rFonts w:ascii="Calibri" w:eastAsia="Times New Roman" w:hAnsi="Calibri" w:cs="Calibri"/>
                <w:lang w:eastAsia="tr-TR"/>
              </w:rPr>
              <w:t>HCl</w:t>
            </w:r>
            <w:proofErr w:type="spellEnd"/>
            <w:r w:rsidRPr="00D97C80">
              <w:rPr>
                <w:rFonts w:ascii="Calibri" w:eastAsia="Times New Roman" w:hAnsi="Calibri" w:cs="Calibri"/>
                <w:lang w:eastAsia="tr-TR"/>
              </w:rPr>
              <w:t>) karışımı kullanılarak mikrodalga desteği ile parçalanması</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8" w:history="1">
              <w:r w:rsidRPr="00D97C80">
                <w:rPr>
                  <w:rFonts w:ascii="Calibri" w:eastAsia="Times New Roman" w:hAnsi="Calibri" w:cs="Calibri"/>
                  <w:u w:val="single"/>
                  <w:lang w:eastAsia="tr-TR"/>
                </w:rPr>
                <w:t>TS EN 13657</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Atıkların nitelendirilmesi – Elementlerin kral suyunda çözünebilir kısmının müteakip tayin için parçalanması</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9" w:history="1">
              <w:r w:rsidRPr="00D97C80">
                <w:rPr>
                  <w:rFonts w:ascii="Calibri" w:eastAsia="Times New Roman" w:hAnsi="Calibri" w:cs="Calibri"/>
                  <w:u w:val="single"/>
                  <w:lang w:eastAsia="tr-TR"/>
                </w:rPr>
                <w:t>TS EN 13965-1</w:t>
              </w:r>
            </w:hyperlink>
            <w:r w:rsidRPr="00D97C80">
              <w:rPr>
                <w:rFonts w:ascii="Calibri" w:eastAsia="Times New Roman" w:hAnsi="Calibri" w:cs="Calibri"/>
                <w:lang w:eastAsia="tr-TR"/>
              </w:rPr>
              <w:t>   </w:t>
            </w:r>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Atıkların nitelendirilmesi- Terimler-Bölüm 1: Malzeme ile ilgili terimler ve tarifler</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0" w:history="1">
              <w:r w:rsidRPr="00D97C80">
                <w:rPr>
                  <w:rFonts w:ascii="Calibri" w:eastAsia="Times New Roman" w:hAnsi="Calibri" w:cs="Calibri"/>
                  <w:u w:val="single"/>
                  <w:lang w:eastAsia="tr-TR"/>
                </w:rPr>
                <w:t>TS EN 13965-2</w:t>
              </w:r>
            </w:hyperlink>
            <w:r w:rsidRPr="00D97C80">
              <w:rPr>
                <w:rFonts w:ascii="Calibri" w:eastAsia="Times New Roman" w:hAnsi="Calibri" w:cs="Calibri"/>
                <w:lang w:eastAsia="tr-TR"/>
              </w:rPr>
              <w:t>   </w:t>
            </w:r>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Atıkların nitelendirilmesi- Terimler-Bölüm 2: Yönetim ile ilgili terimler ve tarifler</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1" w:history="1">
              <w:r w:rsidRPr="00D97C80">
                <w:rPr>
                  <w:rFonts w:ascii="Calibri" w:eastAsia="Times New Roman" w:hAnsi="Calibri" w:cs="Calibri"/>
                  <w:u w:val="single"/>
                  <w:lang w:eastAsia="tr-TR"/>
                </w:rPr>
                <w:t>TS EN 14039</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Atıkların nitelendirilmesi-C10-C40 aralığındaki hidrokarbon muhtevasının gaz </w:t>
            </w:r>
            <w:proofErr w:type="spellStart"/>
            <w:r w:rsidRPr="00D97C80">
              <w:rPr>
                <w:rFonts w:ascii="Calibri" w:eastAsia="Times New Roman" w:hAnsi="Calibri" w:cs="Calibri"/>
                <w:lang w:eastAsia="tr-TR"/>
              </w:rPr>
              <w:t>kromatografisi</w:t>
            </w:r>
            <w:proofErr w:type="spellEnd"/>
            <w:r w:rsidRPr="00D97C80">
              <w:rPr>
                <w:rFonts w:ascii="Calibri" w:eastAsia="Times New Roman" w:hAnsi="Calibri" w:cs="Calibri"/>
                <w:lang w:eastAsia="tr-TR"/>
              </w:rPr>
              <w:t xml:space="preserve"> ile tayini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2" w:history="1">
              <w:r w:rsidRPr="00D97C80">
                <w:rPr>
                  <w:rFonts w:ascii="Calibri" w:eastAsia="Times New Roman" w:hAnsi="Calibri" w:cs="Calibri"/>
                  <w:u w:val="single"/>
                  <w:lang w:eastAsia="tr-TR"/>
                </w:rPr>
                <w:t>TS EN 14346</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Atıkların nitelendirilmesi - Kuru kalıntı veya su muhtevası tayini ile </w:t>
            </w:r>
            <w:proofErr w:type="spellStart"/>
            <w:r w:rsidRPr="00D97C80">
              <w:rPr>
                <w:rFonts w:ascii="Calibri" w:eastAsia="Times New Roman" w:hAnsi="Calibri" w:cs="Calibri"/>
                <w:lang w:eastAsia="tr-TR"/>
              </w:rPr>
              <w:t>kurumadde</w:t>
            </w:r>
            <w:proofErr w:type="spellEnd"/>
            <w:r w:rsidRPr="00D97C80">
              <w:rPr>
                <w:rFonts w:ascii="Calibri" w:eastAsia="Times New Roman" w:hAnsi="Calibri" w:cs="Calibri"/>
                <w:lang w:eastAsia="tr-TR"/>
              </w:rPr>
              <w:t xml:space="preserve"> miktarının hesaplanması</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3" w:history="1">
              <w:r w:rsidRPr="00D97C80">
                <w:rPr>
                  <w:rFonts w:ascii="Calibri" w:eastAsia="Times New Roman" w:hAnsi="Calibri" w:cs="Calibri"/>
                  <w:u w:val="single"/>
                  <w:lang w:eastAsia="tr-TR"/>
                </w:rPr>
                <w:t>TS EN 14582</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Atıkların nitelendirilmesi - Halojen ve kükürt muhtevasının tayini - Kapalı sistemlerde oksijen ile yakma ve tayin yöntemleri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4" w:history="1">
              <w:r w:rsidRPr="00D97C80">
                <w:rPr>
                  <w:rFonts w:ascii="Calibri" w:eastAsia="Times New Roman" w:hAnsi="Calibri" w:cs="Calibri"/>
                  <w:u w:val="single"/>
                  <w:lang w:eastAsia="tr-TR"/>
                </w:rPr>
                <w:t>TS EN 14735</w:t>
              </w:r>
            </w:hyperlink>
            <w:r w:rsidRPr="00D97C80">
              <w:rPr>
                <w:rFonts w:ascii="Calibri" w:eastAsia="Times New Roman" w:hAnsi="Calibri" w:cs="Calibri"/>
                <w:lang w:eastAsia="tr-TR"/>
              </w:rPr>
              <w:t>   </w:t>
            </w:r>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Atıkların nitelendirilmesi- </w:t>
            </w:r>
            <w:proofErr w:type="spellStart"/>
            <w:r w:rsidRPr="00D97C80">
              <w:rPr>
                <w:rFonts w:ascii="Calibri" w:eastAsia="Times New Roman" w:hAnsi="Calibri" w:cs="Calibri"/>
                <w:lang w:eastAsia="tr-TR"/>
              </w:rPr>
              <w:t>Ekotoksisite</w:t>
            </w:r>
            <w:proofErr w:type="spellEnd"/>
            <w:r w:rsidRPr="00D97C80">
              <w:rPr>
                <w:rFonts w:ascii="Calibri" w:eastAsia="Times New Roman" w:hAnsi="Calibri" w:cs="Calibri"/>
                <w:lang w:eastAsia="tr-TR"/>
              </w:rPr>
              <w:t xml:space="preserve"> deneyleri için atık numunelerinin hazırlanması</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5" w:history="1">
              <w:r w:rsidRPr="00D97C80">
                <w:rPr>
                  <w:rFonts w:ascii="Calibri" w:eastAsia="Times New Roman" w:hAnsi="Calibri" w:cs="Calibri"/>
                  <w:u w:val="single"/>
                  <w:lang w:eastAsia="tr-TR"/>
                </w:rPr>
                <w:t>TS EN 14735/AC</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Atıkların nitelendirilmesi- </w:t>
            </w:r>
            <w:proofErr w:type="spellStart"/>
            <w:r w:rsidRPr="00D97C80">
              <w:rPr>
                <w:rFonts w:ascii="Calibri" w:eastAsia="Times New Roman" w:hAnsi="Calibri" w:cs="Calibri"/>
                <w:lang w:eastAsia="tr-TR"/>
              </w:rPr>
              <w:t>Ekotoksisite</w:t>
            </w:r>
            <w:proofErr w:type="spellEnd"/>
            <w:r w:rsidRPr="00D97C80">
              <w:rPr>
                <w:rFonts w:ascii="Calibri" w:eastAsia="Times New Roman" w:hAnsi="Calibri" w:cs="Calibri"/>
                <w:lang w:eastAsia="tr-TR"/>
              </w:rPr>
              <w:t xml:space="preserve"> deneyleri için atık numunelerinin hazırlanması</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6" w:history="1">
              <w:r w:rsidRPr="00D97C80">
                <w:rPr>
                  <w:rFonts w:ascii="Calibri" w:eastAsia="Times New Roman" w:hAnsi="Calibri" w:cs="Calibri"/>
                  <w:u w:val="single"/>
                  <w:lang w:eastAsia="tr-TR"/>
                </w:rPr>
                <w:t>TS EN 14803</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Atık miktarının tanıtımı ve/veya tarifi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7" w:history="1">
              <w:r w:rsidRPr="00D97C80">
                <w:rPr>
                  <w:rFonts w:ascii="Calibri" w:eastAsia="Times New Roman" w:hAnsi="Calibri" w:cs="Calibri"/>
                  <w:u w:val="single"/>
                  <w:lang w:eastAsia="tr-TR"/>
                </w:rPr>
                <w:t>EN 15169</w:t>
              </w:r>
            </w:hyperlink>
            <w:r w:rsidRPr="00D97C80">
              <w:rPr>
                <w:rFonts w:ascii="Calibri" w:eastAsia="Times New Roman" w:hAnsi="Calibri" w:cs="Calibri"/>
                <w:lang w:eastAsia="tr-TR"/>
              </w:rPr>
              <w:t>   </w:t>
            </w:r>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Atık nitelendirilmesi - Atık, çamur ve çökeltilerde yanma kaybının tayini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8" w:history="1">
              <w:r w:rsidRPr="00D97C80">
                <w:rPr>
                  <w:rFonts w:ascii="Calibri" w:eastAsia="Times New Roman" w:hAnsi="Calibri" w:cs="Calibri"/>
                  <w:u w:val="single"/>
                  <w:lang w:eastAsia="tr-TR"/>
                </w:rPr>
                <w:t>TS EN 15192</w:t>
              </w:r>
            </w:hyperlink>
            <w:r w:rsidRPr="00D97C80">
              <w:rPr>
                <w:rFonts w:ascii="Calibri" w:eastAsia="Times New Roman" w:hAnsi="Calibri" w:cs="Calibri"/>
                <w:lang w:eastAsia="tr-TR"/>
              </w:rPr>
              <w:t>  </w:t>
            </w:r>
          </w:p>
        </w:tc>
        <w:tc>
          <w:tcPr>
            <w:tcW w:w="80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 ve toprağın nitelendirilmesi - Katı maddelerde alkali ortamda parçalama ve </w:t>
            </w:r>
            <w:proofErr w:type="spellStart"/>
            <w:r w:rsidRPr="00D97C80">
              <w:rPr>
                <w:rFonts w:ascii="Calibri" w:eastAsia="Times New Roman" w:hAnsi="Calibri" w:cs="Calibri"/>
                <w:lang w:eastAsia="tr-TR"/>
              </w:rPr>
              <w:t>spektrofotometrik</w:t>
            </w:r>
            <w:proofErr w:type="spellEnd"/>
            <w:r w:rsidRPr="00D97C80">
              <w:rPr>
                <w:rFonts w:ascii="Calibri" w:eastAsia="Times New Roman" w:hAnsi="Calibri" w:cs="Calibri"/>
                <w:lang w:eastAsia="tr-TR"/>
              </w:rPr>
              <w:t xml:space="preserve"> teşhisli iyon </w:t>
            </w:r>
            <w:proofErr w:type="spellStart"/>
            <w:r w:rsidRPr="00D97C80">
              <w:rPr>
                <w:rFonts w:ascii="Calibri" w:eastAsia="Times New Roman" w:hAnsi="Calibri" w:cs="Calibri"/>
                <w:lang w:eastAsia="tr-TR"/>
              </w:rPr>
              <w:t>kromatografisi</w:t>
            </w:r>
            <w:proofErr w:type="spellEnd"/>
            <w:r w:rsidRPr="00D97C80">
              <w:rPr>
                <w:rFonts w:ascii="Calibri" w:eastAsia="Times New Roman" w:hAnsi="Calibri" w:cs="Calibri"/>
                <w:lang w:eastAsia="tr-TR"/>
              </w:rPr>
              <w:t xml:space="preserve"> kullanılarak krom (VI) tayini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19" w:history="1">
              <w:r w:rsidRPr="00D97C80">
                <w:rPr>
                  <w:rFonts w:ascii="Calibri" w:eastAsia="Times New Roman" w:hAnsi="Calibri" w:cs="Calibri"/>
                  <w:u w:val="single"/>
                  <w:lang w:eastAsia="tr-TR"/>
                </w:rPr>
                <w:t>TS EN 15216</w:t>
              </w:r>
            </w:hyperlink>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Atıkların Özellikleri-Su ve </w:t>
            </w:r>
            <w:proofErr w:type="spellStart"/>
            <w:r w:rsidRPr="00D97C80">
              <w:rPr>
                <w:rFonts w:ascii="Calibri" w:eastAsia="Times New Roman" w:hAnsi="Calibri" w:cs="Calibri"/>
                <w:lang w:eastAsia="tr-TR"/>
              </w:rPr>
              <w:t>eluatlarda</w:t>
            </w:r>
            <w:proofErr w:type="spellEnd"/>
            <w:r w:rsidRPr="00D97C80">
              <w:rPr>
                <w:rFonts w:ascii="Calibri" w:eastAsia="Times New Roman" w:hAnsi="Calibri" w:cs="Calibri"/>
                <w:lang w:eastAsia="tr-TR"/>
              </w:rPr>
              <w:t xml:space="preserve"> toplam çözünmüş katı madde (TÇK) tayini</w:t>
            </w:r>
          </w:p>
        </w:tc>
      </w:tr>
      <w:tr w:rsidR="00D97C80" w:rsidRPr="00D97C80" w:rsidTr="00D97C80">
        <w:trPr>
          <w:jc w:val="center"/>
        </w:trPr>
        <w:tc>
          <w:tcPr>
            <w:tcW w:w="1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20" w:history="1">
              <w:r w:rsidRPr="00D97C80">
                <w:rPr>
                  <w:rFonts w:ascii="Calibri" w:eastAsia="Times New Roman" w:hAnsi="Calibri" w:cs="Calibri"/>
                  <w:u w:val="single"/>
                  <w:lang w:eastAsia="tr-TR"/>
                </w:rPr>
                <w:t>TS ISO 9280</w:t>
              </w:r>
            </w:hyperlink>
            <w:r w:rsidRPr="00D97C80">
              <w:rPr>
                <w:rFonts w:ascii="Calibri" w:eastAsia="Times New Roman" w:hAnsi="Calibri" w:cs="Calibri"/>
                <w:lang w:eastAsia="tr-TR"/>
              </w:rPr>
              <w:t> </w:t>
            </w:r>
          </w:p>
        </w:tc>
        <w:tc>
          <w:tcPr>
            <w:tcW w:w="802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Su Kalitesi-Sülfat Tayini-Baryum Klorür Kullanarak </w:t>
            </w:r>
            <w:proofErr w:type="spellStart"/>
            <w:r w:rsidRPr="00D97C80">
              <w:rPr>
                <w:rFonts w:ascii="Calibri" w:eastAsia="Times New Roman" w:hAnsi="Calibri" w:cs="Calibri"/>
                <w:lang w:eastAsia="tr-TR"/>
              </w:rPr>
              <w:t>Gravimetrik</w:t>
            </w:r>
            <w:proofErr w:type="spellEnd"/>
            <w:r w:rsidRPr="00D97C80">
              <w:rPr>
                <w:rFonts w:ascii="Calibri" w:eastAsia="Times New Roman" w:hAnsi="Calibri" w:cs="Calibri"/>
                <w:lang w:eastAsia="tr-TR"/>
              </w:rPr>
              <w:t xml:space="preserve"> Metot</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xml:space="preserve">Atıkların Nitelendirilmesi İle İlgili Diğer Uluslararası </w:t>
      </w:r>
      <w:proofErr w:type="spellStart"/>
      <w:r w:rsidRPr="00D97C80">
        <w:rPr>
          <w:rFonts w:ascii="Calibri" w:eastAsia="Times New Roman" w:hAnsi="Calibri" w:cs="Calibri"/>
          <w:b/>
          <w:bCs/>
          <w:color w:val="000000"/>
          <w:lang w:eastAsia="tr-TR"/>
        </w:rPr>
        <w:t>Standardlar</w:t>
      </w:r>
      <w:proofErr w:type="spellEnd"/>
    </w:p>
    <w:tbl>
      <w:tblPr>
        <w:tblW w:w="8856" w:type="dxa"/>
        <w:jc w:val="center"/>
        <w:tblCellMar>
          <w:left w:w="0" w:type="dxa"/>
          <w:right w:w="0" w:type="dxa"/>
        </w:tblCellMar>
        <w:tblLook w:val="04A0" w:firstRow="1" w:lastRow="0" w:firstColumn="1" w:lastColumn="0" w:noHBand="0" w:noVBand="1"/>
      </w:tblPr>
      <w:tblGrid>
        <w:gridCol w:w="2187"/>
        <w:gridCol w:w="6669"/>
      </w:tblGrid>
      <w:tr w:rsidR="00D97C80" w:rsidRPr="00D97C80" w:rsidTr="00D97C80">
        <w:trPr>
          <w:jc w:val="center"/>
        </w:trPr>
        <w:tc>
          <w:tcPr>
            <w:tcW w:w="2187"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EN 14899:2005</w:t>
            </w:r>
          </w:p>
        </w:tc>
        <w:tc>
          <w:tcPr>
            <w:tcW w:w="6669" w:type="dxa"/>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Characterization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materials</w:t>
            </w:r>
            <w:proofErr w:type="spellEnd"/>
            <w:r w:rsidRPr="00D97C80">
              <w:rPr>
                <w:rFonts w:ascii="Calibri" w:eastAsia="Times New Roman" w:hAnsi="Calibri" w:cs="Calibri"/>
                <w:lang w:eastAsia="tr-TR"/>
              </w:rPr>
              <w:t xml:space="preserve"> - Framework </w:t>
            </w:r>
            <w:proofErr w:type="spellStart"/>
            <w:r w:rsidRPr="00D97C80">
              <w:rPr>
                <w:rFonts w:ascii="Calibri" w:eastAsia="Times New Roman" w:hAnsi="Calibri" w:cs="Calibri"/>
                <w:lang w:eastAsia="tr-TR"/>
              </w:rPr>
              <w:t>for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the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preparation</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and</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application</w:t>
            </w:r>
            <w:proofErr w:type="spellEnd"/>
            <w:r w:rsidRPr="00D97C80">
              <w:rPr>
                <w:rFonts w:ascii="Calibri" w:eastAsia="Times New Roman" w:hAnsi="Calibri" w:cs="Calibri"/>
                <w:lang w:eastAsia="tr-TR"/>
              </w:rPr>
              <w:t xml:space="preserve"> of a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Plan</w:t>
            </w:r>
          </w:p>
        </w:tc>
      </w:tr>
      <w:tr w:rsidR="00D97C80" w:rsidRPr="00D97C80" w:rsidTr="00D97C80">
        <w:trPr>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CEN/TR 15310-</w:t>
            </w:r>
            <w:proofErr w:type="gramStart"/>
            <w:r w:rsidRPr="00D97C80">
              <w:rPr>
                <w:rFonts w:ascii="Calibri" w:eastAsia="Times New Roman" w:hAnsi="Calibri" w:cs="Calibri"/>
                <w:lang w:eastAsia="tr-TR"/>
              </w:rPr>
              <w:t>1:2006</w:t>
            </w:r>
            <w:proofErr w:type="gramEnd"/>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Characterization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materials</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Part</w:t>
            </w:r>
            <w:proofErr w:type="spellEnd"/>
            <w:r w:rsidRPr="00D97C80">
              <w:rPr>
                <w:rFonts w:ascii="Calibri" w:eastAsia="Times New Roman" w:hAnsi="Calibri" w:cs="Calibri"/>
                <w:lang w:eastAsia="tr-TR"/>
              </w:rPr>
              <w:t xml:space="preserve"> 1: </w:t>
            </w:r>
            <w:proofErr w:type="spellStart"/>
            <w:r w:rsidRPr="00D97C80">
              <w:rPr>
                <w:rFonts w:ascii="Calibri" w:eastAsia="Times New Roman" w:hAnsi="Calibri" w:cs="Calibri"/>
                <w:lang w:eastAsia="tr-TR"/>
              </w:rPr>
              <w:t>Guidance</w:t>
            </w:r>
            <w:proofErr w:type="spellEnd"/>
            <w:r w:rsidRPr="00D97C80">
              <w:rPr>
                <w:rFonts w:ascii="Calibri" w:eastAsia="Times New Roman" w:hAnsi="Calibri" w:cs="Calibri"/>
                <w:lang w:eastAsia="tr-TR"/>
              </w:rPr>
              <w:t xml:space="preserve"> on </w:t>
            </w:r>
            <w:proofErr w:type="spellStart"/>
            <w:r w:rsidRPr="00D97C80">
              <w:rPr>
                <w:rFonts w:ascii="Calibri" w:eastAsia="Times New Roman" w:hAnsi="Calibri" w:cs="Calibri"/>
                <w:lang w:eastAsia="tr-TR"/>
              </w:rPr>
              <w:t>selection</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and</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application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criteria</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for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under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various</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conditions</w:t>
            </w:r>
            <w:proofErr w:type="spellEnd"/>
          </w:p>
        </w:tc>
      </w:tr>
      <w:tr w:rsidR="00D97C80" w:rsidRPr="00D97C80" w:rsidTr="00D97C80">
        <w:trPr>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CEN/TR 15310-</w:t>
            </w:r>
            <w:proofErr w:type="gramStart"/>
            <w:r w:rsidRPr="00D97C80">
              <w:rPr>
                <w:rFonts w:ascii="Calibri" w:eastAsia="Times New Roman" w:hAnsi="Calibri" w:cs="Calibri"/>
                <w:lang w:eastAsia="tr-TR"/>
              </w:rPr>
              <w:t>2:2006</w:t>
            </w:r>
            <w:proofErr w:type="gramEnd"/>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Characterization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materials</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Part</w:t>
            </w:r>
            <w:proofErr w:type="spellEnd"/>
            <w:r w:rsidRPr="00D97C80">
              <w:rPr>
                <w:rFonts w:ascii="Calibri" w:eastAsia="Times New Roman" w:hAnsi="Calibri" w:cs="Calibri"/>
                <w:lang w:eastAsia="tr-TR"/>
              </w:rPr>
              <w:t xml:space="preserve"> 2: </w:t>
            </w:r>
            <w:proofErr w:type="spellStart"/>
            <w:r w:rsidRPr="00D97C80">
              <w:rPr>
                <w:rFonts w:ascii="Calibri" w:eastAsia="Times New Roman" w:hAnsi="Calibri" w:cs="Calibri"/>
                <w:lang w:eastAsia="tr-TR"/>
              </w:rPr>
              <w:t>Guidance</w:t>
            </w:r>
            <w:proofErr w:type="spellEnd"/>
            <w:r w:rsidRPr="00D97C80">
              <w:rPr>
                <w:rFonts w:ascii="Calibri" w:eastAsia="Times New Roman" w:hAnsi="Calibri" w:cs="Calibri"/>
                <w:lang w:eastAsia="tr-TR"/>
              </w:rPr>
              <w:t xml:space="preserve"> on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techniques</w:t>
            </w:r>
            <w:proofErr w:type="spellEnd"/>
          </w:p>
        </w:tc>
      </w:tr>
      <w:tr w:rsidR="00D97C80" w:rsidRPr="00D97C80" w:rsidTr="00D97C80">
        <w:trPr>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CEN/TR 15310-</w:t>
            </w:r>
            <w:proofErr w:type="gramStart"/>
            <w:r w:rsidRPr="00D97C80">
              <w:rPr>
                <w:rFonts w:ascii="Calibri" w:eastAsia="Times New Roman" w:hAnsi="Calibri" w:cs="Calibri"/>
                <w:lang w:eastAsia="tr-TR"/>
              </w:rPr>
              <w:t>3:2006</w:t>
            </w:r>
            <w:proofErr w:type="gramEnd"/>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Characterization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materials</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Part</w:t>
            </w:r>
            <w:proofErr w:type="spellEnd"/>
            <w:r w:rsidRPr="00D97C80">
              <w:rPr>
                <w:rFonts w:ascii="Calibri" w:eastAsia="Times New Roman" w:hAnsi="Calibri" w:cs="Calibri"/>
                <w:lang w:eastAsia="tr-TR"/>
              </w:rPr>
              <w:t xml:space="preserve"> 3: </w:t>
            </w:r>
            <w:proofErr w:type="spellStart"/>
            <w:r w:rsidRPr="00D97C80">
              <w:rPr>
                <w:rFonts w:ascii="Calibri" w:eastAsia="Times New Roman" w:hAnsi="Calibri" w:cs="Calibri"/>
                <w:lang w:eastAsia="tr-TR"/>
              </w:rPr>
              <w:t>Guidance</w:t>
            </w:r>
            <w:proofErr w:type="spellEnd"/>
            <w:r w:rsidRPr="00D97C80">
              <w:rPr>
                <w:rFonts w:ascii="Calibri" w:eastAsia="Times New Roman" w:hAnsi="Calibri" w:cs="Calibri"/>
                <w:lang w:eastAsia="tr-TR"/>
              </w:rPr>
              <w:t xml:space="preserve"> on </w:t>
            </w:r>
            <w:proofErr w:type="spellStart"/>
            <w:r w:rsidRPr="00D97C80">
              <w:rPr>
                <w:rFonts w:ascii="Calibri" w:eastAsia="Times New Roman" w:hAnsi="Calibri" w:cs="Calibri"/>
                <w:lang w:eastAsia="tr-TR"/>
              </w:rPr>
              <w:t>procedures</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for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sub-sampling</w:t>
            </w:r>
            <w:proofErr w:type="spellEnd"/>
            <w:r w:rsidRPr="00D97C80">
              <w:rPr>
                <w:rFonts w:ascii="Calibri" w:eastAsia="Times New Roman" w:hAnsi="Calibri" w:cs="Calibri"/>
                <w:lang w:eastAsia="tr-TR"/>
              </w:rPr>
              <w:t xml:space="preserve"> in </w:t>
            </w:r>
            <w:proofErr w:type="spellStart"/>
            <w:r w:rsidRPr="00D97C80">
              <w:rPr>
                <w:rFonts w:ascii="Calibri" w:eastAsia="Times New Roman" w:hAnsi="Calibri" w:cs="Calibri"/>
                <w:lang w:eastAsia="tr-TR"/>
              </w:rPr>
              <w:t>the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field</w:t>
            </w:r>
            <w:proofErr w:type="spellEnd"/>
          </w:p>
        </w:tc>
      </w:tr>
      <w:tr w:rsidR="00D97C80" w:rsidRPr="00D97C80" w:rsidTr="00D97C80">
        <w:trPr>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CEN/TR 15310-</w:t>
            </w:r>
            <w:proofErr w:type="gramStart"/>
            <w:r w:rsidRPr="00D97C80">
              <w:rPr>
                <w:rFonts w:ascii="Calibri" w:eastAsia="Times New Roman" w:hAnsi="Calibri" w:cs="Calibri"/>
                <w:lang w:eastAsia="tr-TR"/>
              </w:rPr>
              <w:t>4:2006</w:t>
            </w:r>
            <w:proofErr w:type="gramEnd"/>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Characterization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materials</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Part</w:t>
            </w:r>
            <w:proofErr w:type="spellEnd"/>
            <w:r w:rsidRPr="00D97C80">
              <w:rPr>
                <w:rFonts w:ascii="Calibri" w:eastAsia="Times New Roman" w:hAnsi="Calibri" w:cs="Calibri"/>
                <w:lang w:eastAsia="tr-TR"/>
              </w:rPr>
              <w:t xml:space="preserve"> 4: </w:t>
            </w:r>
            <w:proofErr w:type="spellStart"/>
            <w:r w:rsidRPr="00D97C80">
              <w:rPr>
                <w:rFonts w:ascii="Calibri" w:eastAsia="Times New Roman" w:hAnsi="Calibri" w:cs="Calibri"/>
                <w:lang w:eastAsia="tr-TR"/>
              </w:rPr>
              <w:t>Guidance</w:t>
            </w:r>
            <w:proofErr w:type="spellEnd"/>
            <w:r w:rsidRPr="00D97C80">
              <w:rPr>
                <w:rFonts w:ascii="Calibri" w:eastAsia="Times New Roman" w:hAnsi="Calibri" w:cs="Calibri"/>
                <w:lang w:eastAsia="tr-TR"/>
              </w:rPr>
              <w:t xml:space="preserve"> on </w:t>
            </w:r>
            <w:proofErr w:type="spellStart"/>
            <w:r w:rsidRPr="00D97C80">
              <w:rPr>
                <w:rFonts w:ascii="Calibri" w:eastAsia="Times New Roman" w:hAnsi="Calibri" w:cs="Calibri"/>
                <w:lang w:eastAsia="tr-TR"/>
              </w:rPr>
              <w:t>procedures</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for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sample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packaging</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storage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preservation</w:t>
            </w:r>
            <w:proofErr w:type="spellEnd"/>
            <w:r w:rsidRPr="00D97C80">
              <w:rPr>
                <w:rFonts w:ascii="Calibri" w:eastAsia="Times New Roman" w:hAnsi="Calibri" w:cs="Calibri"/>
                <w:lang w:eastAsia="tr-TR"/>
              </w:rPr>
              <w:t xml:space="preserve">, transport </w:t>
            </w:r>
            <w:proofErr w:type="spellStart"/>
            <w:r w:rsidRPr="00D97C80">
              <w:rPr>
                <w:rFonts w:ascii="Calibri" w:eastAsia="Times New Roman" w:hAnsi="Calibri" w:cs="Calibri"/>
                <w:lang w:eastAsia="tr-TR"/>
              </w:rPr>
              <w:t>and</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delivery</w:t>
            </w:r>
            <w:proofErr w:type="spellEnd"/>
          </w:p>
        </w:tc>
      </w:tr>
      <w:tr w:rsidR="00D97C80" w:rsidRPr="00D97C80" w:rsidTr="00D97C80">
        <w:trPr>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CEN/TR 15310-</w:t>
            </w:r>
            <w:proofErr w:type="gramStart"/>
            <w:r w:rsidRPr="00D97C80">
              <w:rPr>
                <w:rFonts w:ascii="Calibri" w:eastAsia="Times New Roman" w:hAnsi="Calibri" w:cs="Calibri"/>
                <w:lang w:eastAsia="tr-TR"/>
              </w:rPr>
              <w:t>5:2006</w:t>
            </w:r>
            <w:proofErr w:type="gramEnd"/>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Characterization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materials</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Part</w:t>
            </w:r>
            <w:proofErr w:type="spellEnd"/>
            <w:r w:rsidRPr="00D97C80">
              <w:rPr>
                <w:rFonts w:ascii="Calibri" w:eastAsia="Times New Roman" w:hAnsi="Calibri" w:cs="Calibri"/>
                <w:lang w:eastAsia="tr-TR"/>
              </w:rPr>
              <w:t xml:space="preserve"> 5: </w:t>
            </w:r>
            <w:proofErr w:type="spellStart"/>
            <w:r w:rsidRPr="00D97C80">
              <w:rPr>
                <w:rFonts w:ascii="Calibri" w:eastAsia="Times New Roman" w:hAnsi="Calibri" w:cs="Calibri"/>
                <w:lang w:eastAsia="tr-TR"/>
              </w:rPr>
              <w:t>Guidance</w:t>
            </w:r>
            <w:proofErr w:type="spellEnd"/>
            <w:r w:rsidRPr="00D97C80">
              <w:rPr>
                <w:rFonts w:ascii="Calibri" w:eastAsia="Times New Roman" w:hAnsi="Calibri" w:cs="Calibri"/>
                <w:lang w:eastAsia="tr-TR"/>
              </w:rPr>
              <w:t xml:space="preserve"> on </w:t>
            </w:r>
            <w:proofErr w:type="spellStart"/>
            <w:r w:rsidRPr="00D97C80">
              <w:rPr>
                <w:rFonts w:ascii="Calibri" w:eastAsia="Times New Roman" w:hAnsi="Calibri" w:cs="Calibri"/>
                <w:lang w:eastAsia="tr-TR"/>
              </w:rPr>
              <w:t>the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process</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defining</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the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sampling</w:t>
            </w:r>
            <w:proofErr w:type="spellEnd"/>
            <w:r w:rsidRPr="00D97C80">
              <w:rPr>
                <w:rFonts w:ascii="Calibri" w:eastAsia="Times New Roman" w:hAnsi="Calibri" w:cs="Calibri"/>
                <w:lang w:eastAsia="tr-TR"/>
              </w:rPr>
              <w:t xml:space="preserve"> plan</w:t>
            </w:r>
          </w:p>
        </w:tc>
      </w:tr>
      <w:tr w:rsidR="00D97C80" w:rsidRPr="00D97C80" w:rsidTr="00D97C80">
        <w:trPr>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CEN/TS 14405:2004</w:t>
            </w:r>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Characterization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Leaching</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behaviour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tests</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Up-flow</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percolation</w:t>
            </w:r>
            <w:proofErr w:type="spellEnd"/>
            <w:r w:rsidRPr="00D97C80">
              <w:rPr>
                <w:rFonts w:ascii="Calibri" w:eastAsia="Times New Roman" w:hAnsi="Calibri" w:cs="Calibri"/>
                <w:lang w:eastAsia="tr-TR"/>
              </w:rPr>
              <w:t xml:space="preserve"> test (</w:t>
            </w:r>
            <w:proofErr w:type="spellStart"/>
            <w:r w:rsidRPr="00D97C80">
              <w:rPr>
                <w:rFonts w:ascii="Calibri" w:eastAsia="Times New Roman" w:hAnsi="Calibri" w:cs="Calibri"/>
                <w:lang w:eastAsia="tr-TR"/>
              </w:rPr>
              <w:t>under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specified</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conditions</w:t>
            </w:r>
            <w:proofErr w:type="spellEnd"/>
            <w:r w:rsidRPr="00D97C80">
              <w:rPr>
                <w:rFonts w:ascii="Calibri" w:eastAsia="Times New Roman" w:hAnsi="Calibri" w:cs="Calibri"/>
                <w:lang w:eastAsia="tr-TR"/>
              </w:rPr>
              <w:t>)</w:t>
            </w:r>
          </w:p>
        </w:tc>
      </w:tr>
      <w:tr w:rsidR="00D97C80" w:rsidRPr="00D97C80" w:rsidTr="00D97C80">
        <w:trPr>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CEN/TS 14429:2005</w:t>
            </w:r>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Characterization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Leaching</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behaviour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tests</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Influence</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pH</w:t>
            </w:r>
            <w:proofErr w:type="spellEnd"/>
            <w:r w:rsidRPr="00D97C80">
              <w:rPr>
                <w:rFonts w:ascii="Calibri" w:eastAsia="Times New Roman" w:hAnsi="Calibri" w:cs="Calibri"/>
                <w:lang w:eastAsia="tr-TR"/>
              </w:rPr>
              <w:t xml:space="preserve"> on </w:t>
            </w:r>
            <w:proofErr w:type="spellStart"/>
            <w:r w:rsidRPr="00D97C80">
              <w:rPr>
                <w:rFonts w:ascii="Calibri" w:eastAsia="Times New Roman" w:hAnsi="Calibri" w:cs="Calibri"/>
                <w:lang w:eastAsia="tr-TR"/>
              </w:rPr>
              <w:t>leaching</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with</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initial</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acid</w:t>
            </w:r>
            <w:proofErr w:type="spellEnd"/>
            <w:r w:rsidRPr="00D97C80">
              <w:rPr>
                <w:rFonts w:ascii="Calibri" w:eastAsia="Times New Roman" w:hAnsi="Calibri" w:cs="Calibri"/>
                <w:lang w:eastAsia="tr-TR"/>
              </w:rPr>
              <w:t>/</w:t>
            </w:r>
            <w:proofErr w:type="spellStart"/>
            <w:r w:rsidRPr="00D97C80">
              <w:rPr>
                <w:rFonts w:ascii="Calibri" w:eastAsia="Times New Roman" w:hAnsi="Calibri" w:cs="Calibri"/>
                <w:lang w:eastAsia="tr-TR"/>
              </w:rPr>
              <w:t>base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addition</w:t>
            </w:r>
            <w:proofErr w:type="spellEnd"/>
          </w:p>
        </w:tc>
      </w:tr>
      <w:tr w:rsidR="00D97C80" w:rsidRPr="00D97C80" w:rsidTr="00D97C80">
        <w:trPr>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EN 15002:2006</w:t>
            </w:r>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Characterization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Preparation</w:t>
            </w:r>
            <w:proofErr w:type="spellEnd"/>
            <w:r w:rsidRPr="00D97C80">
              <w:rPr>
                <w:rFonts w:ascii="Calibri" w:eastAsia="Times New Roman" w:hAnsi="Calibri" w:cs="Calibri"/>
                <w:lang w:eastAsia="tr-TR"/>
              </w:rPr>
              <w:t xml:space="preserve"> of test </w:t>
            </w:r>
            <w:proofErr w:type="spellStart"/>
            <w:r w:rsidRPr="00D97C80">
              <w:rPr>
                <w:rFonts w:ascii="Calibri" w:eastAsia="Times New Roman" w:hAnsi="Calibri" w:cs="Calibri"/>
                <w:lang w:eastAsia="tr-TR"/>
              </w:rPr>
              <w:t>portions</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from</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the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laboratory</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sample</w:t>
            </w:r>
            <w:proofErr w:type="spellEnd"/>
          </w:p>
        </w:tc>
      </w:tr>
      <w:tr w:rsidR="00D97C80" w:rsidRPr="00D97C80" w:rsidTr="00D97C80">
        <w:trPr>
          <w:trHeight w:val="277"/>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prEN</w:t>
            </w:r>
            <w:proofErr w:type="spellEnd"/>
            <w:r w:rsidRPr="00D97C80">
              <w:rPr>
                <w:rFonts w:ascii="Calibri" w:eastAsia="Times New Roman" w:hAnsi="Calibri" w:cs="Calibri"/>
                <w:lang w:eastAsia="tr-TR"/>
              </w:rPr>
              <w:t xml:space="preserve"> 14405</w:t>
            </w:r>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Leaching</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behaviour</w:t>
            </w:r>
            <w:proofErr w:type="spellEnd"/>
            <w:r w:rsidRPr="00D97C80">
              <w:rPr>
                <w:rFonts w:ascii="Calibri" w:eastAsia="Times New Roman" w:hAnsi="Calibri" w:cs="Calibri"/>
                <w:lang w:eastAsia="tr-TR"/>
              </w:rPr>
              <w:t xml:space="preserve"> test - </w:t>
            </w:r>
            <w:proofErr w:type="spellStart"/>
            <w:r w:rsidRPr="00D97C80">
              <w:rPr>
                <w:rFonts w:ascii="Calibri" w:eastAsia="Times New Roman" w:hAnsi="Calibri" w:cs="Calibri"/>
                <w:lang w:eastAsia="tr-TR"/>
              </w:rPr>
              <w:t>Up-flow</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percolation</w:t>
            </w:r>
            <w:proofErr w:type="spellEnd"/>
            <w:r w:rsidRPr="00D97C80">
              <w:rPr>
                <w:rFonts w:ascii="Calibri" w:eastAsia="Times New Roman" w:hAnsi="Calibri" w:cs="Calibri"/>
                <w:lang w:eastAsia="tr-TR"/>
              </w:rPr>
              <w:t xml:space="preserve"> test (</w:t>
            </w:r>
            <w:proofErr w:type="spellStart"/>
            <w:r w:rsidRPr="00D97C80">
              <w:rPr>
                <w:rFonts w:ascii="Calibri" w:eastAsia="Times New Roman" w:hAnsi="Calibri" w:cs="Calibri"/>
                <w:lang w:eastAsia="tr-TR"/>
              </w:rPr>
              <w:t>Up-flow</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percolation</w:t>
            </w:r>
            <w:proofErr w:type="spellEnd"/>
            <w:r w:rsidRPr="00D97C80">
              <w:rPr>
                <w:rFonts w:ascii="Calibri" w:eastAsia="Times New Roman" w:hAnsi="Calibri" w:cs="Calibri"/>
                <w:lang w:eastAsia="tr-TR"/>
              </w:rPr>
              <w:t xml:space="preserve"> test </w:t>
            </w:r>
            <w:proofErr w:type="spellStart"/>
            <w:r w:rsidRPr="00D97C80">
              <w:rPr>
                <w:rFonts w:ascii="Calibri" w:eastAsia="Times New Roman" w:hAnsi="Calibri" w:cs="Calibri"/>
                <w:lang w:eastAsia="tr-TR"/>
              </w:rPr>
              <w:t>for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inorganic</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constituents</w:t>
            </w:r>
            <w:proofErr w:type="spellEnd"/>
            <w:r w:rsidRPr="00D97C80">
              <w:rPr>
                <w:rFonts w:ascii="Calibri" w:eastAsia="Times New Roman" w:hAnsi="Calibri" w:cs="Calibri"/>
                <w:lang w:eastAsia="tr-TR"/>
              </w:rPr>
              <w:t>)</w:t>
            </w:r>
          </w:p>
        </w:tc>
      </w:tr>
      <w:tr w:rsidR="00D97C80" w:rsidRPr="00D97C80" w:rsidTr="00D97C80">
        <w:trPr>
          <w:trHeight w:val="277"/>
          <w:jc w:val="center"/>
        </w:trPr>
        <w:tc>
          <w:tcPr>
            <w:tcW w:w="2187" w:type="dxa"/>
            <w:tcBorders>
              <w:top w:val="nil"/>
              <w:left w:val="single" w:sz="8" w:space="0" w:color="auto"/>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ASTM D6160</w:t>
            </w:r>
          </w:p>
        </w:tc>
        <w:tc>
          <w:tcPr>
            <w:tcW w:w="6669" w:type="dxa"/>
            <w:tcBorders>
              <w:top w:val="nil"/>
              <w:left w:val="nil"/>
              <w:bottom w:val="single" w:sz="8" w:space="0" w:color="auto"/>
              <w:right w:val="single" w:sz="8" w:space="0" w:color="auto"/>
            </w:tcBorders>
            <w:tcMar>
              <w:top w:w="60" w:type="dxa"/>
              <w:left w:w="60" w:type="dxa"/>
              <w:bottom w:w="60" w:type="dxa"/>
              <w:right w:w="60"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Standard test </w:t>
            </w:r>
            <w:proofErr w:type="spellStart"/>
            <w:r w:rsidRPr="00D97C80">
              <w:rPr>
                <w:rFonts w:ascii="Calibri" w:eastAsia="Times New Roman" w:hAnsi="Calibri" w:cs="Calibri"/>
                <w:lang w:eastAsia="tr-TR"/>
              </w:rPr>
              <w:t>method</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for</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determination</w:t>
            </w:r>
            <w:proofErr w:type="spellEnd"/>
            <w:r w:rsidRPr="00D97C80">
              <w:rPr>
                <w:rFonts w:ascii="Calibri" w:eastAsia="Times New Roman" w:hAnsi="Calibri" w:cs="Calibri"/>
                <w:lang w:eastAsia="tr-TR"/>
              </w:rPr>
              <w:t xml:space="preserve"> of </w:t>
            </w:r>
            <w:proofErr w:type="spellStart"/>
            <w:r w:rsidRPr="00D97C80">
              <w:rPr>
                <w:rFonts w:ascii="Calibri" w:eastAsia="Times New Roman" w:hAnsi="Calibri" w:cs="Calibri"/>
                <w:lang w:eastAsia="tr-TR"/>
              </w:rPr>
              <w:t>Polychlorinated</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Biphenyls</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PCBs</w:t>
            </w:r>
            <w:proofErr w:type="spellEnd"/>
            <w:r w:rsidRPr="00D97C80">
              <w:rPr>
                <w:rFonts w:ascii="Calibri" w:eastAsia="Times New Roman" w:hAnsi="Calibri" w:cs="Calibri"/>
                <w:lang w:eastAsia="tr-TR"/>
              </w:rPr>
              <w:t xml:space="preserve">) in </w:t>
            </w:r>
            <w:proofErr w:type="spellStart"/>
            <w:r w:rsidRPr="00D97C80">
              <w:rPr>
                <w:rFonts w:ascii="Calibri" w:eastAsia="Times New Roman" w:hAnsi="Calibri" w:cs="Calibri"/>
                <w:lang w:eastAsia="tr-TR"/>
              </w:rPr>
              <w:t>waste</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materials</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by</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Gas</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Chromotography</w:t>
            </w:r>
            <w:proofErr w:type="spellEnd"/>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240" w:lineRule="auto"/>
        <w:rPr>
          <w:rFonts w:ascii="Times New Roman" w:eastAsia="Times New Roman" w:hAnsi="Times New Roman" w:cs="Times New Roman"/>
          <w:sz w:val="24"/>
          <w:szCs w:val="24"/>
          <w:lang w:eastAsia="tr-TR"/>
        </w:rPr>
      </w:pPr>
      <w:r w:rsidRPr="00D97C80">
        <w:rPr>
          <w:rFonts w:ascii="Calibri" w:eastAsia="Times New Roman" w:hAnsi="Calibri" w:cs="Calibri"/>
          <w:b/>
          <w:bCs/>
          <w:color w:val="000000"/>
          <w:lang w:eastAsia="tr-TR"/>
        </w:rPr>
        <w:br w:type="textWrapping" w:clear="all"/>
      </w:r>
    </w:p>
    <w:p w:rsidR="00D97C80" w:rsidRPr="00D97C80" w:rsidRDefault="00D97C80" w:rsidP="00D97C80">
      <w:pPr>
        <w:spacing w:after="0" w:line="305" w:lineRule="atLeast"/>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Ek-2</w:t>
      </w:r>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Atık Kabul Kriterleri</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1- Sınır değer artırımları</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Atıkların, kabul </w:t>
      </w:r>
      <w:proofErr w:type="gramStart"/>
      <w:r w:rsidRPr="00D97C80">
        <w:rPr>
          <w:rFonts w:ascii="Calibri" w:eastAsia="Times New Roman" w:hAnsi="Calibri" w:cs="Calibri"/>
          <w:color w:val="000000"/>
          <w:lang w:eastAsia="tr-TR"/>
        </w:rPr>
        <w:t>kriterlerine</w:t>
      </w:r>
      <w:proofErr w:type="gramEnd"/>
      <w:r w:rsidRPr="00D97C80">
        <w:rPr>
          <w:rFonts w:ascii="Calibri" w:eastAsia="Times New Roman" w:hAnsi="Calibri" w:cs="Calibri"/>
          <w:color w:val="000000"/>
          <w:lang w:eastAsia="tr-TR"/>
        </w:rPr>
        <w:t xml:space="preserve"> ilişkin sınır değerlere göre uygun depolama alanında </w:t>
      </w:r>
      <w:proofErr w:type="spellStart"/>
      <w:r w:rsidRPr="00D97C80">
        <w:rPr>
          <w:rFonts w:ascii="Calibri" w:eastAsia="Times New Roman" w:hAnsi="Calibri" w:cs="Calibri"/>
          <w:color w:val="000000"/>
          <w:lang w:eastAsia="tr-TR"/>
        </w:rPr>
        <w:t>bertarafı</w:t>
      </w:r>
      <w:proofErr w:type="spellEnd"/>
      <w:r w:rsidRPr="00D97C80">
        <w:rPr>
          <w:rFonts w:ascii="Calibri" w:eastAsia="Times New Roman" w:hAnsi="Calibri" w:cs="Calibri"/>
          <w:color w:val="000000"/>
          <w:lang w:eastAsia="tr-TR"/>
        </w:rPr>
        <w:t xml:space="preserve"> sağlanır. Ancak, bazı sınır değerlerin aşılması durumunda, depolama tesisi ve çevresinin özelliklerini dikkate alınarak sızıntı suyu da dâhil olmak üzere oluşabilecek </w:t>
      </w:r>
      <w:proofErr w:type="gramStart"/>
      <w:r w:rsidRPr="00D97C80">
        <w:rPr>
          <w:rFonts w:ascii="Calibri" w:eastAsia="Times New Roman" w:hAnsi="Calibri" w:cs="Calibri"/>
          <w:color w:val="000000"/>
          <w:lang w:eastAsia="tr-TR"/>
        </w:rPr>
        <w:t>emisyonların</w:t>
      </w:r>
      <w:proofErr w:type="gramEnd"/>
      <w:r w:rsidRPr="00D97C80">
        <w:rPr>
          <w:rFonts w:ascii="Calibri" w:eastAsia="Times New Roman" w:hAnsi="Calibri" w:cs="Calibri"/>
          <w:color w:val="000000"/>
          <w:lang w:eastAsia="tr-TR"/>
        </w:rPr>
        <w:t xml:space="preserve"> tesise ilave bir yük getirmeyeceğinin işletmeci tarafından belgelenmesi halinde, atık sahibinin talebi üzerine Bakanlık her bir durum bazında aşağıda verilen sınır değer artırımları dâhilinde atığın belirlenen tesise kabul edilmesi için izin verebilir. Her bir düzenli depolama sınıfına ilişkin artırımlar aşağıda verilmektedir: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III. sınıf depolama tesisi sınır değer artırımları</w:t>
      </w:r>
    </w:p>
    <w:tbl>
      <w:tblPr>
        <w:tblW w:w="8505" w:type="dxa"/>
        <w:jc w:val="center"/>
        <w:tblCellMar>
          <w:left w:w="0" w:type="dxa"/>
          <w:right w:w="0" w:type="dxa"/>
        </w:tblCellMar>
        <w:tblLook w:val="04A0" w:firstRow="1" w:lastRow="0" w:firstColumn="1" w:lastColumn="0" w:noHBand="0" w:noVBand="1"/>
      </w:tblPr>
      <w:tblGrid>
        <w:gridCol w:w="3083"/>
        <w:gridCol w:w="3734"/>
        <w:gridCol w:w="1688"/>
      </w:tblGrid>
      <w:tr w:rsidR="00D97C80" w:rsidRPr="00D97C80" w:rsidTr="00D97C80">
        <w:trPr>
          <w:trHeight w:val="345"/>
          <w:jc w:val="center"/>
        </w:trPr>
        <w:tc>
          <w:tcPr>
            <w:tcW w:w="3250" w:type="dxa"/>
            <w:tcBorders>
              <w:top w:val="single" w:sz="8" w:space="0" w:color="auto"/>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Artırılabilecek parametreler</w:t>
            </w:r>
          </w:p>
        </w:tc>
        <w:tc>
          <w:tcPr>
            <w:tcW w:w="3969" w:type="dxa"/>
            <w:tcBorders>
              <w:top w:val="single" w:sz="8" w:space="0" w:color="auto"/>
              <w:left w:val="nil"/>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Sabit kalması gereken parametreler</w:t>
            </w:r>
          </w:p>
        </w:tc>
        <w:tc>
          <w:tcPr>
            <w:tcW w:w="1781" w:type="dxa"/>
            <w:tcBorders>
              <w:top w:val="single" w:sz="8" w:space="0" w:color="auto"/>
              <w:left w:val="nil"/>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Artırım miktarı</w:t>
            </w: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As (Arsenik)</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1781" w:type="dxa"/>
            <w:vMerge w:val="restart"/>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3 katı</w:t>
            </w: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Ba</w:t>
            </w:r>
            <w:proofErr w:type="spellEnd"/>
            <w:r w:rsidRPr="00D97C80">
              <w:rPr>
                <w:rFonts w:ascii="Calibri" w:eastAsia="Times New Roman" w:hAnsi="Calibri" w:cs="Calibri"/>
                <w:lang w:eastAsia="tr-TR"/>
              </w:rPr>
              <w:t xml:space="preserve"> (Baryum)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43"/>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Cd</w:t>
            </w:r>
            <w:proofErr w:type="spellEnd"/>
            <w:r w:rsidRPr="00D97C80">
              <w:rPr>
                <w:rFonts w:ascii="Calibri" w:eastAsia="Times New Roman" w:hAnsi="Calibri" w:cs="Calibri"/>
                <w:lang w:eastAsia="tr-TR"/>
              </w:rPr>
              <w:t xml:space="preserve"> (Kadmiyum)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Cr toplam (Toplam krom)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Cu (Bakır)</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Hg (</w:t>
            </w:r>
            <w:proofErr w:type="spellStart"/>
            <w:r w:rsidRPr="00D97C80">
              <w:rPr>
                <w:rFonts w:ascii="Calibri" w:eastAsia="Times New Roman" w:hAnsi="Calibri" w:cs="Calibri"/>
                <w:lang w:eastAsia="tr-TR"/>
              </w:rPr>
              <w:t>Civa</w:t>
            </w:r>
            <w:proofErr w:type="spellEnd"/>
            <w:r w:rsidRPr="00D97C80">
              <w:rPr>
                <w:rFonts w:ascii="Calibri" w:eastAsia="Times New Roman" w:hAnsi="Calibri" w:cs="Calibri"/>
                <w:lang w:eastAsia="tr-TR"/>
              </w:rPr>
              <w:t>)</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Mo</w:t>
            </w:r>
            <w:proofErr w:type="spellEnd"/>
            <w:r w:rsidRPr="00D97C80">
              <w:rPr>
                <w:rFonts w:ascii="Calibri" w:eastAsia="Times New Roman" w:hAnsi="Calibri" w:cs="Calibri"/>
                <w:lang w:eastAsia="tr-TR"/>
              </w:rPr>
              <w:t xml:space="preserve"> (Molibden)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Ni</w:t>
            </w:r>
            <w:proofErr w:type="spellEnd"/>
            <w:r w:rsidRPr="00D97C80">
              <w:rPr>
                <w:rFonts w:ascii="Calibri" w:eastAsia="Times New Roman" w:hAnsi="Calibri" w:cs="Calibri"/>
                <w:lang w:eastAsia="tr-TR"/>
              </w:rPr>
              <w:t xml:space="preserve"> (Nikel)</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21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Pb(Kurşun)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66"/>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Sb (Antimon)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25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Se(Selenyum)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Zn</w:t>
            </w:r>
            <w:proofErr w:type="spellEnd"/>
            <w:r w:rsidRPr="00D97C80">
              <w:rPr>
                <w:rFonts w:ascii="Calibri" w:eastAsia="Times New Roman" w:hAnsi="Calibri" w:cs="Calibri"/>
                <w:lang w:eastAsia="tr-TR"/>
              </w:rPr>
              <w:t xml:space="preserve"> (Çinko)</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Klorür</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Florür</w:t>
            </w:r>
            <w:proofErr w:type="spellEnd"/>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Sülfat</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ÇOK (Çözünmüş organik karbon)</w:t>
            </w:r>
          </w:p>
        </w:tc>
        <w:tc>
          <w:tcPr>
            <w:tcW w:w="1781"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TÇK ( Toplam çözünen katı)</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1781" w:type="dxa"/>
            <w:vMerge w:val="restart"/>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3 katı</w:t>
            </w: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Fenol İndeksi</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TOK (Toplam organik karbon)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1781"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2 katı</w:t>
            </w: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BTEX(benzen, </w:t>
            </w:r>
            <w:proofErr w:type="spellStart"/>
            <w:r w:rsidRPr="00D97C80">
              <w:rPr>
                <w:rFonts w:ascii="Calibri" w:eastAsia="Times New Roman" w:hAnsi="Calibri" w:cs="Calibri"/>
                <w:lang w:eastAsia="tr-TR"/>
              </w:rPr>
              <w:t>toluen</w:t>
            </w:r>
            <w:proofErr w:type="spellEnd"/>
            <w:r w:rsidRPr="00D97C80">
              <w:rPr>
                <w:rFonts w:ascii="Calibri" w:eastAsia="Times New Roman" w:hAnsi="Calibri" w:cs="Calibri"/>
                <w:lang w:eastAsia="tr-TR"/>
              </w:rPr>
              <w:t xml:space="preserve">, </w:t>
            </w:r>
            <w:proofErr w:type="spellStart"/>
            <w:r w:rsidRPr="00D97C80">
              <w:rPr>
                <w:rFonts w:ascii="Calibri" w:eastAsia="Times New Roman" w:hAnsi="Calibri" w:cs="Calibri"/>
                <w:lang w:eastAsia="tr-TR"/>
              </w:rPr>
              <w:t>etilbenzen</w:t>
            </w:r>
            <w:proofErr w:type="spellEnd"/>
            <w:r w:rsidRPr="00D97C80">
              <w:rPr>
                <w:rFonts w:ascii="Calibri" w:eastAsia="Times New Roman" w:hAnsi="Calibri" w:cs="Calibri"/>
                <w:lang w:eastAsia="tr-TR"/>
              </w:rPr>
              <w:t xml:space="preserve"> ve </w:t>
            </w:r>
            <w:proofErr w:type="spellStart"/>
            <w:r w:rsidRPr="00D97C80">
              <w:rPr>
                <w:rFonts w:ascii="Calibri" w:eastAsia="Times New Roman" w:hAnsi="Calibri" w:cs="Calibri"/>
                <w:lang w:eastAsia="tr-TR"/>
              </w:rPr>
              <w:t>ksilen</w:t>
            </w:r>
            <w:proofErr w:type="spellEnd"/>
            <w:r w:rsidRPr="00D97C80">
              <w:rPr>
                <w:rFonts w:ascii="Calibri" w:eastAsia="Times New Roman" w:hAnsi="Calibri" w:cs="Calibri"/>
                <w:lang w:eastAsia="tr-TR"/>
              </w:rPr>
              <w:t>)</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1781" w:type="dxa"/>
            <w:vMerge w:val="restart"/>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3 katı</w:t>
            </w:r>
          </w:p>
        </w:tc>
      </w:tr>
      <w:tr w:rsidR="00D97C80" w:rsidRPr="00D97C80" w:rsidTr="00D97C80">
        <w:trPr>
          <w:trHeight w:val="24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PCBler</w:t>
            </w:r>
            <w:proofErr w:type="spellEnd"/>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24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Mineral yağ</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II. sınıf depolama tesisi sınır değer artırımları</w:t>
      </w:r>
    </w:p>
    <w:tbl>
      <w:tblPr>
        <w:tblW w:w="8505" w:type="dxa"/>
        <w:jc w:val="center"/>
        <w:tblCellMar>
          <w:left w:w="0" w:type="dxa"/>
          <w:right w:w="0" w:type="dxa"/>
        </w:tblCellMar>
        <w:tblLook w:val="04A0" w:firstRow="1" w:lastRow="0" w:firstColumn="1" w:lastColumn="0" w:noHBand="0" w:noVBand="1"/>
      </w:tblPr>
      <w:tblGrid>
        <w:gridCol w:w="3083"/>
        <w:gridCol w:w="3734"/>
        <w:gridCol w:w="1688"/>
      </w:tblGrid>
      <w:tr w:rsidR="00D97C80" w:rsidRPr="00D97C80" w:rsidTr="00D97C80">
        <w:trPr>
          <w:trHeight w:val="345"/>
          <w:jc w:val="center"/>
        </w:trPr>
        <w:tc>
          <w:tcPr>
            <w:tcW w:w="3250" w:type="dxa"/>
            <w:tcBorders>
              <w:top w:val="single" w:sz="8" w:space="0" w:color="auto"/>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Artırılabilecek parametreler</w:t>
            </w:r>
          </w:p>
        </w:tc>
        <w:tc>
          <w:tcPr>
            <w:tcW w:w="3969" w:type="dxa"/>
            <w:tcBorders>
              <w:top w:val="single" w:sz="8" w:space="0" w:color="auto"/>
              <w:left w:val="nil"/>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Sabit kalması gereken parametreler</w:t>
            </w:r>
          </w:p>
        </w:tc>
        <w:tc>
          <w:tcPr>
            <w:tcW w:w="1781" w:type="dxa"/>
            <w:tcBorders>
              <w:top w:val="single" w:sz="8" w:space="0" w:color="auto"/>
              <w:left w:val="nil"/>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Artırım miktarı</w:t>
            </w: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As (Arsenik)</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1781" w:type="dxa"/>
            <w:vMerge w:val="restart"/>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3 katı</w:t>
            </w: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Ba</w:t>
            </w:r>
            <w:proofErr w:type="spellEnd"/>
            <w:r w:rsidRPr="00D97C80">
              <w:rPr>
                <w:rFonts w:ascii="Calibri" w:eastAsia="Times New Roman" w:hAnsi="Calibri" w:cs="Calibri"/>
                <w:lang w:eastAsia="tr-TR"/>
              </w:rPr>
              <w:t xml:space="preserve"> (Baryum)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43"/>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Cd</w:t>
            </w:r>
            <w:proofErr w:type="spellEnd"/>
            <w:r w:rsidRPr="00D97C80">
              <w:rPr>
                <w:rFonts w:ascii="Calibri" w:eastAsia="Times New Roman" w:hAnsi="Calibri" w:cs="Calibri"/>
                <w:lang w:eastAsia="tr-TR"/>
              </w:rPr>
              <w:t xml:space="preserve"> (Kadmiyum)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Cr toplam (Toplam krom)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Cu (Bakır)</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Hg (</w:t>
            </w:r>
            <w:proofErr w:type="spellStart"/>
            <w:r w:rsidRPr="00D97C80">
              <w:rPr>
                <w:rFonts w:ascii="Calibri" w:eastAsia="Times New Roman" w:hAnsi="Calibri" w:cs="Calibri"/>
                <w:lang w:eastAsia="tr-TR"/>
              </w:rPr>
              <w:t>Civa</w:t>
            </w:r>
            <w:proofErr w:type="spellEnd"/>
            <w:r w:rsidRPr="00D97C80">
              <w:rPr>
                <w:rFonts w:ascii="Calibri" w:eastAsia="Times New Roman" w:hAnsi="Calibri" w:cs="Calibri"/>
                <w:lang w:eastAsia="tr-TR"/>
              </w:rPr>
              <w:t>)</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Mo</w:t>
            </w:r>
            <w:proofErr w:type="spellEnd"/>
            <w:r w:rsidRPr="00D97C80">
              <w:rPr>
                <w:rFonts w:ascii="Calibri" w:eastAsia="Times New Roman" w:hAnsi="Calibri" w:cs="Calibri"/>
                <w:lang w:eastAsia="tr-TR"/>
              </w:rPr>
              <w:t xml:space="preserve"> (Molibden)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Ni</w:t>
            </w:r>
            <w:proofErr w:type="spellEnd"/>
            <w:r w:rsidRPr="00D97C80">
              <w:rPr>
                <w:rFonts w:ascii="Calibri" w:eastAsia="Times New Roman" w:hAnsi="Calibri" w:cs="Calibri"/>
                <w:lang w:eastAsia="tr-TR"/>
              </w:rPr>
              <w:t xml:space="preserve"> (Nikel)</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21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Pb(Kurşun)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66"/>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Sb (Antimon)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25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Se(Selenyum)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Zn</w:t>
            </w:r>
            <w:proofErr w:type="spellEnd"/>
            <w:r w:rsidRPr="00D97C80">
              <w:rPr>
                <w:rFonts w:ascii="Calibri" w:eastAsia="Times New Roman" w:hAnsi="Calibri" w:cs="Calibri"/>
                <w:lang w:eastAsia="tr-TR"/>
              </w:rPr>
              <w:t xml:space="preserve"> (Çinko)</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Klorür</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Florür</w:t>
            </w:r>
            <w:proofErr w:type="spellEnd"/>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Sülfat</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ÇOK (Çözünmüş Organik karbon)</w:t>
            </w:r>
          </w:p>
        </w:tc>
        <w:tc>
          <w:tcPr>
            <w:tcW w:w="1781"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TÇK ( Toplam çözünen katı)</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1781"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3 katı</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I. sınıf depolama tesisi sınır değer artırımları</w:t>
      </w:r>
    </w:p>
    <w:tbl>
      <w:tblPr>
        <w:tblW w:w="8505" w:type="dxa"/>
        <w:jc w:val="center"/>
        <w:tblCellMar>
          <w:left w:w="0" w:type="dxa"/>
          <w:right w:w="0" w:type="dxa"/>
        </w:tblCellMar>
        <w:tblLook w:val="04A0" w:firstRow="1" w:lastRow="0" w:firstColumn="1" w:lastColumn="0" w:noHBand="0" w:noVBand="1"/>
      </w:tblPr>
      <w:tblGrid>
        <w:gridCol w:w="3083"/>
        <w:gridCol w:w="3734"/>
        <w:gridCol w:w="1688"/>
      </w:tblGrid>
      <w:tr w:rsidR="00D97C80" w:rsidRPr="00D97C80" w:rsidTr="00D97C80">
        <w:trPr>
          <w:trHeight w:val="345"/>
          <w:jc w:val="center"/>
        </w:trPr>
        <w:tc>
          <w:tcPr>
            <w:tcW w:w="3250" w:type="dxa"/>
            <w:tcBorders>
              <w:top w:val="single" w:sz="8" w:space="0" w:color="auto"/>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Artırılabilecek parametreler</w:t>
            </w:r>
          </w:p>
        </w:tc>
        <w:tc>
          <w:tcPr>
            <w:tcW w:w="3969" w:type="dxa"/>
            <w:tcBorders>
              <w:top w:val="single" w:sz="8" w:space="0" w:color="auto"/>
              <w:left w:val="nil"/>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Sabit kalması gereken parametreler</w:t>
            </w:r>
          </w:p>
        </w:tc>
        <w:tc>
          <w:tcPr>
            <w:tcW w:w="1781" w:type="dxa"/>
            <w:tcBorders>
              <w:top w:val="single" w:sz="8" w:space="0" w:color="auto"/>
              <w:left w:val="nil"/>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Artırım miktarı</w:t>
            </w: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As (Arsenik)</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1781" w:type="dxa"/>
            <w:vMerge w:val="restart"/>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3 katı</w:t>
            </w: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Ba</w:t>
            </w:r>
            <w:proofErr w:type="spellEnd"/>
            <w:r w:rsidRPr="00D97C80">
              <w:rPr>
                <w:rFonts w:ascii="Calibri" w:eastAsia="Times New Roman" w:hAnsi="Calibri" w:cs="Calibri"/>
                <w:lang w:eastAsia="tr-TR"/>
              </w:rPr>
              <w:t xml:space="preserve"> (Baryum)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43"/>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Cd</w:t>
            </w:r>
            <w:proofErr w:type="spellEnd"/>
            <w:r w:rsidRPr="00D97C80">
              <w:rPr>
                <w:rFonts w:ascii="Calibri" w:eastAsia="Times New Roman" w:hAnsi="Calibri" w:cs="Calibri"/>
                <w:lang w:eastAsia="tr-TR"/>
              </w:rPr>
              <w:t xml:space="preserve"> (Kadmiyum)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Cr toplam (Toplam Krom)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Cu (Bakır)</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Hg (</w:t>
            </w:r>
            <w:proofErr w:type="spellStart"/>
            <w:r w:rsidRPr="00D97C80">
              <w:rPr>
                <w:rFonts w:ascii="Calibri" w:eastAsia="Times New Roman" w:hAnsi="Calibri" w:cs="Calibri"/>
                <w:lang w:eastAsia="tr-TR"/>
              </w:rPr>
              <w:t>Civa</w:t>
            </w:r>
            <w:proofErr w:type="spellEnd"/>
            <w:r w:rsidRPr="00D97C80">
              <w:rPr>
                <w:rFonts w:ascii="Calibri" w:eastAsia="Times New Roman" w:hAnsi="Calibri" w:cs="Calibri"/>
                <w:lang w:eastAsia="tr-TR"/>
              </w:rPr>
              <w:t>)</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Mo</w:t>
            </w:r>
            <w:proofErr w:type="spellEnd"/>
            <w:r w:rsidRPr="00D97C80">
              <w:rPr>
                <w:rFonts w:ascii="Calibri" w:eastAsia="Times New Roman" w:hAnsi="Calibri" w:cs="Calibri"/>
                <w:lang w:eastAsia="tr-TR"/>
              </w:rPr>
              <w:t xml:space="preserve"> (Molibden)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Ni</w:t>
            </w:r>
            <w:proofErr w:type="spellEnd"/>
            <w:r w:rsidRPr="00D97C80">
              <w:rPr>
                <w:rFonts w:ascii="Calibri" w:eastAsia="Times New Roman" w:hAnsi="Calibri" w:cs="Calibri"/>
                <w:lang w:eastAsia="tr-TR"/>
              </w:rPr>
              <w:t xml:space="preserve"> (Nikel)</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21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Pb(Kurşun)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66"/>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Sb (Antimon)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25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Se(Selenyum)</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Zn</w:t>
            </w:r>
            <w:proofErr w:type="spellEnd"/>
            <w:r w:rsidRPr="00D97C80">
              <w:rPr>
                <w:rFonts w:ascii="Calibri" w:eastAsia="Times New Roman" w:hAnsi="Calibri" w:cs="Calibri"/>
                <w:lang w:eastAsia="tr-TR"/>
              </w:rPr>
              <w:t xml:space="preserve"> (Çinko)</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Klorür</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80"/>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Florür</w:t>
            </w:r>
            <w:proofErr w:type="spellEnd"/>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Sülfat</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ÇOK (Çözünmüş organik karbon)</w:t>
            </w:r>
          </w:p>
        </w:tc>
        <w:tc>
          <w:tcPr>
            <w:tcW w:w="1781"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TÇK (Toplam çözünen katı)</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1781" w:type="dxa"/>
            <w:vMerge w:val="restart"/>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3 katı</w:t>
            </w: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TOK(Toplam organik karbon)</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trHeight w:val="195"/>
          <w:jc w:val="center"/>
        </w:trPr>
        <w:tc>
          <w:tcPr>
            <w:tcW w:w="3250" w:type="dxa"/>
            <w:tcBorders>
              <w:top w:val="nil"/>
              <w:left w:val="single" w:sz="8" w:space="0" w:color="auto"/>
              <w:bottom w:val="single" w:sz="8" w:space="0" w:color="auto"/>
              <w:right w:val="single" w:sz="8" w:space="0" w:color="auto"/>
            </w:tcBorders>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LOI (YAK) (Yanma Kaybı)</w:t>
            </w:r>
          </w:p>
        </w:tc>
        <w:tc>
          <w:tcPr>
            <w:tcW w:w="3969" w:type="dxa"/>
            <w:tcBorders>
              <w:top w:val="nil"/>
              <w:left w:val="nil"/>
              <w:bottom w:val="single" w:sz="8" w:space="0" w:color="auto"/>
              <w:right w:val="single" w:sz="8" w:space="0" w:color="auto"/>
            </w:tcBorders>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xml:space="preserve">2- Atıkların düzenli depolanabilmesi için kabul </w:t>
      </w:r>
      <w:proofErr w:type="gramStart"/>
      <w:r w:rsidRPr="00D97C80">
        <w:rPr>
          <w:rFonts w:ascii="Calibri" w:eastAsia="Times New Roman" w:hAnsi="Calibri" w:cs="Calibri"/>
          <w:b/>
          <w:bCs/>
          <w:color w:val="000000"/>
          <w:lang w:eastAsia="tr-TR"/>
        </w:rPr>
        <w:t>kriterleri</w:t>
      </w:r>
      <w:proofErr w:type="gramEnd"/>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Atıklar kabul </w:t>
      </w:r>
      <w:proofErr w:type="gramStart"/>
      <w:r w:rsidRPr="00D97C80">
        <w:rPr>
          <w:rFonts w:ascii="Calibri" w:eastAsia="Times New Roman" w:hAnsi="Calibri" w:cs="Calibri"/>
          <w:color w:val="000000"/>
          <w:lang w:eastAsia="tr-TR"/>
        </w:rPr>
        <w:t>kriterlerine</w:t>
      </w:r>
      <w:proofErr w:type="gramEnd"/>
      <w:r w:rsidRPr="00D97C80">
        <w:rPr>
          <w:rFonts w:ascii="Calibri" w:eastAsia="Times New Roman" w:hAnsi="Calibri" w:cs="Calibri"/>
          <w:color w:val="000000"/>
          <w:lang w:eastAsia="tr-TR"/>
        </w:rPr>
        <w:t xml:space="preserve"> ilişkin sınır değerlere göre uygun depolama tesisinde bertaraf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xml:space="preserve">2-A) </w:t>
      </w:r>
      <w:proofErr w:type="spellStart"/>
      <w:r w:rsidRPr="00D97C80">
        <w:rPr>
          <w:rFonts w:ascii="Calibri" w:eastAsia="Times New Roman" w:hAnsi="Calibri" w:cs="Calibri"/>
          <w:b/>
          <w:bCs/>
          <w:color w:val="000000"/>
          <w:lang w:eastAsia="tr-TR"/>
        </w:rPr>
        <w:t>İnert</w:t>
      </w:r>
      <w:proofErr w:type="spellEnd"/>
      <w:r w:rsidRPr="00D97C80">
        <w:rPr>
          <w:rFonts w:ascii="Calibri" w:eastAsia="Times New Roman" w:hAnsi="Calibri" w:cs="Calibri"/>
          <w:b/>
          <w:bCs/>
          <w:color w:val="000000"/>
          <w:lang w:eastAsia="tr-TR"/>
        </w:rPr>
        <w:t xml:space="preserve"> Atıkların Düzenli Depolanabilme Kriterleri</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III. sınıf depolama tesisleri için sınır değerler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D97C80">
        <w:rPr>
          <w:rFonts w:ascii="Calibri" w:eastAsia="Times New Roman" w:hAnsi="Calibri" w:cs="Calibri"/>
          <w:color w:val="000000"/>
          <w:lang w:eastAsia="tr-TR"/>
        </w:rPr>
        <w:t>Eluat</w:t>
      </w:r>
      <w:proofErr w:type="spellEnd"/>
      <w:r w:rsidRPr="00D97C80">
        <w:rPr>
          <w:rFonts w:ascii="Calibri" w:eastAsia="Times New Roman" w:hAnsi="Calibri" w:cs="Calibri"/>
          <w:color w:val="000000"/>
          <w:lang w:eastAsia="tr-TR"/>
        </w:rPr>
        <w:t xml:space="preserve"> testi değerleri, sıvı/katı oranı (L/S) 10 </w:t>
      </w:r>
      <w:proofErr w:type="spellStart"/>
      <w:r w:rsidRPr="00D97C80">
        <w:rPr>
          <w:rFonts w:ascii="Calibri" w:eastAsia="Times New Roman" w:hAnsi="Calibri" w:cs="Calibri"/>
          <w:color w:val="000000"/>
          <w:lang w:eastAsia="tr-TR"/>
        </w:rPr>
        <w:t>lt</w:t>
      </w:r>
      <w:proofErr w:type="spellEnd"/>
      <w:r w:rsidRPr="00D97C80">
        <w:rPr>
          <w:rFonts w:ascii="Calibri" w:eastAsia="Times New Roman" w:hAnsi="Calibri" w:cs="Calibri"/>
          <w:color w:val="000000"/>
          <w:lang w:eastAsia="tr-TR"/>
        </w:rPr>
        <w:t>/kg alınarak hesaplanır.</w:t>
      </w:r>
    </w:p>
    <w:tbl>
      <w:tblPr>
        <w:tblW w:w="8505" w:type="dxa"/>
        <w:jc w:val="center"/>
        <w:tblCellMar>
          <w:left w:w="0" w:type="dxa"/>
          <w:right w:w="0" w:type="dxa"/>
        </w:tblCellMar>
        <w:tblLook w:val="04A0" w:firstRow="1" w:lastRow="0" w:firstColumn="1" w:lastColumn="0" w:noHBand="0" w:noVBand="1"/>
      </w:tblPr>
      <w:tblGrid>
        <w:gridCol w:w="2956"/>
        <w:gridCol w:w="2774"/>
        <w:gridCol w:w="2775"/>
      </w:tblGrid>
      <w:tr w:rsidR="00D97C80" w:rsidRPr="00D97C80" w:rsidTr="00D97C80">
        <w:trPr>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Parametre</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Birim</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Sınır değer</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As (Arsenik)</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0,05</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Ba</w:t>
            </w:r>
            <w:proofErr w:type="spellEnd"/>
            <w:r w:rsidRPr="00D97C80">
              <w:rPr>
                <w:rFonts w:ascii="Calibri" w:eastAsia="Times New Roman" w:hAnsi="Calibri" w:cs="Calibri"/>
                <w:lang w:eastAsia="tr-TR"/>
              </w:rPr>
              <w:t xml:space="preserve"> (Baryum)</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2</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Cd</w:t>
            </w:r>
            <w:proofErr w:type="spellEnd"/>
            <w:r w:rsidRPr="00D97C80">
              <w:rPr>
                <w:rFonts w:ascii="Calibri" w:eastAsia="Times New Roman" w:hAnsi="Calibri" w:cs="Calibri"/>
                <w:lang w:eastAsia="tr-TR"/>
              </w:rPr>
              <w:t xml:space="preserve"> (Kadmiyum)</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0,004</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Cr toplam (Toplam krom)</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0,05</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Cu (Bakır)</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0,2</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Hg (</w:t>
            </w:r>
            <w:proofErr w:type="spellStart"/>
            <w:r w:rsidRPr="00D97C80">
              <w:rPr>
                <w:rFonts w:ascii="Calibri" w:eastAsia="Times New Roman" w:hAnsi="Calibri" w:cs="Calibri"/>
                <w:lang w:eastAsia="tr-TR"/>
              </w:rPr>
              <w:t>Civa</w:t>
            </w:r>
            <w:proofErr w:type="spellEnd"/>
            <w:r w:rsidRPr="00D97C80">
              <w:rPr>
                <w:rFonts w:ascii="Calibri" w:eastAsia="Times New Roman" w:hAnsi="Calibri" w:cs="Calibri"/>
                <w:lang w:eastAsia="tr-TR"/>
              </w:rPr>
              <w:t>)</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0,001</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Mo</w:t>
            </w:r>
            <w:proofErr w:type="spellEnd"/>
            <w:r w:rsidRPr="00D97C80">
              <w:rPr>
                <w:rFonts w:ascii="Calibri" w:eastAsia="Times New Roman" w:hAnsi="Calibri" w:cs="Calibri"/>
                <w:lang w:eastAsia="tr-TR"/>
              </w:rPr>
              <w:t xml:space="preserve"> (Molibden)</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0,05</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Ni</w:t>
            </w:r>
            <w:proofErr w:type="spellEnd"/>
            <w:r w:rsidRPr="00D97C80">
              <w:rPr>
                <w:rFonts w:ascii="Calibri" w:eastAsia="Times New Roman" w:hAnsi="Calibri" w:cs="Calibri"/>
                <w:lang w:eastAsia="tr-TR"/>
              </w:rPr>
              <w:t xml:space="preserve"> (Nikel)</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0,04</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Pb(Kurşun)</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0,05</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Sb (Antimon)</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0,006</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Se(Selenyum)</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0,01</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Zn</w:t>
            </w:r>
            <w:proofErr w:type="spellEnd"/>
            <w:r w:rsidRPr="00D97C80">
              <w:rPr>
                <w:rFonts w:ascii="Calibri" w:eastAsia="Times New Roman" w:hAnsi="Calibri" w:cs="Calibri"/>
                <w:lang w:eastAsia="tr-TR"/>
              </w:rPr>
              <w:t xml:space="preserve"> (Çinko)</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0,4</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Klorür</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80</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Florür</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Sülfat</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100</w:t>
            </w:r>
            <w:r w:rsidRPr="00D97C80">
              <w:rPr>
                <w:rFonts w:ascii="Calibri" w:eastAsia="Times New Roman" w:hAnsi="Calibri" w:cs="Calibri"/>
                <w:vertAlign w:val="superscript"/>
                <w:lang w:eastAsia="tr-TR"/>
              </w:rPr>
              <w:t>(1)</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Fenol indeksi</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0,1</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ÇOK(Çözünmüş organik karbon)</w:t>
            </w:r>
            <w:r w:rsidRPr="00D97C80">
              <w:rPr>
                <w:rFonts w:ascii="Calibri" w:eastAsia="Times New Roman" w:hAnsi="Calibri" w:cs="Calibri"/>
                <w:vertAlign w:val="superscript"/>
                <w:lang w:eastAsia="tr-TR"/>
              </w:rPr>
              <w:t> (2)</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50</w:t>
            </w:r>
          </w:p>
        </w:tc>
      </w:tr>
      <w:tr w:rsidR="00D97C80" w:rsidRPr="00D97C80" w:rsidTr="00D97C80">
        <w:trPr>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TÇK (Toplam çözünen katı)</w:t>
            </w:r>
            <w:r w:rsidRPr="00D97C80">
              <w:rPr>
                <w:rFonts w:ascii="Calibri" w:eastAsia="Times New Roman" w:hAnsi="Calibri" w:cs="Calibri"/>
                <w:vertAlign w:val="superscript"/>
                <w:lang w:eastAsia="tr-TR"/>
              </w:rPr>
              <w:t> (3)</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400</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(1) Eğer atık; sülfat için bu </w:t>
      </w:r>
      <w:proofErr w:type="gramStart"/>
      <w:r w:rsidRPr="00D97C80">
        <w:rPr>
          <w:rFonts w:ascii="Calibri" w:eastAsia="Times New Roman" w:hAnsi="Calibri" w:cs="Calibri"/>
          <w:color w:val="000000"/>
          <w:lang w:eastAsia="tr-TR"/>
        </w:rPr>
        <w:t>kriteri</w:t>
      </w:r>
      <w:proofErr w:type="gramEnd"/>
      <w:r w:rsidRPr="00D97C80">
        <w:rPr>
          <w:rFonts w:ascii="Calibri" w:eastAsia="Times New Roman" w:hAnsi="Calibri" w:cs="Calibri"/>
          <w:color w:val="000000"/>
          <w:lang w:eastAsia="tr-TR"/>
        </w:rPr>
        <w:t xml:space="preserve"> sağlayamıyorsa;  600 mg/</w:t>
      </w:r>
      <w:proofErr w:type="spellStart"/>
      <w:r w:rsidRPr="00D97C80">
        <w:rPr>
          <w:rFonts w:ascii="Calibri" w:eastAsia="Times New Roman" w:hAnsi="Calibri" w:cs="Calibri"/>
          <w:color w:val="000000"/>
          <w:lang w:eastAsia="tr-TR"/>
        </w:rPr>
        <w:t>lt</w:t>
      </w:r>
      <w:proofErr w:type="spellEnd"/>
      <w:r w:rsidRPr="00D97C80">
        <w:rPr>
          <w:rFonts w:ascii="Calibri" w:eastAsia="Times New Roman" w:hAnsi="Calibri" w:cs="Calibri"/>
          <w:color w:val="000000"/>
          <w:lang w:eastAsia="tr-TR"/>
        </w:rPr>
        <w:t xml:space="preserve"> değerini aşmamak kaydı ile kabul kriterlerine uygun olduğu kabul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(2) Çözünmüş Organik Karbon (ÇOK) sınır değeri atığın kendi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değerinde sağlanamıyorsa,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7,5 – 8 değerinde test tekrarlanır ve sınır değerin aşılmadığı tespit edilir. Sınır değer aşılmıyorsa; Çözünmüş Organik Karbon (ÇOK) değerinin kabul </w:t>
      </w:r>
      <w:proofErr w:type="gramStart"/>
      <w:r w:rsidRPr="00D97C80">
        <w:rPr>
          <w:rFonts w:ascii="Calibri" w:eastAsia="Times New Roman" w:hAnsi="Calibri" w:cs="Calibri"/>
          <w:color w:val="000000"/>
          <w:lang w:eastAsia="tr-TR"/>
        </w:rPr>
        <w:t>kriterlerine</w:t>
      </w:r>
      <w:proofErr w:type="gramEnd"/>
      <w:r w:rsidRPr="00D97C80">
        <w:rPr>
          <w:rFonts w:ascii="Calibri" w:eastAsia="Times New Roman" w:hAnsi="Calibri" w:cs="Calibri"/>
          <w:color w:val="000000"/>
          <w:lang w:eastAsia="tr-TR"/>
        </w:rPr>
        <w:t xml:space="preserve"> uygun olduğu kabul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(3)Toplam çözünmüş katı madde değerleri (TÇK), sülfat ve klor değerlerine alternatif olarak kullanılabilir.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Yukarıda verilen sınır değerlere ilave olarak, aşağıdaki sınır değerler de karşılanmak zorundadır:</w:t>
      </w:r>
    </w:p>
    <w:tbl>
      <w:tblPr>
        <w:tblW w:w="8505" w:type="dxa"/>
        <w:jc w:val="center"/>
        <w:tblCellMar>
          <w:left w:w="0" w:type="dxa"/>
          <w:right w:w="0" w:type="dxa"/>
        </w:tblCellMar>
        <w:tblLook w:val="04A0" w:firstRow="1" w:lastRow="0" w:firstColumn="1" w:lastColumn="0" w:noHBand="0" w:noVBand="1"/>
      </w:tblPr>
      <w:tblGrid>
        <w:gridCol w:w="2804"/>
        <w:gridCol w:w="2980"/>
        <w:gridCol w:w="2721"/>
      </w:tblGrid>
      <w:tr w:rsidR="00D97C80" w:rsidRPr="00D97C80" w:rsidTr="00D97C80">
        <w:trPr>
          <w:jc w:val="center"/>
        </w:trPr>
        <w:tc>
          <w:tcPr>
            <w:tcW w:w="290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Parametre</w:t>
            </w:r>
          </w:p>
        </w:tc>
        <w:tc>
          <w:tcPr>
            <w:tcW w:w="3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Birim</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Sınır Değer</w:t>
            </w:r>
          </w:p>
        </w:tc>
      </w:tr>
      <w:tr w:rsidR="00D97C80" w:rsidRPr="00D97C80" w:rsidTr="00D97C80">
        <w:trPr>
          <w:jc w:val="center"/>
        </w:trPr>
        <w:tc>
          <w:tcPr>
            <w:tcW w:w="290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TOK (Toplam organik karbon)</w:t>
            </w:r>
          </w:p>
        </w:tc>
        <w:tc>
          <w:tcPr>
            <w:tcW w:w="3118"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/kg</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30000</w:t>
            </w:r>
            <w:r w:rsidRPr="00D97C80">
              <w:rPr>
                <w:rFonts w:ascii="Calibri" w:eastAsia="Times New Roman" w:hAnsi="Calibri" w:cs="Calibri"/>
                <w:vertAlign w:val="superscript"/>
                <w:lang w:eastAsia="tr-TR"/>
              </w:rPr>
              <w:t>(1)</w:t>
            </w:r>
          </w:p>
        </w:tc>
      </w:tr>
      <w:tr w:rsidR="00D97C80" w:rsidRPr="00D97C80" w:rsidTr="00D97C80">
        <w:trPr>
          <w:jc w:val="center"/>
        </w:trPr>
        <w:tc>
          <w:tcPr>
            <w:tcW w:w="290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BTEX</w:t>
            </w:r>
          </w:p>
        </w:tc>
        <w:tc>
          <w:tcPr>
            <w:tcW w:w="3118"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/kg</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6</w:t>
            </w:r>
          </w:p>
        </w:tc>
      </w:tr>
      <w:tr w:rsidR="00D97C80" w:rsidRPr="00D97C80" w:rsidTr="00D97C80">
        <w:trPr>
          <w:jc w:val="center"/>
        </w:trPr>
        <w:tc>
          <w:tcPr>
            <w:tcW w:w="290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PCBler</w:t>
            </w:r>
            <w:proofErr w:type="spellEnd"/>
            <w:r w:rsidRPr="00D97C80">
              <w:rPr>
                <w:rFonts w:ascii="Calibri" w:eastAsia="Times New Roman" w:hAnsi="Calibri" w:cs="Calibri"/>
                <w:lang w:eastAsia="tr-TR"/>
              </w:rPr>
              <w:t xml:space="preserve"> (7 türdeş)</w:t>
            </w:r>
          </w:p>
        </w:tc>
        <w:tc>
          <w:tcPr>
            <w:tcW w:w="3118"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/kg</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290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Mineral yağ (C10 – C40’a kadar)</w:t>
            </w:r>
          </w:p>
        </w:tc>
        <w:tc>
          <w:tcPr>
            <w:tcW w:w="3118"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/kg</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500</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(1)Toprak atıkları için;  ancak toprağın kendi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değerinde veya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7,5 ile 8 arasında Çözünmüş Organik Karbon (ÇOK)  değerinin 50 mg/</w:t>
      </w:r>
      <w:proofErr w:type="spellStart"/>
      <w:r w:rsidRPr="00D97C80">
        <w:rPr>
          <w:rFonts w:ascii="Calibri" w:eastAsia="Times New Roman" w:hAnsi="Calibri" w:cs="Calibri"/>
          <w:color w:val="000000"/>
          <w:lang w:eastAsia="tr-TR"/>
        </w:rPr>
        <w:t>lt</w:t>
      </w:r>
      <w:proofErr w:type="spellEnd"/>
      <w:r w:rsidRPr="00D97C80">
        <w:rPr>
          <w:rFonts w:ascii="Calibri" w:eastAsia="Times New Roman" w:hAnsi="Calibri" w:cs="Calibri"/>
          <w:color w:val="000000"/>
          <w:lang w:eastAsia="tr-TR"/>
        </w:rPr>
        <w:t xml:space="preserve"> olması kaydı ile Bakanlık tarafından daha yüksek bir değer kabul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III. sınıf depolama tesisine teste tabi tutulmaksızın kabul edilebilecek atıklar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Bu Yönetmeliğin 4 üncü maddesinde verilen </w:t>
      </w:r>
      <w:proofErr w:type="spellStart"/>
      <w:r w:rsidRPr="00D97C80">
        <w:rPr>
          <w:rFonts w:ascii="Calibri" w:eastAsia="Times New Roman" w:hAnsi="Calibri" w:cs="Calibri"/>
          <w:color w:val="000000"/>
          <w:lang w:eastAsia="tr-TR"/>
        </w:rPr>
        <w:t>inert</w:t>
      </w:r>
      <w:proofErr w:type="spellEnd"/>
      <w:r w:rsidRPr="00D97C80">
        <w:rPr>
          <w:rFonts w:ascii="Calibri" w:eastAsia="Times New Roman" w:hAnsi="Calibri" w:cs="Calibri"/>
          <w:color w:val="000000"/>
          <w:lang w:eastAsia="tr-TR"/>
        </w:rPr>
        <w:t xml:space="preserve"> atık tanımına uyan ve aşağıda listelenen atıklar, teste tabi tutulmaksızın </w:t>
      </w:r>
      <w:proofErr w:type="spellStart"/>
      <w:r w:rsidRPr="00D97C80">
        <w:rPr>
          <w:rFonts w:ascii="Calibri" w:eastAsia="Times New Roman" w:hAnsi="Calibri" w:cs="Calibri"/>
          <w:color w:val="000000"/>
          <w:lang w:eastAsia="tr-TR"/>
        </w:rPr>
        <w:t>inert</w:t>
      </w:r>
      <w:proofErr w:type="spellEnd"/>
      <w:r w:rsidRPr="00D97C80">
        <w:rPr>
          <w:rFonts w:ascii="Calibri" w:eastAsia="Times New Roman" w:hAnsi="Calibri" w:cs="Calibri"/>
          <w:color w:val="000000"/>
          <w:lang w:eastAsia="tr-TR"/>
        </w:rPr>
        <w:t xml:space="preserve"> atık depolama tesislerine kabul edilir.</w:t>
      </w:r>
    </w:p>
    <w:tbl>
      <w:tblPr>
        <w:tblW w:w="8505" w:type="dxa"/>
        <w:jc w:val="center"/>
        <w:tblCellMar>
          <w:left w:w="0" w:type="dxa"/>
          <w:right w:w="0" w:type="dxa"/>
        </w:tblCellMar>
        <w:tblLook w:val="04A0" w:firstRow="1" w:lastRow="0" w:firstColumn="1" w:lastColumn="0" w:noHBand="0" w:noVBand="1"/>
      </w:tblPr>
      <w:tblGrid>
        <w:gridCol w:w="1179"/>
        <w:gridCol w:w="3509"/>
        <w:gridCol w:w="3817"/>
      </w:tblGrid>
      <w:tr w:rsidR="00D97C80" w:rsidRPr="00D97C80" w:rsidTr="00D97C80">
        <w:trPr>
          <w:jc w:val="center"/>
        </w:trPr>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Atık kodu</w:t>
            </w:r>
          </w:p>
        </w:tc>
        <w:tc>
          <w:tcPr>
            <w:tcW w:w="40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Atık türü</w:t>
            </w:r>
          </w:p>
        </w:tc>
        <w:tc>
          <w:tcPr>
            <w:tcW w:w="44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Sınırlama</w:t>
            </w:r>
          </w:p>
        </w:tc>
      </w:tr>
      <w:tr w:rsidR="00D97C80" w:rsidRPr="00D97C80" w:rsidTr="00D97C80">
        <w:trPr>
          <w:jc w:val="center"/>
        </w:trPr>
        <w:tc>
          <w:tcPr>
            <w:tcW w:w="12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10 11 03</w:t>
            </w:r>
          </w:p>
        </w:tc>
        <w:tc>
          <w:tcPr>
            <w:tcW w:w="4059"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Cam elyaf atıkları</w:t>
            </w:r>
          </w:p>
        </w:tc>
        <w:tc>
          <w:tcPr>
            <w:tcW w:w="440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Organik bağlayıcılar içermemeli</w:t>
            </w:r>
          </w:p>
        </w:tc>
      </w:tr>
      <w:tr w:rsidR="00D97C80" w:rsidRPr="00D97C80" w:rsidTr="00D97C80">
        <w:trPr>
          <w:jc w:val="center"/>
        </w:trPr>
        <w:tc>
          <w:tcPr>
            <w:tcW w:w="12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17 01 01</w:t>
            </w:r>
          </w:p>
        </w:tc>
        <w:tc>
          <w:tcPr>
            <w:tcW w:w="4059"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Beton</w:t>
            </w:r>
          </w:p>
        </w:tc>
        <w:tc>
          <w:tcPr>
            <w:tcW w:w="440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Karışık olmayan inşaat ve yıkıntı atıkları</w:t>
            </w:r>
          </w:p>
        </w:tc>
      </w:tr>
      <w:tr w:rsidR="00D97C80" w:rsidRPr="00D97C80" w:rsidTr="00D97C80">
        <w:trPr>
          <w:jc w:val="center"/>
        </w:trPr>
        <w:tc>
          <w:tcPr>
            <w:tcW w:w="12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17 01 02</w:t>
            </w:r>
          </w:p>
        </w:tc>
        <w:tc>
          <w:tcPr>
            <w:tcW w:w="4059"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Tuğlalar</w:t>
            </w:r>
          </w:p>
        </w:tc>
        <w:tc>
          <w:tcPr>
            <w:tcW w:w="440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Karışık olmayan inşaat ve yıkıntı atıkları</w:t>
            </w:r>
          </w:p>
        </w:tc>
      </w:tr>
      <w:tr w:rsidR="00D97C80" w:rsidRPr="00D97C80" w:rsidTr="00D97C80">
        <w:trPr>
          <w:jc w:val="center"/>
        </w:trPr>
        <w:tc>
          <w:tcPr>
            <w:tcW w:w="12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17 01 03</w:t>
            </w:r>
          </w:p>
        </w:tc>
        <w:tc>
          <w:tcPr>
            <w:tcW w:w="4059"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Kiremitler ve Seramikler</w:t>
            </w:r>
          </w:p>
        </w:tc>
        <w:tc>
          <w:tcPr>
            <w:tcW w:w="440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Karışık olmayan inşaat ve yıkıntı atıkları</w:t>
            </w:r>
          </w:p>
        </w:tc>
      </w:tr>
      <w:tr w:rsidR="00D97C80" w:rsidRPr="00D97C80" w:rsidTr="00D97C80">
        <w:trPr>
          <w:jc w:val="center"/>
        </w:trPr>
        <w:tc>
          <w:tcPr>
            <w:tcW w:w="12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17 01 07</w:t>
            </w:r>
          </w:p>
        </w:tc>
        <w:tc>
          <w:tcPr>
            <w:tcW w:w="4059"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beton</w:t>
            </w:r>
            <w:proofErr w:type="gramEnd"/>
            <w:r w:rsidRPr="00D97C80">
              <w:rPr>
                <w:rFonts w:ascii="Calibri" w:eastAsia="Times New Roman" w:hAnsi="Calibri" w:cs="Calibri"/>
                <w:lang w:eastAsia="tr-TR"/>
              </w:rPr>
              <w:t>, tuğla kiremit ve seramik karışımları ya da ayrılmış grupları</w:t>
            </w:r>
          </w:p>
        </w:tc>
        <w:tc>
          <w:tcPr>
            <w:tcW w:w="440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Karışık olmayan inşaat ve yıkıntı atıkları</w:t>
            </w:r>
          </w:p>
        </w:tc>
      </w:tr>
      <w:tr w:rsidR="00D97C80" w:rsidRPr="00D97C80" w:rsidTr="00D97C80">
        <w:trPr>
          <w:jc w:val="center"/>
        </w:trPr>
        <w:tc>
          <w:tcPr>
            <w:tcW w:w="12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17 02 02</w:t>
            </w:r>
          </w:p>
        </w:tc>
        <w:tc>
          <w:tcPr>
            <w:tcW w:w="4059"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Cam</w:t>
            </w:r>
          </w:p>
        </w:tc>
        <w:tc>
          <w:tcPr>
            <w:tcW w:w="440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r>
      <w:tr w:rsidR="00D97C80" w:rsidRPr="00D97C80" w:rsidTr="00D97C80">
        <w:trPr>
          <w:jc w:val="center"/>
        </w:trPr>
        <w:tc>
          <w:tcPr>
            <w:tcW w:w="12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17 05 04</w:t>
            </w:r>
          </w:p>
        </w:tc>
        <w:tc>
          <w:tcPr>
            <w:tcW w:w="4059"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Toprak ve kayalar</w:t>
            </w:r>
          </w:p>
        </w:tc>
        <w:tc>
          <w:tcPr>
            <w:tcW w:w="440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Bitkisel toprak ve turba, kirlenmiş tesislerden gelen toprak ve taşlar hariç</w:t>
            </w:r>
          </w:p>
        </w:tc>
      </w:tr>
      <w:tr w:rsidR="00D97C80" w:rsidRPr="00D97C80" w:rsidTr="00D97C80">
        <w:trPr>
          <w:jc w:val="center"/>
        </w:trPr>
        <w:tc>
          <w:tcPr>
            <w:tcW w:w="12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19 12 05</w:t>
            </w:r>
          </w:p>
        </w:tc>
        <w:tc>
          <w:tcPr>
            <w:tcW w:w="4059"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Cam</w:t>
            </w:r>
          </w:p>
        </w:tc>
        <w:tc>
          <w:tcPr>
            <w:tcW w:w="440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r>
      <w:tr w:rsidR="00D97C80" w:rsidRPr="00D97C80" w:rsidTr="00D97C80">
        <w:trPr>
          <w:jc w:val="center"/>
        </w:trPr>
        <w:tc>
          <w:tcPr>
            <w:tcW w:w="12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20 02 02</w:t>
            </w:r>
          </w:p>
        </w:tc>
        <w:tc>
          <w:tcPr>
            <w:tcW w:w="4059"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Toprak ve taşlar</w:t>
            </w:r>
          </w:p>
        </w:tc>
        <w:tc>
          <w:tcPr>
            <w:tcW w:w="4401"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Bitkisel toprak ve turba hariç sadece park ve bahçelerden kaynaklanan toprak ve taşlar</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i)     Ancak bu atıkların teste tabi tutulmadan düzenli depolama tesisine kabul edilmesi için kaynağının tek olması ve tek bir atık türü içermesi gerekir.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ii)   Listede adı geçen birbirinden farklı atıkların karışımı ancak aynı kaynaktan gelmeleri durumunda kabul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iii)  Gözle yapılan denetimde veya atığın kaynağı hakkında alınan bilgiler neticesinde atığın </w:t>
      </w:r>
      <w:proofErr w:type="spellStart"/>
      <w:r w:rsidRPr="00D97C80">
        <w:rPr>
          <w:rFonts w:ascii="Calibri" w:eastAsia="Times New Roman" w:hAnsi="Calibri" w:cs="Calibri"/>
          <w:color w:val="000000"/>
          <w:lang w:eastAsia="tr-TR"/>
        </w:rPr>
        <w:t>kontamine</w:t>
      </w:r>
      <w:proofErr w:type="spellEnd"/>
      <w:r w:rsidRPr="00D97C80">
        <w:rPr>
          <w:rFonts w:ascii="Calibri" w:eastAsia="Times New Roman" w:hAnsi="Calibri" w:cs="Calibri"/>
          <w:color w:val="000000"/>
          <w:lang w:eastAsia="tr-TR"/>
        </w:rPr>
        <w:t xml:space="preserve"> olduğundan şüphelenilmesi durumunda Ek-1’de belirtilen yöntemler kullanılarak gerekli testler yapılır.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iv)  Atıkların diğer depolama tesislerinde </w:t>
      </w:r>
      <w:proofErr w:type="spellStart"/>
      <w:r w:rsidRPr="00D97C80">
        <w:rPr>
          <w:rFonts w:ascii="Calibri" w:eastAsia="Times New Roman" w:hAnsi="Calibri" w:cs="Calibri"/>
          <w:color w:val="000000"/>
          <w:lang w:eastAsia="tr-TR"/>
        </w:rPr>
        <w:t>bertarafını</w:t>
      </w:r>
      <w:proofErr w:type="spellEnd"/>
      <w:r w:rsidRPr="00D97C80">
        <w:rPr>
          <w:rFonts w:ascii="Calibri" w:eastAsia="Times New Roman" w:hAnsi="Calibri" w:cs="Calibri"/>
          <w:color w:val="000000"/>
          <w:lang w:eastAsia="tr-TR"/>
        </w:rPr>
        <w:t xml:space="preserve"> gerektirecek düzeyde </w:t>
      </w:r>
      <w:proofErr w:type="spellStart"/>
      <w:r w:rsidRPr="00D97C80">
        <w:rPr>
          <w:rFonts w:ascii="Calibri" w:eastAsia="Times New Roman" w:hAnsi="Calibri" w:cs="Calibri"/>
          <w:color w:val="000000"/>
          <w:lang w:eastAsia="tr-TR"/>
        </w:rPr>
        <w:t>kontamine</w:t>
      </w:r>
      <w:proofErr w:type="spellEnd"/>
      <w:r w:rsidRPr="00D97C80">
        <w:rPr>
          <w:rFonts w:ascii="Calibri" w:eastAsia="Times New Roman" w:hAnsi="Calibri" w:cs="Calibri"/>
          <w:color w:val="000000"/>
          <w:lang w:eastAsia="tr-TR"/>
        </w:rPr>
        <w:t xml:space="preserve"> olduğu veya metal, asbest, plastik ve kimyasallar gibi olmaması gereken maddeler içerdiğinin tespit edilmesi halinde, bu atıklar III. sınıf depolama alanına kabul edilmez.</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v)   Önemli miktarda tehlikeli maddeler içeren malzemelerle işlenmiş, kaplanmış veya boyanmış inşaat ve yıkıntı atıkları yukarıdaki listede yer alan inşaat ve yıkıntı atıkları kapsamında kabul edilmez.</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vi)  Organik veya inorganik tehlikeli maddelerle </w:t>
      </w:r>
      <w:proofErr w:type="spellStart"/>
      <w:r w:rsidRPr="00D97C80">
        <w:rPr>
          <w:rFonts w:ascii="Calibri" w:eastAsia="Times New Roman" w:hAnsi="Calibri" w:cs="Calibri"/>
          <w:color w:val="000000"/>
          <w:lang w:eastAsia="tr-TR"/>
        </w:rPr>
        <w:t>kontamine</w:t>
      </w:r>
      <w:proofErr w:type="spellEnd"/>
      <w:r w:rsidRPr="00D97C80">
        <w:rPr>
          <w:rFonts w:ascii="Calibri" w:eastAsia="Times New Roman" w:hAnsi="Calibri" w:cs="Calibri"/>
          <w:color w:val="000000"/>
          <w:lang w:eastAsia="tr-TR"/>
        </w:rPr>
        <w:t xml:space="preserve"> olmuş inşaat ve yıkıntı atıkları yukarıdaki listede yer alan inşaat ve yıkıntı atıkları kapsamında kabul edilmez.</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2-B)Tehlikesiz Atıkların Düzenli Depolanabilme Kriterleri</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Sınır değerler, reaktif olmayan ve kararlı tehlikeli atıklarla birlikte aynı </w:t>
      </w:r>
      <w:proofErr w:type="gramStart"/>
      <w:r w:rsidRPr="00D97C80">
        <w:rPr>
          <w:rFonts w:ascii="Calibri" w:eastAsia="Times New Roman" w:hAnsi="Calibri" w:cs="Calibri"/>
          <w:color w:val="000000"/>
          <w:lang w:eastAsia="tr-TR"/>
        </w:rPr>
        <w:t>lotta</w:t>
      </w:r>
      <w:proofErr w:type="gramEnd"/>
      <w:r w:rsidRPr="00D97C80">
        <w:rPr>
          <w:rFonts w:ascii="Calibri" w:eastAsia="Times New Roman" w:hAnsi="Calibri" w:cs="Calibri"/>
          <w:color w:val="000000"/>
          <w:lang w:eastAsia="tr-TR"/>
        </w:rPr>
        <w:t xml:space="preserve"> depolanacak olan tehlikesiz atıklar için belirlenmiştir.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II. sınıf depolama tesisine teste tabi tutulmaksızın kabul edilecek atıklar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xml:space="preserve">(Değişik </w:t>
      </w:r>
      <w:proofErr w:type="gramStart"/>
      <w:r w:rsidRPr="00D97C80">
        <w:rPr>
          <w:rFonts w:ascii="Calibri" w:eastAsia="Times New Roman" w:hAnsi="Calibri" w:cs="Calibri"/>
          <w:b/>
          <w:bCs/>
          <w:color w:val="000000"/>
          <w:lang w:eastAsia="tr-TR"/>
        </w:rPr>
        <w:t>ibare:RG</w:t>
      </w:r>
      <w:proofErr w:type="gramEnd"/>
      <w:r w:rsidRPr="00D97C80">
        <w:rPr>
          <w:rFonts w:ascii="Calibri" w:eastAsia="Times New Roman" w:hAnsi="Calibri" w:cs="Calibri"/>
          <w:b/>
          <w:bCs/>
          <w:color w:val="000000"/>
          <w:lang w:eastAsia="tr-TR"/>
        </w:rPr>
        <w:t>-26/12/2019-30990) </w:t>
      </w:r>
      <w:r w:rsidRPr="00D97C80">
        <w:rPr>
          <w:rFonts w:ascii="Calibri" w:eastAsia="Times New Roman" w:hAnsi="Calibri" w:cs="Calibri"/>
          <w:color w:val="000000"/>
          <w:u w:val="single"/>
          <w:lang w:eastAsia="tr-TR"/>
        </w:rPr>
        <w:t>Atık Yönetimi Yönetmeliği</w:t>
      </w:r>
      <w:r w:rsidRPr="00D97C80">
        <w:rPr>
          <w:rFonts w:ascii="Calibri" w:eastAsia="Times New Roman" w:hAnsi="Calibri" w:cs="Calibri"/>
          <w:color w:val="000000"/>
          <w:lang w:eastAsia="tr-TR"/>
        </w:rPr>
        <w:t> EK-</w:t>
      </w:r>
      <w:proofErr w:type="spellStart"/>
      <w:r w:rsidRPr="00D97C80">
        <w:rPr>
          <w:rFonts w:ascii="Calibri" w:eastAsia="Times New Roman" w:hAnsi="Calibri" w:cs="Calibri"/>
          <w:color w:val="000000"/>
          <w:lang w:eastAsia="tr-TR"/>
        </w:rPr>
        <w:t>IV’te</w:t>
      </w:r>
      <w:proofErr w:type="spellEnd"/>
      <w:r w:rsidRPr="00D97C80">
        <w:rPr>
          <w:rFonts w:ascii="Calibri" w:eastAsia="Times New Roman" w:hAnsi="Calibri" w:cs="Calibri"/>
          <w:color w:val="000000"/>
          <w:lang w:eastAsia="tr-TR"/>
        </w:rPr>
        <w:t xml:space="preserve"> 20 başlığı altında tehlikesiz atık olarak sınıflandırılan belediye atıkları ile evlerden veya ticari yerlerden ayrıştırılarak toplanmış belediye atıkları, bu Yönetmeliğin dokuzuncu maddesine uyulması kaydı ile test edilmeksizin II. sınıf depolama tesislerine kabul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II. sınıf</w:t>
      </w:r>
      <w:r w:rsidRPr="00D97C80">
        <w:rPr>
          <w:rFonts w:ascii="Calibri" w:eastAsia="Times New Roman" w:hAnsi="Calibri" w:cs="Calibri"/>
          <w:color w:val="000000"/>
          <w:lang w:eastAsia="tr-TR"/>
        </w:rPr>
        <w:t> </w:t>
      </w:r>
      <w:r w:rsidRPr="00D97C80">
        <w:rPr>
          <w:rFonts w:ascii="Calibri" w:eastAsia="Times New Roman" w:hAnsi="Calibri" w:cs="Calibri"/>
          <w:b/>
          <w:bCs/>
          <w:color w:val="000000"/>
          <w:lang w:eastAsia="tr-TR"/>
        </w:rPr>
        <w:t>depolama tesisleri için sınır değerler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Sınır değerler, reaktif olmayan ve kararlı tehlikeli atıklarla birlikte aynı </w:t>
      </w:r>
      <w:proofErr w:type="gramStart"/>
      <w:r w:rsidRPr="00D97C80">
        <w:rPr>
          <w:rFonts w:ascii="Calibri" w:eastAsia="Times New Roman" w:hAnsi="Calibri" w:cs="Calibri"/>
          <w:color w:val="000000"/>
          <w:lang w:eastAsia="tr-TR"/>
        </w:rPr>
        <w:t>lotta</w:t>
      </w:r>
      <w:proofErr w:type="gramEnd"/>
      <w:r w:rsidRPr="00D97C80">
        <w:rPr>
          <w:rFonts w:ascii="Calibri" w:eastAsia="Times New Roman" w:hAnsi="Calibri" w:cs="Calibri"/>
          <w:color w:val="000000"/>
          <w:lang w:eastAsia="tr-TR"/>
        </w:rPr>
        <w:t xml:space="preserve"> depolanabilen </w:t>
      </w:r>
      <w:proofErr w:type="spellStart"/>
      <w:r w:rsidRPr="00D97C80">
        <w:rPr>
          <w:rFonts w:ascii="Calibri" w:eastAsia="Times New Roman" w:hAnsi="Calibri" w:cs="Calibri"/>
          <w:color w:val="000000"/>
          <w:lang w:eastAsia="tr-TR"/>
        </w:rPr>
        <w:t>granüler</w:t>
      </w:r>
      <w:proofErr w:type="spellEnd"/>
      <w:r w:rsidRPr="00D97C80">
        <w:rPr>
          <w:rFonts w:ascii="Calibri" w:eastAsia="Times New Roman" w:hAnsi="Calibri" w:cs="Calibri"/>
          <w:color w:val="000000"/>
          <w:lang w:eastAsia="tr-TR"/>
        </w:rPr>
        <w:t xml:space="preserve"> tehlikesiz atıklara uygulanır. </w:t>
      </w:r>
      <w:proofErr w:type="spellStart"/>
      <w:r w:rsidRPr="00D97C80">
        <w:rPr>
          <w:rFonts w:ascii="Calibri" w:eastAsia="Times New Roman" w:hAnsi="Calibri" w:cs="Calibri"/>
          <w:color w:val="000000"/>
          <w:lang w:eastAsia="tr-TR"/>
        </w:rPr>
        <w:t>Granüler</w:t>
      </w:r>
      <w:proofErr w:type="spellEnd"/>
      <w:r w:rsidRPr="00D97C80">
        <w:rPr>
          <w:rFonts w:ascii="Calibri" w:eastAsia="Times New Roman" w:hAnsi="Calibri" w:cs="Calibri"/>
          <w:color w:val="000000"/>
          <w:lang w:eastAsia="tr-TR"/>
        </w:rPr>
        <w:t xml:space="preserve"> atıklar, tüm </w:t>
      </w:r>
      <w:proofErr w:type="spellStart"/>
      <w:r w:rsidRPr="00D97C80">
        <w:rPr>
          <w:rFonts w:ascii="Calibri" w:eastAsia="Times New Roman" w:hAnsi="Calibri" w:cs="Calibri"/>
          <w:color w:val="000000"/>
          <w:lang w:eastAsia="tr-TR"/>
        </w:rPr>
        <w:t>monolitik</w:t>
      </w:r>
      <w:proofErr w:type="spellEnd"/>
      <w:r w:rsidRPr="00D97C80">
        <w:rPr>
          <w:rFonts w:ascii="Calibri" w:eastAsia="Times New Roman" w:hAnsi="Calibri" w:cs="Calibri"/>
          <w:color w:val="000000"/>
          <w:lang w:eastAsia="tr-TR"/>
        </w:rPr>
        <w:t xml:space="preserve"> olmayan atıkları içerir.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D97C80">
        <w:rPr>
          <w:rFonts w:ascii="Calibri" w:eastAsia="Times New Roman" w:hAnsi="Calibri" w:cs="Calibri"/>
          <w:color w:val="000000"/>
          <w:lang w:eastAsia="tr-TR"/>
        </w:rPr>
        <w:t>Eluat</w:t>
      </w:r>
      <w:proofErr w:type="spellEnd"/>
      <w:r w:rsidRPr="00D97C80">
        <w:rPr>
          <w:rFonts w:ascii="Calibri" w:eastAsia="Times New Roman" w:hAnsi="Calibri" w:cs="Calibri"/>
          <w:color w:val="000000"/>
          <w:lang w:eastAsia="tr-TR"/>
        </w:rPr>
        <w:t xml:space="preserve"> testi değerleri, sıvı/katı oranı (L/S) 10 </w:t>
      </w:r>
      <w:proofErr w:type="spellStart"/>
      <w:r w:rsidRPr="00D97C80">
        <w:rPr>
          <w:rFonts w:ascii="Calibri" w:eastAsia="Times New Roman" w:hAnsi="Calibri" w:cs="Calibri"/>
          <w:color w:val="000000"/>
          <w:lang w:eastAsia="tr-TR"/>
        </w:rPr>
        <w:t>lt</w:t>
      </w:r>
      <w:proofErr w:type="spellEnd"/>
      <w:r w:rsidRPr="00D97C80">
        <w:rPr>
          <w:rFonts w:ascii="Calibri" w:eastAsia="Times New Roman" w:hAnsi="Calibri" w:cs="Calibri"/>
          <w:color w:val="000000"/>
          <w:lang w:eastAsia="tr-TR"/>
        </w:rPr>
        <w:t>/kg alınarak hesaplanır.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tbl>
      <w:tblPr>
        <w:tblW w:w="9140" w:type="dxa"/>
        <w:jc w:val="center"/>
        <w:tblCellMar>
          <w:left w:w="0" w:type="dxa"/>
          <w:right w:w="0" w:type="dxa"/>
        </w:tblCellMar>
        <w:tblLook w:val="04A0" w:firstRow="1" w:lastRow="0" w:firstColumn="1" w:lastColumn="0" w:noHBand="0" w:noVBand="1"/>
      </w:tblPr>
      <w:tblGrid>
        <w:gridCol w:w="3708"/>
        <w:gridCol w:w="2713"/>
        <w:gridCol w:w="2719"/>
      </w:tblGrid>
      <w:tr w:rsidR="00D97C80" w:rsidRPr="00D97C80" w:rsidTr="00D97C80">
        <w:trPr>
          <w:jc w:val="center"/>
        </w:trPr>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Parametre</w:t>
            </w:r>
          </w:p>
        </w:tc>
        <w:tc>
          <w:tcPr>
            <w:tcW w:w="27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Birim</w:t>
            </w:r>
          </w:p>
        </w:tc>
        <w:tc>
          <w:tcPr>
            <w:tcW w:w="2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Sınır Değer</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As (Arsenik)</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0,2</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Ba</w:t>
            </w:r>
            <w:proofErr w:type="spellEnd"/>
            <w:r w:rsidRPr="00D97C80">
              <w:rPr>
                <w:rFonts w:ascii="Calibri" w:eastAsia="Times New Roman" w:hAnsi="Calibri" w:cs="Calibri"/>
                <w:lang w:eastAsia="tr-TR"/>
              </w:rPr>
              <w:t xml:space="preserve"> (Baryum)</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10</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Cd</w:t>
            </w:r>
            <w:proofErr w:type="spellEnd"/>
            <w:r w:rsidRPr="00D97C80">
              <w:rPr>
                <w:rFonts w:ascii="Calibri" w:eastAsia="Times New Roman" w:hAnsi="Calibri" w:cs="Calibri"/>
                <w:lang w:eastAsia="tr-TR"/>
              </w:rPr>
              <w:t xml:space="preserve"> (Kadmiyum)</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0,1</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Cr toplam (Toplam krom)</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Cu (Bakır)</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Hg (</w:t>
            </w:r>
            <w:proofErr w:type="spellStart"/>
            <w:r w:rsidRPr="00D97C80">
              <w:rPr>
                <w:rFonts w:ascii="Calibri" w:eastAsia="Times New Roman" w:hAnsi="Calibri" w:cs="Calibri"/>
                <w:lang w:eastAsia="tr-TR"/>
              </w:rPr>
              <w:t>Civa</w:t>
            </w:r>
            <w:proofErr w:type="spellEnd"/>
            <w:r w:rsidRPr="00D97C80">
              <w:rPr>
                <w:rFonts w:ascii="Calibri" w:eastAsia="Times New Roman" w:hAnsi="Calibri" w:cs="Calibri"/>
                <w:lang w:eastAsia="tr-TR"/>
              </w:rPr>
              <w:t>)</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0,02</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Mo</w:t>
            </w:r>
            <w:proofErr w:type="spellEnd"/>
            <w:r w:rsidRPr="00D97C80">
              <w:rPr>
                <w:rFonts w:ascii="Calibri" w:eastAsia="Times New Roman" w:hAnsi="Calibri" w:cs="Calibri"/>
                <w:lang w:eastAsia="tr-TR"/>
              </w:rPr>
              <w:t xml:space="preserve"> (Molibden)</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Ni</w:t>
            </w:r>
            <w:proofErr w:type="spellEnd"/>
            <w:r w:rsidRPr="00D97C80">
              <w:rPr>
                <w:rFonts w:ascii="Calibri" w:eastAsia="Times New Roman" w:hAnsi="Calibri" w:cs="Calibri"/>
                <w:lang w:eastAsia="tr-TR"/>
              </w:rPr>
              <w:t xml:space="preserve"> (Nikel)</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Pb(Kurşun)</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Sb (Antimon)</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0,07</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Se(Selenyum)</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0,05</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Zn</w:t>
            </w:r>
            <w:proofErr w:type="spellEnd"/>
            <w:r w:rsidRPr="00D97C80">
              <w:rPr>
                <w:rFonts w:ascii="Calibri" w:eastAsia="Times New Roman" w:hAnsi="Calibri" w:cs="Calibri"/>
                <w:lang w:eastAsia="tr-TR"/>
              </w:rPr>
              <w:t xml:space="preserve"> (Çinko)</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Klorür</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1500</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Florür</w:t>
            </w:r>
            <w:proofErr w:type="spellEnd"/>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15</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Sülfat</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2000</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ÇOK (Çözünmüş organik karbon)</w:t>
            </w:r>
            <w:r w:rsidRPr="00D97C80">
              <w:rPr>
                <w:rFonts w:ascii="Calibri" w:eastAsia="Times New Roman" w:hAnsi="Calibri" w:cs="Calibri"/>
                <w:vertAlign w:val="superscript"/>
                <w:lang w:eastAsia="tr-TR"/>
              </w:rPr>
              <w:t> (1)</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80</w:t>
            </w:r>
          </w:p>
        </w:tc>
      </w:tr>
      <w:tr w:rsidR="00D97C80" w:rsidRPr="00D97C80" w:rsidTr="00D97C80">
        <w:trPr>
          <w:jc w:val="center"/>
        </w:trPr>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TÇK (Toplam çözünen katı)</w:t>
            </w:r>
            <w:r w:rsidRPr="00D97C80">
              <w:rPr>
                <w:rFonts w:ascii="Calibri" w:eastAsia="Times New Roman" w:hAnsi="Calibri" w:cs="Calibri"/>
                <w:vertAlign w:val="superscript"/>
                <w:lang w:eastAsia="tr-TR"/>
              </w:rPr>
              <w:t> (2)</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6000</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(1) Çözünmüş Organik Karbon (ÇOK) sınır değeri atığın kendi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değerinde sağlanamıyorsa,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7,5 – 8 değerinde test tekrarlanır ve sınır değerin aşılmadığı tespit edilir. Sınır değer aşılmıyorsa; Çözünmüş Organik Karbon (ÇOK) değerinin kabul </w:t>
      </w:r>
      <w:proofErr w:type="gramStart"/>
      <w:r w:rsidRPr="00D97C80">
        <w:rPr>
          <w:rFonts w:ascii="Calibri" w:eastAsia="Times New Roman" w:hAnsi="Calibri" w:cs="Calibri"/>
          <w:color w:val="000000"/>
          <w:lang w:eastAsia="tr-TR"/>
        </w:rPr>
        <w:t>kriterlerine</w:t>
      </w:r>
      <w:proofErr w:type="gramEnd"/>
      <w:r w:rsidRPr="00D97C80">
        <w:rPr>
          <w:rFonts w:ascii="Calibri" w:eastAsia="Times New Roman" w:hAnsi="Calibri" w:cs="Calibri"/>
          <w:color w:val="000000"/>
          <w:lang w:eastAsia="tr-TR"/>
        </w:rPr>
        <w:t xml:space="preserve"> uygun olduğu kabul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(2)Toplam çözünmüş katı madde değerleri (TÇK), sülfat ve klorür değerlerine alternatif olarak kullanılabilir.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Reaktif olmayan ve kararlı tehlikeli atıkların II. sınıf depolama tesislerine kabul edilebilmesi için sınır değerler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Sınır değerler, II. sınıf düzenli depolama tesisinde depolanabilecek </w:t>
      </w:r>
      <w:proofErr w:type="spellStart"/>
      <w:r w:rsidRPr="00D97C80">
        <w:rPr>
          <w:rFonts w:ascii="Calibri" w:eastAsia="Times New Roman" w:hAnsi="Calibri" w:cs="Calibri"/>
          <w:color w:val="000000"/>
          <w:lang w:eastAsia="tr-TR"/>
        </w:rPr>
        <w:t>granüler</w:t>
      </w:r>
      <w:proofErr w:type="spellEnd"/>
      <w:r w:rsidRPr="00D97C80">
        <w:rPr>
          <w:rFonts w:ascii="Calibri" w:eastAsia="Times New Roman" w:hAnsi="Calibri" w:cs="Calibri"/>
          <w:color w:val="000000"/>
          <w:lang w:eastAsia="tr-TR"/>
        </w:rPr>
        <w:t xml:space="preserve"> tehlikeli atıklara uygulanır. </w:t>
      </w:r>
      <w:proofErr w:type="spellStart"/>
      <w:r w:rsidRPr="00D97C80">
        <w:rPr>
          <w:rFonts w:ascii="Calibri" w:eastAsia="Times New Roman" w:hAnsi="Calibri" w:cs="Calibri"/>
          <w:color w:val="000000"/>
          <w:lang w:eastAsia="tr-TR"/>
        </w:rPr>
        <w:t>Granüler</w:t>
      </w:r>
      <w:proofErr w:type="spellEnd"/>
      <w:r w:rsidRPr="00D97C80">
        <w:rPr>
          <w:rFonts w:ascii="Calibri" w:eastAsia="Times New Roman" w:hAnsi="Calibri" w:cs="Calibri"/>
          <w:color w:val="000000"/>
          <w:lang w:eastAsia="tr-TR"/>
        </w:rPr>
        <w:t xml:space="preserve"> atıklar, tüm </w:t>
      </w:r>
      <w:proofErr w:type="spellStart"/>
      <w:r w:rsidRPr="00D97C80">
        <w:rPr>
          <w:rFonts w:ascii="Calibri" w:eastAsia="Times New Roman" w:hAnsi="Calibri" w:cs="Calibri"/>
          <w:color w:val="000000"/>
          <w:lang w:eastAsia="tr-TR"/>
        </w:rPr>
        <w:t>monolitik</w:t>
      </w:r>
      <w:proofErr w:type="spellEnd"/>
      <w:r w:rsidRPr="00D97C80">
        <w:rPr>
          <w:rFonts w:ascii="Calibri" w:eastAsia="Times New Roman" w:hAnsi="Calibri" w:cs="Calibri"/>
          <w:color w:val="000000"/>
          <w:lang w:eastAsia="tr-TR"/>
        </w:rPr>
        <w:t xml:space="preserve"> olmayan atıkları içerir.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D97C80">
        <w:rPr>
          <w:rFonts w:ascii="Calibri" w:eastAsia="Times New Roman" w:hAnsi="Calibri" w:cs="Calibri"/>
          <w:color w:val="000000"/>
          <w:lang w:eastAsia="tr-TR"/>
        </w:rPr>
        <w:t>Eluat</w:t>
      </w:r>
      <w:proofErr w:type="spellEnd"/>
      <w:r w:rsidRPr="00D97C80">
        <w:rPr>
          <w:rFonts w:ascii="Calibri" w:eastAsia="Times New Roman" w:hAnsi="Calibri" w:cs="Calibri"/>
          <w:color w:val="000000"/>
          <w:lang w:eastAsia="tr-TR"/>
        </w:rPr>
        <w:t xml:space="preserve"> testi değerleri, sıvı/katı oranı (L/S) 10 </w:t>
      </w:r>
      <w:proofErr w:type="spellStart"/>
      <w:r w:rsidRPr="00D97C80">
        <w:rPr>
          <w:rFonts w:ascii="Calibri" w:eastAsia="Times New Roman" w:hAnsi="Calibri" w:cs="Calibri"/>
          <w:color w:val="000000"/>
          <w:lang w:eastAsia="tr-TR"/>
        </w:rPr>
        <w:t>lt</w:t>
      </w:r>
      <w:proofErr w:type="spellEnd"/>
      <w:r w:rsidRPr="00D97C80">
        <w:rPr>
          <w:rFonts w:ascii="Calibri" w:eastAsia="Times New Roman" w:hAnsi="Calibri" w:cs="Calibri"/>
          <w:color w:val="000000"/>
          <w:lang w:eastAsia="tr-TR"/>
        </w:rPr>
        <w:t>/kg alınarak hesaplanır.</w:t>
      </w:r>
    </w:p>
    <w:tbl>
      <w:tblPr>
        <w:tblW w:w="9423" w:type="dxa"/>
        <w:jc w:val="center"/>
        <w:tblCellMar>
          <w:left w:w="0" w:type="dxa"/>
          <w:right w:w="0" w:type="dxa"/>
        </w:tblCellMar>
        <w:tblLook w:val="04A0" w:firstRow="1" w:lastRow="0" w:firstColumn="1" w:lastColumn="0" w:noHBand="0" w:noVBand="1"/>
      </w:tblPr>
      <w:tblGrid>
        <w:gridCol w:w="3991"/>
        <w:gridCol w:w="2713"/>
        <w:gridCol w:w="2719"/>
      </w:tblGrid>
      <w:tr w:rsidR="00D97C80" w:rsidRPr="00D97C80" w:rsidTr="00D97C80">
        <w:trPr>
          <w:jc w:val="center"/>
        </w:trPr>
        <w:tc>
          <w:tcPr>
            <w:tcW w:w="39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Parametre</w:t>
            </w:r>
          </w:p>
        </w:tc>
        <w:tc>
          <w:tcPr>
            <w:tcW w:w="27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Birim</w:t>
            </w:r>
          </w:p>
        </w:tc>
        <w:tc>
          <w:tcPr>
            <w:tcW w:w="2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Sınır Değer</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As (Arsenik)</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0,2</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Ba</w:t>
            </w:r>
            <w:proofErr w:type="spellEnd"/>
            <w:r w:rsidRPr="00D97C80">
              <w:rPr>
                <w:rFonts w:ascii="Calibri" w:eastAsia="Times New Roman" w:hAnsi="Calibri" w:cs="Calibri"/>
                <w:lang w:eastAsia="tr-TR"/>
              </w:rPr>
              <w:t xml:space="preserve"> (Baryum)</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10</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Cd</w:t>
            </w:r>
            <w:proofErr w:type="spellEnd"/>
            <w:r w:rsidRPr="00D97C80">
              <w:rPr>
                <w:rFonts w:ascii="Calibri" w:eastAsia="Times New Roman" w:hAnsi="Calibri" w:cs="Calibri"/>
                <w:lang w:eastAsia="tr-TR"/>
              </w:rPr>
              <w:t xml:space="preserve"> (Kadmiyum)</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0,1</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Cr toplam (Toplam krom)</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Cu (Bakır)</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Hg (</w:t>
            </w:r>
            <w:proofErr w:type="spellStart"/>
            <w:r w:rsidRPr="00D97C80">
              <w:rPr>
                <w:rFonts w:ascii="Calibri" w:eastAsia="Times New Roman" w:hAnsi="Calibri" w:cs="Calibri"/>
                <w:lang w:eastAsia="tr-TR"/>
              </w:rPr>
              <w:t>Civa</w:t>
            </w:r>
            <w:proofErr w:type="spellEnd"/>
            <w:r w:rsidRPr="00D97C80">
              <w:rPr>
                <w:rFonts w:ascii="Calibri" w:eastAsia="Times New Roman" w:hAnsi="Calibri" w:cs="Calibri"/>
                <w:lang w:eastAsia="tr-TR"/>
              </w:rPr>
              <w:t>)</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0,02</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Mo</w:t>
            </w:r>
            <w:proofErr w:type="spellEnd"/>
            <w:r w:rsidRPr="00D97C80">
              <w:rPr>
                <w:rFonts w:ascii="Calibri" w:eastAsia="Times New Roman" w:hAnsi="Calibri" w:cs="Calibri"/>
                <w:lang w:eastAsia="tr-TR"/>
              </w:rPr>
              <w:t xml:space="preserve"> (Molibden)</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Ni</w:t>
            </w:r>
            <w:proofErr w:type="spellEnd"/>
            <w:r w:rsidRPr="00D97C80">
              <w:rPr>
                <w:rFonts w:ascii="Calibri" w:eastAsia="Times New Roman" w:hAnsi="Calibri" w:cs="Calibri"/>
                <w:lang w:eastAsia="tr-TR"/>
              </w:rPr>
              <w:t xml:space="preserve"> (Nikel)</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Pb(Kurşun)</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Sb (Antimon)</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0,07</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Se(Selenyum)</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0,05</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Zn</w:t>
            </w:r>
            <w:proofErr w:type="spellEnd"/>
            <w:r w:rsidRPr="00D97C80">
              <w:rPr>
                <w:rFonts w:ascii="Calibri" w:eastAsia="Times New Roman" w:hAnsi="Calibri" w:cs="Calibri"/>
                <w:lang w:eastAsia="tr-TR"/>
              </w:rPr>
              <w:t xml:space="preserve"> (Çinko)</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Klorür</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1500</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Florür</w:t>
            </w:r>
            <w:proofErr w:type="spellEnd"/>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15</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Sülfat</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2000</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ÇOK (Çözünmüş organik karbon)</w:t>
            </w:r>
            <w:r w:rsidRPr="00D97C80">
              <w:rPr>
                <w:rFonts w:ascii="Calibri" w:eastAsia="Times New Roman" w:hAnsi="Calibri" w:cs="Calibri"/>
                <w:vertAlign w:val="superscript"/>
                <w:lang w:eastAsia="tr-TR"/>
              </w:rPr>
              <w:t> (1)</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80</w:t>
            </w:r>
          </w:p>
        </w:tc>
      </w:tr>
      <w:tr w:rsidR="00D97C80" w:rsidRPr="00D97C80" w:rsidTr="00D97C80">
        <w:trPr>
          <w:jc w:val="center"/>
        </w:trPr>
        <w:tc>
          <w:tcPr>
            <w:tcW w:w="3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TÇK (Toplam çözünen katı)</w:t>
            </w:r>
            <w:r w:rsidRPr="00D97C80">
              <w:rPr>
                <w:rFonts w:ascii="Calibri" w:eastAsia="Times New Roman" w:hAnsi="Calibri" w:cs="Calibri"/>
                <w:vertAlign w:val="superscript"/>
                <w:lang w:eastAsia="tr-TR"/>
              </w:rPr>
              <w:t> (2)</w:t>
            </w:r>
          </w:p>
        </w:tc>
        <w:tc>
          <w:tcPr>
            <w:tcW w:w="2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6000</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(1) Çözünmüş Organik Karbon (ÇOK) sınır değeri atığın kendi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değerinde sağlanamıyorsa,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7,5 – 8 değerinde test tekrarlanır ve sınır değerin aşılmadığı tespit edilir. Sınır değer aşılmıyorsa; Çözünmüş Organik Karbon (ÇOK) değerinin kabul </w:t>
      </w:r>
      <w:proofErr w:type="gramStart"/>
      <w:r w:rsidRPr="00D97C80">
        <w:rPr>
          <w:rFonts w:ascii="Calibri" w:eastAsia="Times New Roman" w:hAnsi="Calibri" w:cs="Calibri"/>
          <w:color w:val="000000"/>
          <w:lang w:eastAsia="tr-TR"/>
        </w:rPr>
        <w:t>kriterlerine</w:t>
      </w:r>
      <w:proofErr w:type="gramEnd"/>
      <w:r w:rsidRPr="00D97C80">
        <w:rPr>
          <w:rFonts w:ascii="Calibri" w:eastAsia="Times New Roman" w:hAnsi="Calibri" w:cs="Calibri"/>
          <w:color w:val="000000"/>
          <w:lang w:eastAsia="tr-TR"/>
        </w:rPr>
        <w:t xml:space="preserve"> uygun olduğu kabul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(2)Toplam çözünmüş katı madde değerleri (TÇK), sülfat ve klorür değerlerine alternatif olarak kullanılabilir.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Yukarıdaki sınır değerlere ilave olarak, </w:t>
      </w:r>
      <w:proofErr w:type="spellStart"/>
      <w:r w:rsidRPr="00D97C80">
        <w:rPr>
          <w:rFonts w:ascii="Calibri" w:eastAsia="Times New Roman" w:hAnsi="Calibri" w:cs="Calibri"/>
          <w:color w:val="000000"/>
          <w:lang w:eastAsia="tr-TR"/>
        </w:rPr>
        <w:t>granüler</w:t>
      </w:r>
      <w:proofErr w:type="spellEnd"/>
      <w:r w:rsidRPr="00D97C80">
        <w:rPr>
          <w:rFonts w:ascii="Calibri" w:eastAsia="Times New Roman" w:hAnsi="Calibri" w:cs="Calibri"/>
          <w:color w:val="000000"/>
          <w:lang w:eastAsia="tr-TR"/>
        </w:rPr>
        <w:t xml:space="preserve"> tehlikeli atıklar için aşağıdaki sınır değerler de karşılanmak zorundadır:</w:t>
      </w:r>
    </w:p>
    <w:tbl>
      <w:tblPr>
        <w:tblW w:w="8505" w:type="dxa"/>
        <w:jc w:val="center"/>
        <w:tblCellMar>
          <w:left w:w="0" w:type="dxa"/>
          <w:right w:w="0" w:type="dxa"/>
        </w:tblCellMar>
        <w:tblLook w:val="04A0" w:firstRow="1" w:lastRow="0" w:firstColumn="1" w:lastColumn="0" w:noHBand="0" w:noVBand="1"/>
      </w:tblPr>
      <w:tblGrid>
        <w:gridCol w:w="4269"/>
        <w:gridCol w:w="4236"/>
      </w:tblGrid>
      <w:tr w:rsidR="00D97C80" w:rsidRPr="00D97C80" w:rsidTr="00D97C80">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Parametre</w:t>
            </w:r>
          </w:p>
        </w:tc>
        <w:tc>
          <w:tcPr>
            <w:tcW w:w="453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Sınır Değer</w:t>
            </w:r>
          </w:p>
        </w:tc>
      </w:tr>
      <w:tr w:rsidR="00D97C80" w:rsidRPr="00D97C80" w:rsidTr="00D97C80">
        <w:trPr>
          <w:jc w:val="center"/>
        </w:trPr>
        <w:tc>
          <w:tcPr>
            <w:tcW w:w="45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TOK (Toplam Organik Karbon)</w:t>
            </w:r>
          </w:p>
        </w:tc>
        <w:tc>
          <w:tcPr>
            <w:tcW w:w="4536"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w:t>
            </w:r>
            <w:r w:rsidRPr="00D97C80">
              <w:rPr>
                <w:rFonts w:ascii="Calibri" w:eastAsia="Times New Roman" w:hAnsi="Calibri" w:cs="Calibri"/>
                <w:vertAlign w:val="superscript"/>
                <w:lang w:eastAsia="tr-TR"/>
              </w:rPr>
              <w:t>(1)</w:t>
            </w:r>
          </w:p>
        </w:tc>
      </w:tr>
      <w:tr w:rsidR="00D97C80" w:rsidRPr="00D97C80" w:rsidTr="00D97C80">
        <w:trPr>
          <w:jc w:val="center"/>
        </w:trPr>
        <w:tc>
          <w:tcPr>
            <w:tcW w:w="45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w:t>
            </w:r>
          </w:p>
        </w:tc>
        <w:tc>
          <w:tcPr>
            <w:tcW w:w="4536"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6</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(1)Atığın kendi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değerinde veya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7,5 ile 8 arasında Çözünmüş Organik Karbon (ÇOK) değerinin 80 mg/</w:t>
      </w:r>
      <w:proofErr w:type="spellStart"/>
      <w:r w:rsidRPr="00D97C80">
        <w:rPr>
          <w:rFonts w:ascii="Calibri" w:eastAsia="Times New Roman" w:hAnsi="Calibri" w:cs="Calibri"/>
          <w:color w:val="000000"/>
          <w:lang w:eastAsia="tr-TR"/>
        </w:rPr>
        <w:t>lt</w:t>
      </w:r>
      <w:proofErr w:type="spellEnd"/>
      <w:r w:rsidRPr="00D97C80">
        <w:rPr>
          <w:rFonts w:ascii="Calibri" w:eastAsia="Times New Roman" w:hAnsi="Calibri" w:cs="Calibri"/>
          <w:color w:val="000000"/>
          <w:lang w:eastAsia="tr-TR"/>
        </w:rPr>
        <w:t xml:space="preserve"> olması kaydı ile Bakanlık tarafından daha yüksek bir değer kabul edilebilir.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2-C)Tehlikeli Atıkların Düzenli Depolanabilme Kriterleri</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I. sınıf depolama tesisleri için sınır değerler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Sınır değerler, I. sınıf depolama tesisinde depolanabilecek </w:t>
      </w:r>
      <w:proofErr w:type="spellStart"/>
      <w:r w:rsidRPr="00D97C80">
        <w:rPr>
          <w:rFonts w:ascii="Calibri" w:eastAsia="Times New Roman" w:hAnsi="Calibri" w:cs="Calibri"/>
          <w:color w:val="000000"/>
          <w:lang w:eastAsia="tr-TR"/>
        </w:rPr>
        <w:t>granüler</w:t>
      </w:r>
      <w:proofErr w:type="spellEnd"/>
      <w:r w:rsidRPr="00D97C80">
        <w:rPr>
          <w:rFonts w:ascii="Calibri" w:eastAsia="Times New Roman" w:hAnsi="Calibri" w:cs="Calibri"/>
          <w:color w:val="000000"/>
          <w:lang w:eastAsia="tr-TR"/>
        </w:rPr>
        <w:t xml:space="preserve"> tehlikeli atıklara uygulanır. </w:t>
      </w:r>
      <w:proofErr w:type="spellStart"/>
      <w:r w:rsidRPr="00D97C80">
        <w:rPr>
          <w:rFonts w:ascii="Calibri" w:eastAsia="Times New Roman" w:hAnsi="Calibri" w:cs="Calibri"/>
          <w:color w:val="000000"/>
          <w:lang w:eastAsia="tr-TR"/>
        </w:rPr>
        <w:t>Granüler</w:t>
      </w:r>
      <w:proofErr w:type="spellEnd"/>
      <w:r w:rsidRPr="00D97C80">
        <w:rPr>
          <w:rFonts w:ascii="Calibri" w:eastAsia="Times New Roman" w:hAnsi="Calibri" w:cs="Calibri"/>
          <w:color w:val="000000"/>
          <w:lang w:eastAsia="tr-TR"/>
        </w:rPr>
        <w:t xml:space="preserve"> atıklar, tüm </w:t>
      </w:r>
      <w:proofErr w:type="spellStart"/>
      <w:r w:rsidRPr="00D97C80">
        <w:rPr>
          <w:rFonts w:ascii="Calibri" w:eastAsia="Times New Roman" w:hAnsi="Calibri" w:cs="Calibri"/>
          <w:color w:val="000000"/>
          <w:lang w:eastAsia="tr-TR"/>
        </w:rPr>
        <w:t>monolitik</w:t>
      </w:r>
      <w:proofErr w:type="spellEnd"/>
      <w:r w:rsidRPr="00D97C80">
        <w:rPr>
          <w:rFonts w:ascii="Calibri" w:eastAsia="Times New Roman" w:hAnsi="Calibri" w:cs="Calibri"/>
          <w:color w:val="000000"/>
          <w:lang w:eastAsia="tr-TR"/>
        </w:rPr>
        <w:t xml:space="preserve"> olmayan atıkları içerir.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D97C80">
        <w:rPr>
          <w:rFonts w:ascii="Calibri" w:eastAsia="Times New Roman" w:hAnsi="Calibri" w:cs="Calibri"/>
          <w:color w:val="000000"/>
          <w:lang w:eastAsia="tr-TR"/>
        </w:rPr>
        <w:t>Eluat</w:t>
      </w:r>
      <w:proofErr w:type="spellEnd"/>
      <w:r w:rsidRPr="00D97C80">
        <w:rPr>
          <w:rFonts w:ascii="Calibri" w:eastAsia="Times New Roman" w:hAnsi="Calibri" w:cs="Calibri"/>
          <w:color w:val="000000"/>
          <w:lang w:eastAsia="tr-TR"/>
        </w:rPr>
        <w:t xml:space="preserve"> testi değerleri, sıvı/katı oranı (L/S) 10 </w:t>
      </w:r>
      <w:proofErr w:type="spellStart"/>
      <w:r w:rsidRPr="00D97C80">
        <w:rPr>
          <w:rFonts w:ascii="Calibri" w:eastAsia="Times New Roman" w:hAnsi="Calibri" w:cs="Calibri"/>
          <w:color w:val="000000"/>
          <w:lang w:eastAsia="tr-TR"/>
        </w:rPr>
        <w:t>lt</w:t>
      </w:r>
      <w:proofErr w:type="spellEnd"/>
      <w:r w:rsidRPr="00D97C80">
        <w:rPr>
          <w:rFonts w:ascii="Calibri" w:eastAsia="Times New Roman" w:hAnsi="Calibri" w:cs="Calibri"/>
          <w:color w:val="000000"/>
          <w:lang w:eastAsia="tr-TR"/>
        </w:rPr>
        <w:t>/kg alınarak hesaplanır.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tbl>
      <w:tblPr>
        <w:tblW w:w="8998" w:type="dxa"/>
        <w:jc w:val="center"/>
        <w:tblCellMar>
          <w:left w:w="0" w:type="dxa"/>
          <w:right w:w="0" w:type="dxa"/>
        </w:tblCellMar>
        <w:tblLook w:val="04A0" w:firstRow="1" w:lastRow="0" w:firstColumn="1" w:lastColumn="0" w:noHBand="0" w:noVBand="1"/>
      </w:tblPr>
      <w:tblGrid>
        <w:gridCol w:w="3476"/>
        <w:gridCol w:w="2747"/>
        <w:gridCol w:w="2775"/>
      </w:tblGrid>
      <w:tr w:rsidR="00D97C80" w:rsidRPr="00D97C80" w:rsidTr="00D97C80">
        <w:trPr>
          <w:jc w:val="center"/>
        </w:trPr>
        <w:tc>
          <w:tcPr>
            <w:tcW w:w="3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Parametre</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Birim</w:t>
            </w:r>
          </w:p>
        </w:tc>
        <w:tc>
          <w:tcPr>
            <w:tcW w:w="2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Sınır değerler</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As (Arsenik)</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2,5</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Ba</w:t>
            </w:r>
            <w:proofErr w:type="spellEnd"/>
            <w:r w:rsidRPr="00D97C80">
              <w:rPr>
                <w:rFonts w:ascii="Calibri" w:eastAsia="Times New Roman" w:hAnsi="Calibri" w:cs="Calibri"/>
                <w:lang w:eastAsia="tr-TR"/>
              </w:rPr>
              <w:t xml:space="preserve"> (Baryum)</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30</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Cd</w:t>
            </w:r>
            <w:proofErr w:type="spellEnd"/>
            <w:r w:rsidRPr="00D97C80">
              <w:rPr>
                <w:rFonts w:ascii="Calibri" w:eastAsia="Times New Roman" w:hAnsi="Calibri" w:cs="Calibri"/>
                <w:lang w:eastAsia="tr-TR"/>
              </w:rPr>
              <w:t xml:space="preserve"> (Kadmiyum)</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0,5</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Cr toplam (Toplam krom)</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7</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Cu (Bakır)</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10</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Hg (</w:t>
            </w:r>
            <w:proofErr w:type="spellStart"/>
            <w:r w:rsidRPr="00D97C80">
              <w:rPr>
                <w:rFonts w:ascii="Calibri" w:eastAsia="Times New Roman" w:hAnsi="Calibri" w:cs="Calibri"/>
                <w:lang w:eastAsia="tr-TR"/>
              </w:rPr>
              <w:t>Civa</w:t>
            </w:r>
            <w:proofErr w:type="spellEnd"/>
            <w:r w:rsidRPr="00D97C80">
              <w:rPr>
                <w:rFonts w:ascii="Calibri" w:eastAsia="Times New Roman" w:hAnsi="Calibri" w:cs="Calibri"/>
                <w:lang w:eastAsia="tr-TR"/>
              </w:rPr>
              <w:t>)</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0,2</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Mo</w:t>
            </w:r>
            <w:proofErr w:type="spellEnd"/>
            <w:r w:rsidRPr="00D97C80">
              <w:rPr>
                <w:rFonts w:ascii="Calibri" w:eastAsia="Times New Roman" w:hAnsi="Calibri" w:cs="Calibri"/>
                <w:lang w:eastAsia="tr-TR"/>
              </w:rPr>
              <w:t xml:space="preserve"> (Molibden)</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3</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Ni</w:t>
            </w:r>
            <w:proofErr w:type="spellEnd"/>
            <w:r w:rsidRPr="00D97C80">
              <w:rPr>
                <w:rFonts w:ascii="Calibri" w:eastAsia="Times New Roman" w:hAnsi="Calibri" w:cs="Calibri"/>
                <w:lang w:eastAsia="tr-TR"/>
              </w:rPr>
              <w:t xml:space="preserve"> (Nikel)</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4</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Pb(Kurşun)</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Sb (Antimon)</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0,5</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Se(Selenyum)</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0,7</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Zn</w:t>
            </w:r>
            <w:proofErr w:type="spellEnd"/>
            <w:r w:rsidRPr="00D97C80">
              <w:rPr>
                <w:rFonts w:ascii="Calibri" w:eastAsia="Times New Roman" w:hAnsi="Calibri" w:cs="Calibri"/>
                <w:lang w:eastAsia="tr-TR"/>
              </w:rPr>
              <w:t xml:space="preserve"> (Çinko)</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20</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Klorür</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2500</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Florür</w:t>
            </w:r>
            <w:proofErr w:type="spellEnd"/>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50</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Sülfat</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5000</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ÇOK(Çözünmüş organik karbon)</w:t>
            </w:r>
            <w:r w:rsidRPr="00D97C80">
              <w:rPr>
                <w:rFonts w:ascii="Calibri" w:eastAsia="Times New Roman" w:hAnsi="Calibri" w:cs="Calibri"/>
                <w:vertAlign w:val="superscript"/>
                <w:lang w:eastAsia="tr-TR"/>
              </w:rPr>
              <w:t>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100</w:t>
            </w:r>
          </w:p>
        </w:tc>
      </w:tr>
      <w:tr w:rsidR="00D97C80" w:rsidRPr="00D97C80" w:rsidTr="00D97C80">
        <w:trPr>
          <w:jc w:val="center"/>
        </w:trPr>
        <w:tc>
          <w:tcPr>
            <w:tcW w:w="3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TÇK(Toplam çözünen katı)</w:t>
            </w:r>
            <w:r w:rsidRPr="00D97C80">
              <w:rPr>
                <w:rFonts w:ascii="Calibri" w:eastAsia="Times New Roman" w:hAnsi="Calibri" w:cs="Calibri"/>
                <w:vertAlign w:val="superscript"/>
                <w:lang w:eastAsia="tr-TR"/>
              </w:rPr>
              <w:t>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gramStart"/>
            <w:r w:rsidRPr="00D97C80">
              <w:rPr>
                <w:rFonts w:ascii="Calibri" w:eastAsia="Times New Roman" w:hAnsi="Calibri" w:cs="Calibri"/>
                <w:lang w:eastAsia="tr-TR"/>
              </w:rPr>
              <w:t>mg</w:t>
            </w:r>
            <w:proofErr w:type="gramEnd"/>
            <w:r w:rsidRPr="00D97C80">
              <w:rPr>
                <w:rFonts w:ascii="Calibri" w:eastAsia="Times New Roman" w:hAnsi="Calibri" w:cs="Calibri"/>
                <w:lang w:eastAsia="tr-TR"/>
              </w:rPr>
              <w:t xml:space="preserve"> / </w:t>
            </w:r>
            <w:proofErr w:type="spellStart"/>
            <w:r w:rsidRPr="00D97C80">
              <w:rPr>
                <w:rFonts w:ascii="Calibri" w:eastAsia="Times New Roman" w:hAnsi="Calibri" w:cs="Calibri"/>
                <w:lang w:eastAsia="tr-TR"/>
              </w:rPr>
              <w:t>lt</w:t>
            </w:r>
            <w:proofErr w:type="spellEnd"/>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10000</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(1) Çözünmüş Organik Karbon (ÇOK) sınır değeri atığın kendi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değerinde sağlanamıyorsa,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7,5 – 8 değerinde test tekrarlanır ve sınır değerin aşılmadığı tespit edilir. Sınır değer aşılmıyorsa; Çözünmüş Organik Karbon (ÇOK) değerinin kabul </w:t>
      </w:r>
      <w:proofErr w:type="gramStart"/>
      <w:r w:rsidRPr="00D97C80">
        <w:rPr>
          <w:rFonts w:ascii="Calibri" w:eastAsia="Times New Roman" w:hAnsi="Calibri" w:cs="Calibri"/>
          <w:color w:val="000000"/>
          <w:lang w:eastAsia="tr-TR"/>
        </w:rPr>
        <w:t>kriterlerine</w:t>
      </w:r>
      <w:proofErr w:type="gramEnd"/>
      <w:r w:rsidRPr="00D97C80">
        <w:rPr>
          <w:rFonts w:ascii="Calibri" w:eastAsia="Times New Roman" w:hAnsi="Calibri" w:cs="Calibri"/>
          <w:color w:val="000000"/>
          <w:lang w:eastAsia="tr-TR"/>
        </w:rPr>
        <w:t xml:space="preserve"> uygun olduğu kabul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(2)Toplam çözünmüş katı madde değerleri (TÇK), sülfat ve klorür değerlerine alternatif olarak kullanılabilir.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Yukarıdaki sınır değerlerine ilave olarak, aşağıdaki sınır değerler de karşılanmak zorundadır:</w:t>
      </w:r>
    </w:p>
    <w:tbl>
      <w:tblPr>
        <w:tblW w:w="8505" w:type="dxa"/>
        <w:jc w:val="center"/>
        <w:tblCellMar>
          <w:left w:w="0" w:type="dxa"/>
          <w:right w:w="0" w:type="dxa"/>
        </w:tblCellMar>
        <w:tblLook w:val="04A0" w:firstRow="1" w:lastRow="0" w:firstColumn="1" w:lastColumn="0" w:noHBand="0" w:noVBand="1"/>
      </w:tblPr>
      <w:tblGrid>
        <w:gridCol w:w="4278"/>
        <w:gridCol w:w="4227"/>
      </w:tblGrid>
      <w:tr w:rsidR="00D97C80" w:rsidRPr="00D97C80" w:rsidTr="00D97C80">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Parametre</w:t>
            </w:r>
          </w:p>
        </w:tc>
        <w:tc>
          <w:tcPr>
            <w:tcW w:w="453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Sınır Değer</w:t>
            </w:r>
          </w:p>
        </w:tc>
      </w:tr>
      <w:tr w:rsidR="00D97C80" w:rsidRPr="00D97C80" w:rsidTr="00D97C80">
        <w:trPr>
          <w:jc w:val="center"/>
        </w:trPr>
        <w:tc>
          <w:tcPr>
            <w:tcW w:w="45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LOI (Yanma kaybı)</w:t>
            </w:r>
            <w:r w:rsidRPr="00D97C80">
              <w:rPr>
                <w:rFonts w:ascii="Calibri" w:eastAsia="Times New Roman" w:hAnsi="Calibri" w:cs="Calibri"/>
                <w:vertAlign w:val="superscript"/>
                <w:lang w:eastAsia="tr-TR"/>
              </w:rPr>
              <w:t>(1)</w:t>
            </w:r>
          </w:p>
        </w:tc>
        <w:tc>
          <w:tcPr>
            <w:tcW w:w="4536"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%10</w:t>
            </w:r>
          </w:p>
        </w:tc>
      </w:tr>
      <w:tr w:rsidR="00D97C80" w:rsidRPr="00D97C80" w:rsidTr="00D97C80">
        <w:trPr>
          <w:jc w:val="center"/>
        </w:trPr>
        <w:tc>
          <w:tcPr>
            <w:tcW w:w="45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TOK (Toplam organik karbon) </w:t>
            </w:r>
            <w:r w:rsidRPr="00D97C80">
              <w:rPr>
                <w:rFonts w:ascii="Calibri" w:eastAsia="Times New Roman" w:hAnsi="Calibri" w:cs="Calibri"/>
                <w:vertAlign w:val="superscript"/>
                <w:lang w:eastAsia="tr-TR"/>
              </w:rPr>
              <w:t>(1)</w:t>
            </w:r>
          </w:p>
        </w:tc>
        <w:tc>
          <w:tcPr>
            <w:tcW w:w="4536" w:type="dxa"/>
            <w:tcBorders>
              <w:top w:val="nil"/>
              <w:left w:val="nil"/>
              <w:bottom w:val="single" w:sz="8" w:space="0" w:color="auto"/>
              <w:right w:val="single" w:sz="8" w:space="0" w:color="auto"/>
            </w:tcBorders>
            <w:tcMar>
              <w:top w:w="0" w:type="dxa"/>
              <w:left w:w="70" w:type="dxa"/>
              <w:bottom w:w="0" w:type="dxa"/>
              <w:right w:w="70"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6</w:t>
            </w:r>
            <w:r w:rsidRPr="00D97C80">
              <w:rPr>
                <w:rFonts w:ascii="Calibri" w:eastAsia="Times New Roman" w:hAnsi="Calibri" w:cs="Calibri"/>
                <w:vertAlign w:val="superscript"/>
                <w:lang w:eastAsia="tr-TR"/>
              </w:rPr>
              <w:t>(2)</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(1)Ya LOI ya da TOK kullanılır.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(2)Atığın kendi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değerinde veya </w:t>
      </w:r>
      <w:proofErr w:type="spellStart"/>
      <w:r w:rsidRPr="00D97C80">
        <w:rPr>
          <w:rFonts w:ascii="Calibri" w:eastAsia="Times New Roman" w:hAnsi="Calibri" w:cs="Calibri"/>
          <w:color w:val="000000"/>
          <w:lang w:eastAsia="tr-TR"/>
        </w:rPr>
        <w:t>pH</w:t>
      </w:r>
      <w:proofErr w:type="spellEnd"/>
      <w:r w:rsidRPr="00D97C80">
        <w:rPr>
          <w:rFonts w:ascii="Calibri" w:eastAsia="Times New Roman" w:hAnsi="Calibri" w:cs="Calibri"/>
          <w:color w:val="000000"/>
          <w:lang w:eastAsia="tr-TR"/>
        </w:rPr>
        <w:t xml:space="preserve"> 7,5 ile 8 arasında Çözünmüş Organik Karbon (ÇOK) değerinin 100 mg/</w:t>
      </w:r>
      <w:proofErr w:type="spellStart"/>
      <w:r w:rsidRPr="00D97C80">
        <w:rPr>
          <w:rFonts w:ascii="Calibri" w:eastAsia="Times New Roman" w:hAnsi="Calibri" w:cs="Calibri"/>
          <w:color w:val="000000"/>
          <w:lang w:eastAsia="tr-TR"/>
        </w:rPr>
        <w:t>lt</w:t>
      </w:r>
      <w:proofErr w:type="spellEnd"/>
      <w:r w:rsidRPr="00D97C80">
        <w:rPr>
          <w:rFonts w:ascii="Calibri" w:eastAsia="Times New Roman" w:hAnsi="Calibri" w:cs="Calibri"/>
          <w:color w:val="000000"/>
          <w:lang w:eastAsia="tr-TR"/>
        </w:rPr>
        <w:t xml:space="preserve"> olması kaydı ile Bakanlık tarafından daha yüksek bir değer kabul edilebilir.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240" w:lineRule="auto"/>
        <w:rPr>
          <w:rFonts w:ascii="Times New Roman" w:eastAsia="Times New Roman" w:hAnsi="Times New Roman" w:cs="Times New Roman"/>
          <w:sz w:val="24"/>
          <w:szCs w:val="24"/>
          <w:lang w:eastAsia="tr-TR"/>
        </w:rPr>
      </w:pPr>
      <w:r w:rsidRPr="00D97C80">
        <w:rPr>
          <w:rFonts w:ascii="Calibri" w:eastAsia="Times New Roman" w:hAnsi="Calibri" w:cs="Calibri"/>
          <w:color w:val="000000"/>
          <w:lang w:eastAsia="tr-TR"/>
        </w:rPr>
        <w:br w:type="textWrapping" w:clear="all"/>
      </w:r>
    </w:p>
    <w:p w:rsidR="00D97C80" w:rsidRPr="00D97C80" w:rsidRDefault="00D97C80" w:rsidP="00D97C80">
      <w:pPr>
        <w:spacing w:after="0" w:line="305" w:lineRule="atLeast"/>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Ek-3</w:t>
      </w:r>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Düzenli Depolama Tesislerinde Kullanılan Sızdırmaz Malzemeler İle İlgili Standartlar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tbl>
      <w:tblPr>
        <w:tblW w:w="9990" w:type="dxa"/>
        <w:jc w:val="center"/>
        <w:tblCellMar>
          <w:left w:w="0" w:type="dxa"/>
          <w:right w:w="0" w:type="dxa"/>
        </w:tblCellMar>
        <w:tblLook w:val="04A0" w:firstRow="1" w:lastRow="0" w:firstColumn="1" w:lastColumn="0" w:noHBand="0" w:noVBand="1"/>
      </w:tblPr>
      <w:tblGrid>
        <w:gridCol w:w="3417"/>
        <w:gridCol w:w="6573"/>
      </w:tblGrid>
      <w:tr w:rsidR="00D97C80" w:rsidRPr="00D97C80" w:rsidTr="00D97C80">
        <w:trPr>
          <w:jc w:val="center"/>
        </w:trPr>
        <w:tc>
          <w:tcPr>
            <w:tcW w:w="3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 xml:space="preserve">Standard </w:t>
            </w:r>
            <w:proofErr w:type="spellStart"/>
            <w:r w:rsidRPr="00D97C80">
              <w:rPr>
                <w:rFonts w:ascii="Calibri" w:eastAsia="Times New Roman" w:hAnsi="Calibri" w:cs="Calibri"/>
                <w:b/>
                <w:bCs/>
                <w:lang w:eastAsia="tr-TR"/>
              </w:rPr>
              <w:t>no</w:t>
            </w:r>
            <w:proofErr w:type="spellEnd"/>
          </w:p>
        </w:tc>
        <w:tc>
          <w:tcPr>
            <w:tcW w:w="65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Standardın adı</w:t>
            </w:r>
          </w:p>
        </w:tc>
      </w:tr>
      <w:tr w:rsidR="00D97C80" w:rsidRPr="00D97C80" w:rsidTr="00D97C80">
        <w:trPr>
          <w:jc w:val="center"/>
        </w:trPr>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21" w:history="1">
              <w:r w:rsidRPr="00D97C80">
                <w:rPr>
                  <w:rFonts w:ascii="Calibri" w:eastAsia="Times New Roman" w:hAnsi="Calibri" w:cs="Calibri"/>
                  <w:u w:val="single"/>
                  <w:lang w:eastAsia="tr-TR"/>
                </w:rPr>
                <w:t>TS EN 13257</w:t>
              </w:r>
            </w:hyperlink>
          </w:p>
        </w:tc>
        <w:tc>
          <w:tcPr>
            <w:tcW w:w="6573"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Jeotekstiller</w:t>
            </w:r>
            <w:proofErr w:type="spellEnd"/>
            <w:r w:rsidRPr="00D97C80">
              <w:rPr>
                <w:rFonts w:ascii="Calibri" w:eastAsia="Times New Roman" w:hAnsi="Calibri" w:cs="Calibri"/>
                <w:lang w:eastAsia="tr-TR"/>
              </w:rPr>
              <w:t xml:space="preserve"> ve </w:t>
            </w:r>
            <w:proofErr w:type="spellStart"/>
            <w:r w:rsidRPr="00D97C80">
              <w:rPr>
                <w:rFonts w:ascii="Calibri" w:eastAsia="Times New Roman" w:hAnsi="Calibri" w:cs="Calibri"/>
                <w:lang w:eastAsia="tr-TR"/>
              </w:rPr>
              <w:t>Jeotekstille</w:t>
            </w:r>
            <w:proofErr w:type="spellEnd"/>
            <w:r w:rsidRPr="00D97C80">
              <w:rPr>
                <w:rFonts w:ascii="Calibri" w:eastAsia="Times New Roman" w:hAnsi="Calibri" w:cs="Calibri"/>
                <w:lang w:eastAsia="tr-TR"/>
              </w:rPr>
              <w:t xml:space="preserve"> İlgili Mamuller-Katı Atık Depolama Alanlarında Kullanım İçin Gerekli Özellikler</w:t>
            </w:r>
          </w:p>
        </w:tc>
      </w:tr>
      <w:tr w:rsidR="00D97C80" w:rsidRPr="00D97C80" w:rsidTr="00D97C80">
        <w:trPr>
          <w:jc w:val="center"/>
        </w:trPr>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TS EN 13257/AC</w:t>
            </w:r>
          </w:p>
        </w:tc>
        <w:tc>
          <w:tcPr>
            <w:tcW w:w="6573"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Jeotekstiller</w:t>
            </w:r>
            <w:proofErr w:type="spellEnd"/>
            <w:r w:rsidRPr="00D97C80">
              <w:rPr>
                <w:rFonts w:ascii="Calibri" w:eastAsia="Times New Roman" w:hAnsi="Calibri" w:cs="Calibri"/>
                <w:lang w:eastAsia="tr-TR"/>
              </w:rPr>
              <w:t xml:space="preserve"> ve </w:t>
            </w:r>
            <w:proofErr w:type="spellStart"/>
            <w:r w:rsidRPr="00D97C80">
              <w:rPr>
                <w:rFonts w:ascii="Calibri" w:eastAsia="Times New Roman" w:hAnsi="Calibri" w:cs="Calibri"/>
                <w:lang w:eastAsia="tr-TR"/>
              </w:rPr>
              <w:t>Jeotekstille</w:t>
            </w:r>
            <w:proofErr w:type="spellEnd"/>
            <w:r w:rsidRPr="00D97C80">
              <w:rPr>
                <w:rFonts w:ascii="Calibri" w:eastAsia="Times New Roman" w:hAnsi="Calibri" w:cs="Calibri"/>
                <w:lang w:eastAsia="tr-TR"/>
              </w:rPr>
              <w:t xml:space="preserve"> İlgili Mamuller - Katı Atık Depolama Alanlarında Kullanım İçin Gerekli Özellikler</w:t>
            </w:r>
          </w:p>
        </w:tc>
      </w:tr>
      <w:tr w:rsidR="00D97C80" w:rsidRPr="00D97C80" w:rsidTr="00D97C80">
        <w:trPr>
          <w:jc w:val="center"/>
        </w:trPr>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TS EN 13257/ A1</w:t>
            </w:r>
          </w:p>
        </w:tc>
        <w:tc>
          <w:tcPr>
            <w:tcW w:w="6573"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Jeotekstiller</w:t>
            </w:r>
            <w:proofErr w:type="spellEnd"/>
            <w:r w:rsidRPr="00D97C80">
              <w:rPr>
                <w:rFonts w:ascii="Calibri" w:eastAsia="Times New Roman" w:hAnsi="Calibri" w:cs="Calibri"/>
                <w:lang w:eastAsia="tr-TR"/>
              </w:rPr>
              <w:t xml:space="preserve"> ve </w:t>
            </w:r>
            <w:proofErr w:type="spellStart"/>
            <w:r w:rsidRPr="00D97C80">
              <w:rPr>
                <w:rFonts w:ascii="Calibri" w:eastAsia="Times New Roman" w:hAnsi="Calibri" w:cs="Calibri"/>
                <w:lang w:eastAsia="tr-TR"/>
              </w:rPr>
              <w:t>Jeotekstille</w:t>
            </w:r>
            <w:proofErr w:type="spellEnd"/>
            <w:r w:rsidRPr="00D97C80">
              <w:rPr>
                <w:rFonts w:ascii="Calibri" w:eastAsia="Times New Roman" w:hAnsi="Calibri" w:cs="Calibri"/>
                <w:lang w:eastAsia="tr-TR"/>
              </w:rPr>
              <w:t xml:space="preserve"> İlgili Mamuller - Katı Atık Depolama Alanlarında Kullanım İçin Gerekli Özellikler</w:t>
            </w:r>
          </w:p>
        </w:tc>
      </w:tr>
      <w:tr w:rsidR="00D97C80" w:rsidRPr="00D97C80" w:rsidTr="00D97C80">
        <w:trPr>
          <w:jc w:val="center"/>
        </w:trPr>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hyperlink r:id="rId22" w:history="1">
              <w:r w:rsidRPr="00D97C80">
                <w:rPr>
                  <w:rFonts w:ascii="Calibri" w:eastAsia="Times New Roman" w:hAnsi="Calibri" w:cs="Calibri"/>
                  <w:u w:val="single"/>
                  <w:lang w:eastAsia="tr-TR"/>
                </w:rPr>
                <w:t>TS EN 13493</w:t>
              </w:r>
            </w:hyperlink>
          </w:p>
        </w:tc>
        <w:tc>
          <w:tcPr>
            <w:tcW w:w="6573" w:type="dxa"/>
            <w:tcBorders>
              <w:top w:val="nil"/>
              <w:left w:val="nil"/>
              <w:bottom w:val="single" w:sz="8" w:space="0" w:color="000000"/>
              <w:right w:val="single" w:sz="8" w:space="0" w:color="000000"/>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proofErr w:type="spellStart"/>
            <w:r w:rsidRPr="00D97C80">
              <w:rPr>
                <w:rFonts w:ascii="Calibri" w:eastAsia="Times New Roman" w:hAnsi="Calibri" w:cs="Calibri"/>
                <w:lang w:eastAsia="tr-TR"/>
              </w:rPr>
              <w:t>Geosentetik</w:t>
            </w:r>
            <w:proofErr w:type="spellEnd"/>
            <w:r w:rsidRPr="00D97C80">
              <w:rPr>
                <w:rFonts w:ascii="Calibri" w:eastAsia="Times New Roman" w:hAnsi="Calibri" w:cs="Calibri"/>
                <w:lang w:eastAsia="tr-TR"/>
              </w:rPr>
              <w:t xml:space="preserve"> Bariyerler - Katı Atık Depolama ve Bertaraf Etme Yerlerinde Kullanım İçin Gerekli Özellikler</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240" w:lineRule="auto"/>
        <w:rPr>
          <w:rFonts w:ascii="Times New Roman" w:eastAsia="Times New Roman" w:hAnsi="Times New Roman" w:cs="Times New Roman"/>
          <w:sz w:val="24"/>
          <w:szCs w:val="24"/>
          <w:lang w:eastAsia="tr-TR"/>
        </w:rPr>
      </w:pPr>
      <w:r w:rsidRPr="00D97C80">
        <w:rPr>
          <w:rFonts w:ascii="Calibri" w:eastAsia="Times New Roman" w:hAnsi="Calibri" w:cs="Calibri"/>
          <w:color w:val="000000"/>
          <w:lang w:eastAsia="tr-TR"/>
        </w:rPr>
        <w:br w:type="textWrapping" w:clear="all"/>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Ek-4</w:t>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Meteorolojik Veriler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tbl>
      <w:tblPr>
        <w:tblW w:w="19073" w:type="dxa"/>
        <w:jc w:val="center"/>
        <w:tblCellMar>
          <w:left w:w="0" w:type="dxa"/>
          <w:right w:w="0" w:type="dxa"/>
        </w:tblCellMar>
        <w:tblLook w:val="04A0" w:firstRow="1" w:lastRow="0" w:firstColumn="1" w:lastColumn="0" w:noHBand="0" w:noVBand="1"/>
      </w:tblPr>
      <w:tblGrid>
        <w:gridCol w:w="8480"/>
        <w:gridCol w:w="4718"/>
        <w:gridCol w:w="5875"/>
      </w:tblGrid>
      <w:tr w:rsidR="00D97C80" w:rsidRPr="00D97C80" w:rsidTr="00D97C8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Parametre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İşletme Aşaması İzleme Sıklığı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Kapatma Sonrası Aşama İzleme Sıklığı</w:t>
            </w:r>
          </w:p>
        </w:tc>
      </w:tr>
      <w:tr w:rsidR="00D97C80" w:rsidRPr="00D97C80" w:rsidTr="00D97C8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Yağış hacmi (mm/gün, mm/ay)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Günlük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Aylık ortalama</w:t>
            </w:r>
          </w:p>
        </w:tc>
      </w:tr>
      <w:tr w:rsidR="00D97C80" w:rsidRPr="00D97C80" w:rsidTr="00D97C8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xml:space="preserve">Sıcaklık, en düşük, en yüksek ve yerel saatle </w:t>
            </w:r>
            <w:proofErr w:type="gramStart"/>
            <w:r w:rsidRPr="00D97C80">
              <w:rPr>
                <w:rFonts w:ascii="Calibri" w:eastAsia="Times New Roman" w:hAnsi="Calibri" w:cs="Calibri"/>
                <w:lang w:eastAsia="tr-TR"/>
              </w:rPr>
              <w:t>14:00’te</w:t>
            </w:r>
            <w:proofErr w:type="gramEnd"/>
            <w:r w:rsidRPr="00D97C80">
              <w:rPr>
                <w:rFonts w:ascii="Calibri" w:eastAsia="Times New Roman" w:hAnsi="Calibri" w:cs="Calibri"/>
                <w:lang w:eastAsia="tr-TR"/>
              </w:rPr>
              <w:t xml:space="preserve"> (°C)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Günlük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Aylık ortalama</w:t>
            </w:r>
          </w:p>
        </w:tc>
      </w:tr>
      <w:tr w:rsidR="00D97C80" w:rsidRPr="00D97C80" w:rsidTr="00D97C8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Rüzgârın yönü ve hızı (m/s)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Günlük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w:t>
            </w:r>
          </w:p>
        </w:tc>
      </w:tr>
      <w:tr w:rsidR="00D97C80" w:rsidRPr="00D97C80" w:rsidTr="00D97C8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Buharlaşma  (mm/gün, mm/ay)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Günlük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Aylık ortalama</w:t>
            </w:r>
          </w:p>
        </w:tc>
      </w:tr>
      <w:tr w:rsidR="00D97C80" w:rsidRPr="00D97C80" w:rsidTr="00D97C8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Bağıl nem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Günlük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240" w:lineRule="auto"/>
        <w:rPr>
          <w:rFonts w:ascii="Times New Roman" w:eastAsia="Times New Roman" w:hAnsi="Times New Roman" w:cs="Times New Roman"/>
          <w:sz w:val="24"/>
          <w:szCs w:val="24"/>
          <w:lang w:eastAsia="tr-TR"/>
        </w:rPr>
      </w:pPr>
      <w:r w:rsidRPr="00D97C80">
        <w:rPr>
          <w:rFonts w:ascii="Calibri" w:eastAsia="Times New Roman" w:hAnsi="Calibri" w:cs="Calibri"/>
          <w:b/>
          <w:bCs/>
          <w:color w:val="000000"/>
          <w:lang w:eastAsia="tr-TR"/>
        </w:rPr>
        <w:br w:type="textWrapping" w:clear="all"/>
      </w:r>
    </w:p>
    <w:p w:rsidR="00D97C80" w:rsidRPr="00D97C80" w:rsidRDefault="00D97C80" w:rsidP="00D97C80">
      <w:pPr>
        <w:spacing w:after="0" w:line="305" w:lineRule="atLeast"/>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Ek-5</w:t>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Depo Gazı ve Sızıntı Suyunun Kontrolü ve İzlenmesi</w:t>
      </w:r>
    </w:p>
    <w:p w:rsidR="00D97C80" w:rsidRPr="00D97C80" w:rsidRDefault="00D97C80" w:rsidP="00D97C80">
      <w:pPr>
        <w:spacing w:after="0" w:line="305" w:lineRule="atLeast"/>
        <w:ind w:firstLine="567"/>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Analiz sıklığı ve bakılacak parametreler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w:t>
      </w:r>
    </w:p>
    <w:tbl>
      <w:tblPr>
        <w:tblW w:w="19073" w:type="dxa"/>
        <w:jc w:val="center"/>
        <w:tblCellMar>
          <w:left w:w="0" w:type="dxa"/>
          <w:right w:w="0" w:type="dxa"/>
        </w:tblCellMar>
        <w:tblLook w:val="04A0" w:firstRow="1" w:lastRow="0" w:firstColumn="1" w:lastColumn="0" w:noHBand="0" w:noVBand="1"/>
      </w:tblPr>
      <w:tblGrid>
        <w:gridCol w:w="7582"/>
        <w:gridCol w:w="4084"/>
        <w:gridCol w:w="7407"/>
      </w:tblGrid>
      <w:tr w:rsidR="00D97C80" w:rsidRPr="00D97C80" w:rsidTr="00D97C8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Parametre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İşletme Aşaması</w:t>
            </w:r>
            <w:r w:rsidRPr="00D97C80">
              <w:rPr>
                <w:rFonts w:ascii="Calibri" w:eastAsia="Times New Roman" w:hAnsi="Calibri" w:cs="Calibri"/>
                <w:b/>
                <w:bCs/>
                <w:vertAlign w:val="superscript"/>
                <w:lang w:eastAsia="tr-TR"/>
              </w:rPr>
              <w: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b/>
                <w:bCs/>
                <w:lang w:eastAsia="tr-TR"/>
              </w:rPr>
              <w:t>Kapatma sonrası Bakım Aşaması </w:t>
            </w:r>
            <w:r w:rsidRPr="00D97C80">
              <w:rPr>
                <w:rFonts w:ascii="Calibri" w:eastAsia="Times New Roman" w:hAnsi="Calibri" w:cs="Calibri"/>
                <w:b/>
                <w:bCs/>
                <w:vertAlign w:val="superscript"/>
                <w:lang w:eastAsia="tr-TR"/>
              </w:rPr>
              <w:t>(2)</w:t>
            </w:r>
          </w:p>
        </w:tc>
      </w:tr>
      <w:tr w:rsidR="00D97C80" w:rsidRPr="00D97C80" w:rsidTr="00D97C8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Sızıntı suyu hacmi </w:t>
            </w:r>
            <w:r w:rsidRPr="00D97C80">
              <w:rPr>
                <w:rFonts w:ascii="Calibri" w:eastAsia="Times New Roman" w:hAnsi="Calibri" w:cs="Calibri"/>
                <w:vertAlign w:val="superscript"/>
                <w:lang w:eastAsia="tr-T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Aylık</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Her altı ayda bir</w:t>
            </w:r>
          </w:p>
          <w:p w:rsidR="00D97C80" w:rsidRPr="00D97C80" w:rsidRDefault="00D97C80" w:rsidP="00D97C80">
            <w:pPr>
              <w:spacing w:after="0" w:line="305" w:lineRule="atLeast"/>
              <w:ind w:firstLine="567"/>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 </w:t>
            </w:r>
          </w:p>
        </w:tc>
      </w:tr>
      <w:tr w:rsidR="00D97C80" w:rsidRPr="00D97C80" w:rsidTr="00D97C8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Sızıntı suyunun kompozisyonu </w:t>
            </w:r>
            <w:r w:rsidRPr="00D97C80">
              <w:rPr>
                <w:rFonts w:ascii="Calibri" w:eastAsia="Times New Roman" w:hAnsi="Calibri" w:cs="Calibri"/>
                <w:vertAlign w:val="superscript"/>
                <w:lang w:eastAsia="tr-TR"/>
              </w:rPr>
              <w:t>(1) (6)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Üç ayda bir</w:t>
            </w:r>
          </w:p>
        </w:tc>
        <w:tc>
          <w:tcPr>
            <w:tcW w:w="0" w:type="auto"/>
            <w:vMerge/>
            <w:tcBorders>
              <w:top w:val="nil"/>
              <w:left w:val="nil"/>
              <w:bottom w:val="single" w:sz="8" w:space="0" w:color="auto"/>
              <w:right w:val="single" w:sz="8" w:space="0" w:color="auto"/>
            </w:tcBorders>
            <w:vAlign w:val="center"/>
            <w:hideMark/>
          </w:tcPr>
          <w:p w:rsidR="00D97C80" w:rsidRPr="00D97C80" w:rsidRDefault="00D97C80" w:rsidP="00D97C80">
            <w:pPr>
              <w:spacing w:after="0" w:line="305" w:lineRule="atLeast"/>
              <w:rPr>
                <w:rFonts w:ascii="Times New Roman" w:eastAsia="Times New Roman" w:hAnsi="Times New Roman" w:cs="Times New Roman"/>
                <w:sz w:val="24"/>
                <w:szCs w:val="24"/>
                <w:lang w:eastAsia="tr-TR"/>
              </w:rPr>
            </w:pPr>
          </w:p>
        </w:tc>
      </w:tr>
      <w:tr w:rsidR="00D97C80" w:rsidRPr="00D97C80" w:rsidTr="00D97C8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CH</w:t>
            </w:r>
            <w:r w:rsidRPr="00D97C80">
              <w:rPr>
                <w:rFonts w:ascii="Calibri" w:eastAsia="Times New Roman" w:hAnsi="Calibri" w:cs="Calibri"/>
                <w:vertAlign w:val="subscript"/>
                <w:lang w:eastAsia="tr-TR"/>
              </w:rPr>
              <w:t>4</w:t>
            </w:r>
            <w:r w:rsidRPr="00D97C80">
              <w:rPr>
                <w:rFonts w:ascii="Calibri" w:eastAsia="Times New Roman" w:hAnsi="Calibri" w:cs="Calibri"/>
                <w:lang w:eastAsia="tr-TR"/>
              </w:rPr>
              <w:t>, CO</w:t>
            </w:r>
            <w:r w:rsidRPr="00D97C80">
              <w:rPr>
                <w:rFonts w:ascii="Calibri" w:eastAsia="Times New Roman" w:hAnsi="Calibri" w:cs="Calibri"/>
                <w:vertAlign w:val="subscript"/>
                <w:lang w:eastAsia="tr-TR"/>
              </w:rPr>
              <w:t>2</w:t>
            </w:r>
            <w:r w:rsidRPr="00D97C80">
              <w:rPr>
                <w:rFonts w:ascii="Calibri" w:eastAsia="Times New Roman" w:hAnsi="Calibri" w:cs="Calibri"/>
                <w:lang w:eastAsia="tr-TR"/>
              </w:rPr>
              <w:t>, H</w:t>
            </w:r>
            <w:r w:rsidRPr="00D97C80">
              <w:rPr>
                <w:rFonts w:ascii="Calibri" w:eastAsia="Times New Roman" w:hAnsi="Calibri" w:cs="Calibri"/>
                <w:vertAlign w:val="subscript"/>
                <w:lang w:eastAsia="tr-TR"/>
              </w:rPr>
              <w:t>2</w:t>
            </w:r>
            <w:r w:rsidRPr="00D97C80">
              <w:rPr>
                <w:rFonts w:ascii="Calibri" w:eastAsia="Times New Roman" w:hAnsi="Calibri" w:cs="Calibri"/>
                <w:lang w:eastAsia="tr-TR"/>
              </w:rPr>
              <w:t>S, O</w:t>
            </w:r>
            <w:r w:rsidRPr="00D97C80">
              <w:rPr>
                <w:rFonts w:ascii="Calibri" w:eastAsia="Times New Roman" w:hAnsi="Calibri" w:cs="Calibri"/>
                <w:vertAlign w:val="subscript"/>
                <w:lang w:eastAsia="tr-TR"/>
              </w:rPr>
              <w:t>2</w:t>
            </w:r>
            <w:r w:rsidRPr="00D97C80">
              <w:rPr>
                <w:rFonts w:ascii="Calibri" w:eastAsia="Times New Roman" w:hAnsi="Calibri" w:cs="Calibri"/>
                <w:lang w:eastAsia="tr-TR"/>
              </w:rPr>
              <w:t> ve H</w:t>
            </w:r>
            <w:r w:rsidRPr="00D97C80">
              <w:rPr>
                <w:rFonts w:ascii="Calibri" w:eastAsia="Times New Roman" w:hAnsi="Calibri" w:cs="Calibri"/>
                <w:vertAlign w:val="subscript"/>
                <w:lang w:eastAsia="tr-TR"/>
              </w:rPr>
              <w:t>2 </w:t>
            </w:r>
            <w:proofErr w:type="gramStart"/>
            <w:r w:rsidRPr="00D97C80">
              <w:rPr>
                <w:rFonts w:ascii="Calibri" w:eastAsia="Times New Roman" w:hAnsi="Calibri" w:cs="Calibri"/>
                <w:lang w:eastAsia="tr-TR"/>
              </w:rPr>
              <w:t>emisyonları</w:t>
            </w:r>
            <w:proofErr w:type="gramEnd"/>
            <w:r w:rsidRPr="00D97C80">
              <w:rPr>
                <w:rFonts w:ascii="Calibri" w:eastAsia="Times New Roman" w:hAnsi="Calibri" w:cs="Calibri"/>
                <w:vertAlign w:val="superscript"/>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Aylık  </w:t>
            </w:r>
            <w:r w:rsidRPr="00D97C80">
              <w:rPr>
                <w:rFonts w:ascii="Calibri" w:eastAsia="Times New Roman" w:hAnsi="Calibri" w:cs="Calibri"/>
                <w:vertAlign w:val="superscript"/>
                <w:lang w:eastAsia="tr-T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97C80" w:rsidRPr="00D97C80" w:rsidRDefault="00D97C80" w:rsidP="00D97C80">
            <w:pPr>
              <w:spacing w:after="0" w:line="305" w:lineRule="atLeast"/>
              <w:jc w:val="both"/>
              <w:rPr>
                <w:rFonts w:ascii="Times New Roman" w:eastAsia="Times New Roman" w:hAnsi="Times New Roman" w:cs="Times New Roman"/>
                <w:sz w:val="24"/>
                <w:szCs w:val="24"/>
                <w:lang w:eastAsia="tr-TR"/>
              </w:rPr>
            </w:pPr>
            <w:r w:rsidRPr="00D97C80">
              <w:rPr>
                <w:rFonts w:ascii="Calibri" w:eastAsia="Times New Roman" w:hAnsi="Calibri" w:cs="Calibri"/>
                <w:lang w:eastAsia="tr-TR"/>
              </w:rPr>
              <w:t>Her altı ayda bir</w:t>
            </w:r>
            <w:r w:rsidRPr="00D97C80">
              <w:rPr>
                <w:rFonts w:ascii="Calibri" w:eastAsia="Times New Roman" w:hAnsi="Calibri" w:cs="Calibri"/>
                <w:vertAlign w:val="superscript"/>
                <w:lang w:eastAsia="tr-TR"/>
              </w:rPr>
              <w:t>(5)</w:t>
            </w:r>
          </w:p>
        </w:tc>
      </w:tr>
    </w:tbl>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(1) Ölçülmesi gereken parametreler depolanmış atığın kompozisyonuna bağlı olarak değişiklik gösterir.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(2) Bakanlığın uygun görmesi halinde analiz sıklığı, tesis bazında azaltılabilir. Ancak sızıntı sularında iletkenlik yılda en az bir kez ölçülür.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(3) Gaz ölçümleri depolanan atığın organik madde içeriğine bağlıdır.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(4) CH</w:t>
      </w:r>
      <w:r w:rsidRPr="00D97C80">
        <w:rPr>
          <w:rFonts w:ascii="Calibri" w:eastAsia="Times New Roman" w:hAnsi="Calibri" w:cs="Calibri"/>
          <w:color w:val="000000"/>
          <w:vertAlign w:val="subscript"/>
          <w:lang w:eastAsia="tr-TR"/>
        </w:rPr>
        <w:t>4</w:t>
      </w:r>
      <w:r w:rsidRPr="00D97C80">
        <w:rPr>
          <w:rFonts w:ascii="Calibri" w:eastAsia="Times New Roman" w:hAnsi="Calibri" w:cs="Calibri"/>
          <w:color w:val="000000"/>
          <w:lang w:eastAsia="tr-TR"/>
        </w:rPr>
        <w:t>, CO</w:t>
      </w:r>
      <w:r w:rsidRPr="00D97C80">
        <w:rPr>
          <w:rFonts w:ascii="Calibri" w:eastAsia="Times New Roman" w:hAnsi="Calibri" w:cs="Calibri"/>
          <w:color w:val="000000"/>
          <w:vertAlign w:val="subscript"/>
          <w:lang w:eastAsia="tr-TR"/>
        </w:rPr>
        <w:t>2</w:t>
      </w:r>
      <w:r w:rsidRPr="00D97C80">
        <w:rPr>
          <w:rFonts w:ascii="Calibri" w:eastAsia="Times New Roman" w:hAnsi="Calibri" w:cs="Calibri"/>
          <w:color w:val="000000"/>
          <w:lang w:eastAsia="tr-TR"/>
        </w:rPr>
        <w:t>, O</w:t>
      </w:r>
      <w:r w:rsidRPr="00D97C80">
        <w:rPr>
          <w:rFonts w:ascii="Calibri" w:eastAsia="Times New Roman" w:hAnsi="Calibri" w:cs="Calibri"/>
          <w:color w:val="000000"/>
          <w:vertAlign w:val="subscript"/>
          <w:lang w:eastAsia="tr-TR"/>
        </w:rPr>
        <w:t>2</w:t>
      </w:r>
      <w:r w:rsidRPr="00D97C80">
        <w:rPr>
          <w:rFonts w:ascii="Calibri" w:eastAsia="Times New Roman" w:hAnsi="Calibri" w:cs="Calibri"/>
          <w:color w:val="000000"/>
          <w:lang w:eastAsia="tr-TR"/>
        </w:rPr>
        <w:t> gazları tabloda verilen sıklıkta, diğer gazlar depolanan atığın kompozisyonuna bağlı olarak Bakanlıkça uygun görülen sıklıkta ölçülür.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(5) Gaz toplama sisteminin kapatma sonrası aşamasındaki verimliliği düzenli olarak kontrol edilir.</w:t>
      </w:r>
    </w:p>
    <w:p w:rsidR="00D97C80" w:rsidRPr="00D97C80" w:rsidRDefault="00D97C80" w:rsidP="00D97C80">
      <w:pPr>
        <w:spacing w:after="0" w:line="305" w:lineRule="atLeast"/>
        <w:ind w:firstLine="567"/>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(6) Sızıntı suyu hacmi ve kompozisyonu sadece sızıntı suyu toplama sistemi bulunan tesislerde tespit edilir.</w:t>
      </w:r>
    </w:p>
    <w:p w:rsidR="00D97C80" w:rsidRPr="00D97C80" w:rsidRDefault="00D97C80" w:rsidP="00D97C80">
      <w:pPr>
        <w:spacing w:after="0" w:line="240" w:lineRule="auto"/>
        <w:rPr>
          <w:rFonts w:ascii="Times New Roman" w:eastAsia="Times New Roman" w:hAnsi="Times New Roman" w:cs="Times New Roman"/>
          <w:sz w:val="24"/>
          <w:szCs w:val="24"/>
          <w:lang w:eastAsia="tr-TR"/>
        </w:rPr>
      </w:pPr>
      <w:r w:rsidRPr="00D97C80">
        <w:rPr>
          <w:rFonts w:ascii="Calibri" w:eastAsia="Times New Roman" w:hAnsi="Calibri" w:cs="Calibri"/>
          <w:b/>
          <w:bCs/>
          <w:color w:val="000000"/>
          <w:lang w:eastAsia="tr-TR"/>
        </w:rPr>
        <w:br w:type="textWrapping" w:clear="all"/>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w:t>
      </w:r>
      <w:proofErr w:type="gramStart"/>
      <w:r w:rsidRPr="00D97C80">
        <w:rPr>
          <w:rFonts w:ascii="Calibri" w:eastAsia="Times New Roman" w:hAnsi="Calibri" w:cs="Calibri"/>
          <w:b/>
          <w:bCs/>
          <w:color w:val="000000"/>
          <w:lang w:eastAsia="tr-TR"/>
        </w:rPr>
        <w:t>Ek:RG</w:t>
      </w:r>
      <w:proofErr w:type="gramEnd"/>
      <w:r w:rsidRPr="00D97C80">
        <w:rPr>
          <w:rFonts w:ascii="Calibri" w:eastAsia="Times New Roman" w:hAnsi="Calibri" w:cs="Calibri"/>
          <w:b/>
          <w:bCs/>
          <w:color w:val="000000"/>
          <w:lang w:eastAsia="tr-TR"/>
        </w:rPr>
        <w:t>-26/12/2019-30990)</w:t>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 Ek-6</w:t>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Sulu Depolama Tesisleri İçin İlave Tedbirler</w:t>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val="en-US" w:eastAsia="tr-TR"/>
        </w:rPr>
        <w:t> </w:t>
      </w:r>
    </w:p>
    <w:p w:rsidR="00D97C80" w:rsidRPr="00D97C80" w:rsidRDefault="00D97C80" w:rsidP="00D97C80">
      <w:pPr>
        <w:spacing w:line="305" w:lineRule="atLeast"/>
        <w:ind w:left="709"/>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1. Sıvı atıklar hariç olmak üzere; dışarıdan atık almamak kaydıyla sadece kendi tesisinde</w:t>
      </w:r>
      <w:r w:rsidRPr="00D97C80">
        <w:rPr>
          <w:rFonts w:ascii="Calibri" w:eastAsia="Times New Roman" w:hAnsi="Calibri" w:cs="Calibri"/>
          <w:color w:val="000000"/>
          <w:lang w:val="en-US" w:eastAsia="tr-TR"/>
        </w:rPr>
        <w:t> </w:t>
      </w:r>
      <w:proofErr w:type="spellStart"/>
      <w:r w:rsidRPr="00D97C80">
        <w:rPr>
          <w:rFonts w:ascii="Calibri" w:eastAsia="Times New Roman" w:hAnsi="Calibri" w:cs="Calibri"/>
          <w:color w:val="000000"/>
          <w:lang w:val="en-US" w:eastAsia="tr-TR"/>
        </w:rPr>
        <w:t>oluşan</w:t>
      </w:r>
      <w:proofErr w:type="spellEnd"/>
      <w:r w:rsidRPr="00D97C80">
        <w:rPr>
          <w:rFonts w:ascii="Calibri" w:eastAsia="Times New Roman" w:hAnsi="Calibri" w:cs="Calibri"/>
          <w:color w:val="000000"/>
          <w:lang w:val="en-US" w:eastAsia="tr-TR"/>
        </w:rPr>
        <w:t> </w:t>
      </w:r>
      <w:r w:rsidRPr="00D97C80">
        <w:rPr>
          <w:rFonts w:ascii="Calibri" w:eastAsia="Times New Roman" w:hAnsi="Calibri" w:cs="Calibri"/>
          <w:color w:val="000000"/>
          <w:lang w:eastAsia="tr-TR"/>
        </w:rPr>
        <w:t xml:space="preserve">termik santral külleri, </w:t>
      </w:r>
      <w:proofErr w:type="gramStart"/>
      <w:r w:rsidRPr="00D97C80">
        <w:rPr>
          <w:rFonts w:ascii="Calibri" w:eastAsia="Times New Roman" w:hAnsi="Calibri" w:cs="Calibri"/>
          <w:color w:val="000000"/>
          <w:lang w:eastAsia="tr-TR"/>
        </w:rPr>
        <w:t>proses</w:t>
      </w:r>
      <w:proofErr w:type="gramEnd"/>
      <w:r w:rsidRPr="00D97C80">
        <w:rPr>
          <w:rFonts w:ascii="Calibri" w:eastAsia="Times New Roman" w:hAnsi="Calibri" w:cs="Calibri"/>
          <w:color w:val="000000"/>
          <w:lang w:eastAsia="tr-TR"/>
        </w:rPr>
        <w:t xml:space="preserve"> atıkları ve benzeri atıkların sulu olarak bertaraf edileceği depolama tesisleri için bu Yönetmelik maddelerine ilave olarak;</w:t>
      </w:r>
    </w:p>
    <w:p w:rsidR="00D97C80" w:rsidRPr="00D97C80" w:rsidRDefault="00D97C80" w:rsidP="00D97C80">
      <w:pPr>
        <w:spacing w:after="200" w:line="305" w:lineRule="atLeast"/>
        <w:ind w:left="928" w:firstLine="65"/>
        <w:jc w:val="both"/>
        <w:rPr>
          <w:rFonts w:ascii="Times New Roman" w:eastAsia="Times New Roman" w:hAnsi="Times New Roman" w:cs="Times New Roman"/>
          <w:color w:val="000000"/>
          <w:sz w:val="24"/>
          <w:szCs w:val="24"/>
          <w:lang w:eastAsia="tr-TR"/>
        </w:rPr>
      </w:pPr>
      <w:proofErr w:type="gramStart"/>
      <w:r w:rsidRPr="00D97C80">
        <w:rPr>
          <w:rFonts w:ascii="Calibri" w:eastAsia="Times New Roman" w:hAnsi="Calibri" w:cs="Calibri"/>
          <w:color w:val="000000"/>
          <w:lang w:eastAsia="tr-TR"/>
        </w:rPr>
        <w:t>a</w:t>
      </w:r>
      <w:proofErr w:type="gramEnd"/>
      <w:r w:rsidRPr="00D97C80">
        <w:rPr>
          <w:rFonts w:ascii="Calibri" w:eastAsia="Times New Roman" w:hAnsi="Calibri" w:cs="Calibri"/>
          <w:color w:val="000000"/>
          <w:lang w:eastAsia="tr-TR"/>
        </w:rPr>
        <w:t>. Tesislerin tabanında yer altı suyu bulunması ya da yer altı suyunun yükselerek tabanda teşkil edilecek geçirimsizlik sistemine zarar verme olasılığı bulunması durumunda, tabanda yer altı suyunu drene edecek bir sistem oluşturulur.</w:t>
      </w:r>
    </w:p>
    <w:p w:rsidR="00D97C80" w:rsidRPr="00D97C80" w:rsidRDefault="00D97C80" w:rsidP="00D97C80">
      <w:pPr>
        <w:spacing w:after="200" w:line="305" w:lineRule="atLeast"/>
        <w:ind w:left="928" w:firstLine="65"/>
        <w:jc w:val="both"/>
        <w:rPr>
          <w:rFonts w:ascii="Times New Roman" w:eastAsia="Times New Roman" w:hAnsi="Times New Roman" w:cs="Times New Roman"/>
          <w:color w:val="000000"/>
          <w:sz w:val="24"/>
          <w:szCs w:val="24"/>
          <w:lang w:eastAsia="tr-TR"/>
        </w:rPr>
      </w:pPr>
      <w:proofErr w:type="gramStart"/>
      <w:r w:rsidRPr="00D97C80">
        <w:rPr>
          <w:rFonts w:ascii="Calibri" w:eastAsia="Times New Roman" w:hAnsi="Calibri" w:cs="Calibri"/>
          <w:color w:val="000000"/>
          <w:lang w:eastAsia="tr-TR"/>
        </w:rPr>
        <w:t>b</w:t>
      </w:r>
      <w:proofErr w:type="gramEnd"/>
      <w:r w:rsidRPr="00D97C80">
        <w:rPr>
          <w:rFonts w:ascii="Calibri" w:eastAsia="Times New Roman" w:hAnsi="Calibri" w:cs="Calibri"/>
          <w:color w:val="000000"/>
          <w:lang w:eastAsia="tr-TR"/>
        </w:rPr>
        <w:t>. Yağmur sularının atıkların depolandığı tesislere girişini ve dolayısıyla oluşturacağı hidrolik yükü önlemek amacıyla gerekli yağış hesabı yapılarak kuşaklama kanalları inşa edilir ve depolama tesisinde gerekli hava payı bırakılır.</w:t>
      </w:r>
    </w:p>
    <w:p w:rsidR="00D97C80" w:rsidRPr="00D97C80" w:rsidRDefault="00D97C80" w:rsidP="00D97C80">
      <w:pPr>
        <w:spacing w:after="200" w:line="305" w:lineRule="atLeast"/>
        <w:ind w:left="928" w:firstLine="65"/>
        <w:jc w:val="both"/>
        <w:rPr>
          <w:rFonts w:ascii="Times New Roman" w:eastAsia="Times New Roman" w:hAnsi="Times New Roman" w:cs="Times New Roman"/>
          <w:color w:val="000000"/>
          <w:sz w:val="24"/>
          <w:szCs w:val="24"/>
          <w:lang w:eastAsia="tr-TR"/>
        </w:rPr>
      </w:pPr>
      <w:proofErr w:type="gramStart"/>
      <w:r w:rsidRPr="00D97C80">
        <w:rPr>
          <w:rFonts w:ascii="Calibri" w:eastAsia="Times New Roman" w:hAnsi="Calibri" w:cs="Calibri"/>
          <w:color w:val="000000"/>
          <w:lang w:eastAsia="tr-TR"/>
        </w:rPr>
        <w:t>c</w:t>
      </w:r>
      <w:proofErr w:type="gramEnd"/>
      <w:r w:rsidRPr="00D97C80">
        <w:rPr>
          <w:rFonts w:ascii="Calibri" w:eastAsia="Times New Roman" w:hAnsi="Calibri" w:cs="Calibri"/>
          <w:color w:val="000000"/>
          <w:lang w:eastAsia="tr-TR"/>
        </w:rPr>
        <w:t xml:space="preserve">. İşletme aşamasında günde en az bir kez, kapatma sonrasında ayda en az bir kez olmak üzere depo gövdesine ve </w:t>
      </w:r>
      <w:proofErr w:type="spellStart"/>
      <w:r w:rsidRPr="00D97C80">
        <w:rPr>
          <w:rFonts w:ascii="Calibri" w:eastAsia="Times New Roman" w:hAnsi="Calibri" w:cs="Calibri"/>
          <w:color w:val="000000"/>
          <w:lang w:eastAsia="tr-TR"/>
        </w:rPr>
        <w:t>seddelerin</w:t>
      </w:r>
      <w:proofErr w:type="spellEnd"/>
      <w:r w:rsidRPr="00D97C80">
        <w:rPr>
          <w:rFonts w:ascii="Calibri" w:eastAsia="Times New Roman" w:hAnsi="Calibri" w:cs="Calibri"/>
          <w:color w:val="000000"/>
          <w:lang w:eastAsia="tr-TR"/>
        </w:rPr>
        <w:t xml:space="preserve"> </w:t>
      </w:r>
      <w:proofErr w:type="spellStart"/>
      <w:r w:rsidRPr="00D97C80">
        <w:rPr>
          <w:rFonts w:ascii="Calibri" w:eastAsia="Times New Roman" w:hAnsi="Calibri" w:cs="Calibri"/>
          <w:color w:val="000000"/>
          <w:lang w:eastAsia="tr-TR"/>
        </w:rPr>
        <w:t>duraylılığına</w:t>
      </w:r>
      <w:proofErr w:type="spellEnd"/>
      <w:r w:rsidRPr="00D97C80">
        <w:rPr>
          <w:rFonts w:ascii="Calibri" w:eastAsia="Times New Roman" w:hAnsi="Calibri" w:cs="Calibri"/>
          <w:color w:val="000000"/>
          <w:lang w:eastAsia="tr-TR"/>
        </w:rPr>
        <w:t xml:space="preserve"> ilişkin ölçümler yapılır. Uygun olmaması durumunda il müdürlüğüne 24 saat içerisinde bilgi verilir.</w:t>
      </w:r>
    </w:p>
    <w:p w:rsidR="00D97C80" w:rsidRPr="00D97C80" w:rsidRDefault="00D97C80" w:rsidP="00D97C80">
      <w:pPr>
        <w:spacing w:after="0" w:line="305" w:lineRule="atLeast"/>
        <w:ind w:left="709"/>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200" w:line="305" w:lineRule="atLeast"/>
        <w:ind w:left="709"/>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2. Sulu depolama tesislerinde depolanan atıklara </w:t>
      </w:r>
      <w:proofErr w:type="spellStart"/>
      <w:r w:rsidRPr="00D97C80">
        <w:rPr>
          <w:rFonts w:ascii="Calibri" w:eastAsia="Times New Roman" w:hAnsi="Calibri" w:cs="Calibri"/>
          <w:color w:val="000000"/>
          <w:lang w:eastAsia="tr-TR"/>
        </w:rPr>
        <w:t>susuzlaştırma</w:t>
      </w:r>
      <w:proofErr w:type="spellEnd"/>
      <w:r w:rsidRPr="00D97C80">
        <w:rPr>
          <w:rFonts w:ascii="Calibri" w:eastAsia="Times New Roman" w:hAnsi="Calibri" w:cs="Calibri"/>
          <w:color w:val="000000"/>
          <w:lang w:eastAsia="tr-TR"/>
        </w:rPr>
        <w:t>/kurutma işlemlerinin uygulanmasına öncelik verilir. Bu Yönetmelik hükümlerine ek olarak bu tesislerde;</w:t>
      </w:r>
    </w:p>
    <w:p w:rsidR="00D97C80" w:rsidRPr="00D97C80" w:rsidRDefault="00D97C80" w:rsidP="00D97C80">
      <w:pPr>
        <w:spacing w:after="200" w:line="305" w:lineRule="atLeast"/>
        <w:ind w:left="993" w:firstLine="141"/>
        <w:jc w:val="both"/>
        <w:rPr>
          <w:rFonts w:ascii="Times New Roman" w:eastAsia="Times New Roman" w:hAnsi="Times New Roman" w:cs="Times New Roman"/>
          <w:color w:val="000000"/>
          <w:sz w:val="24"/>
          <w:szCs w:val="24"/>
          <w:lang w:eastAsia="tr-TR"/>
        </w:rPr>
      </w:pPr>
      <w:proofErr w:type="gramStart"/>
      <w:r w:rsidRPr="00D97C80">
        <w:rPr>
          <w:rFonts w:ascii="Calibri" w:eastAsia="Times New Roman" w:hAnsi="Calibri" w:cs="Calibri"/>
          <w:color w:val="000000"/>
          <w:lang w:eastAsia="tr-TR"/>
        </w:rPr>
        <w:t>a</w:t>
      </w:r>
      <w:proofErr w:type="gramEnd"/>
      <w:r w:rsidRPr="00D97C80">
        <w:rPr>
          <w:rFonts w:ascii="Calibri" w:eastAsia="Times New Roman" w:hAnsi="Calibri" w:cs="Calibri"/>
          <w:color w:val="000000"/>
          <w:lang w:eastAsia="tr-TR"/>
        </w:rPr>
        <w:t>. Atık depolama işlemi tamamen bittikten sonra depolama alanında üst örtü teşkil edilmeden önce, alan kurutularak/</w:t>
      </w:r>
      <w:proofErr w:type="spellStart"/>
      <w:r w:rsidRPr="00D97C80">
        <w:rPr>
          <w:rFonts w:ascii="Calibri" w:eastAsia="Times New Roman" w:hAnsi="Calibri" w:cs="Calibri"/>
          <w:color w:val="000000"/>
          <w:lang w:eastAsia="tr-TR"/>
        </w:rPr>
        <w:t>susuzlaştırıldıktan</w:t>
      </w:r>
      <w:proofErr w:type="spellEnd"/>
      <w:r w:rsidRPr="00D97C80">
        <w:rPr>
          <w:rFonts w:ascii="Calibri" w:eastAsia="Times New Roman" w:hAnsi="Calibri" w:cs="Calibri"/>
          <w:color w:val="000000"/>
          <w:lang w:eastAsia="tr-TR"/>
        </w:rPr>
        <w:t xml:space="preserve"> sonra tampon tabaka olarak kazı toprağı serilerek tesviye edilir. Kapatma işlemine başlamadan önce, atıkların veya yapının kayma ve çökme riskine karşı, depolanan atık kütlesinin yeterince oturduğu tespit edilir.</w:t>
      </w:r>
    </w:p>
    <w:p w:rsidR="00D97C80" w:rsidRPr="00D97C80" w:rsidRDefault="00D97C80" w:rsidP="00D97C80">
      <w:pPr>
        <w:spacing w:after="200" w:line="305" w:lineRule="atLeast"/>
        <w:ind w:left="993" w:firstLine="141"/>
        <w:jc w:val="both"/>
        <w:rPr>
          <w:rFonts w:ascii="Times New Roman" w:eastAsia="Times New Roman" w:hAnsi="Times New Roman" w:cs="Times New Roman"/>
          <w:color w:val="000000"/>
          <w:sz w:val="24"/>
          <w:szCs w:val="24"/>
          <w:lang w:eastAsia="tr-TR"/>
        </w:rPr>
      </w:pPr>
      <w:proofErr w:type="gramStart"/>
      <w:r w:rsidRPr="00D97C80">
        <w:rPr>
          <w:rFonts w:ascii="Calibri" w:eastAsia="Times New Roman" w:hAnsi="Calibri" w:cs="Calibri"/>
          <w:color w:val="000000"/>
          <w:lang w:eastAsia="tr-TR"/>
        </w:rPr>
        <w:t>b</w:t>
      </w:r>
      <w:proofErr w:type="gramEnd"/>
      <w:r w:rsidRPr="00D97C80">
        <w:rPr>
          <w:rFonts w:ascii="Calibri" w:eastAsia="Times New Roman" w:hAnsi="Calibri" w:cs="Calibri"/>
          <w:color w:val="000000"/>
          <w:lang w:eastAsia="tr-TR"/>
        </w:rPr>
        <w:t xml:space="preserve">. Üst örtü sisteminde tampon tabakanın üzerinde geçirimsizliği sağlamak amacıyla kil gurubu mineraller ya da </w:t>
      </w:r>
      <w:proofErr w:type="spellStart"/>
      <w:r w:rsidRPr="00D97C80">
        <w:rPr>
          <w:rFonts w:ascii="Calibri" w:eastAsia="Times New Roman" w:hAnsi="Calibri" w:cs="Calibri"/>
          <w:color w:val="000000"/>
          <w:lang w:eastAsia="tr-TR"/>
        </w:rPr>
        <w:t>jeosentetik</w:t>
      </w:r>
      <w:proofErr w:type="spellEnd"/>
      <w:r w:rsidRPr="00D97C80">
        <w:rPr>
          <w:rFonts w:ascii="Calibri" w:eastAsia="Times New Roman" w:hAnsi="Calibri" w:cs="Calibri"/>
          <w:color w:val="000000"/>
          <w:lang w:eastAsia="tr-TR"/>
        </w:rPr>
        <w:t xml:space="preserve"> kil tabakası kullanılır. Bu durumda, tampon tabaka kalınlığı en az bir metre olmalıdır. Bu tabakaların üzerine yağmur sularını drene edecek uygun kalınlıkta ve özellikte doğal ya da </w:t>
      </w:r>
      <w:proofErr w:type="spellStart"/>
      <w:r w:rsidRPr="00D97C80">
        <w:rPr>
          <w:rFonts w:ascii="Calibri" w:eastAsia="Times New Roman" w:hAnsi="Calibri" w:cs="Calibri"/>
          <w:color w:val="000000"/>
          <w:lang w:eastAsia="tr-TR"/>
        </w:rPr>
        <w:t>jeosentetik</w:t>
      </w:r>
      <w:proofErr w:type="spellEnd"/>
      <w:r w:rsidRPr="00D97C80">
        <w:rPr>
          <w:rFonts w:ascii="Calibri" w:eastAsia="Times New Roman" w:hAnsi="Calibri" w:cs="Calibri"/>
          <w:color w:val="000000"/>
          <w:lang w:eastAsia="tr-TR"/>
        </w:rPr>
        <w:t xml:space="preserve"> drenaj malzemesi uygulanır.</w:t>
      </w:r>
    </w:p>
    <w:p w:rsidR="00D97C80" w:rsidRPr="00D97C80" w:rsidRDefault="00D97C80" w:rsidP="00D97C80">
      <w:pPr>
        <w:spacing w:after="0" w:line="240" w:lineRule="auto"/>
        <w:rPr>
          <w:rFonts w:ascii="Times New Roman" w:eastAsia="Times New Roman" w:hAnsi="Times New Roman" w:cs="Times New Roman"/>
          <w:sz w:val="24"/>
          <w:szCs w:val="24"/>
          <w:lang w:eastAsia="tr-TR"/>
        </w:rPr>
      </w:pPr>
      <w:r w:rsidRPr="00D97C80">
        <w:rPr>
          <w:rFonts w:ascii="Calibri" w:eastAsia="Times New Roman" w:hAnsi="Calibri" w:cs="Calibri"/>
          <w:color w:val="000000"/>
          <w:lang w:eastAsia="tr-TR"/>
        </w:rPr>
        <w:br w:type="textWrapping" w:clear="all"/>
      </w:r>
    </w:p>
    <w:p w:rsidR="00D97C80" w:rsidRPr="00D97C80" w:rsidRDefault="00D97C80" w:rsidP="00D97C80">
      <w:pPr>
        <w:spacing w:after="0" w:line="305" w:lineRule="atLeast"/>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p>
    <w:p w:rsidR="00D97C80" w:rsidRPr="00D97C80" w:rsidRDefault="00D97C80" w:rsidP="00D97C80">
      <w:pPr>
        <w:spacing w:after="200" w:line="305" w:lineRule="atLeast"/>
        <w:ind w:left="993" w:firstLine="141"/>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w:t>
      </w:r>
      <w:proofErr w:type="gramStart"/>
      <w:r w:rsidRPr="00D97C80">
        <w:rPr>
          <w:rFonts w:ascii="Calibri" w:eastAsia="Times New Roman" w:hAnsi="Calibri" w:cs="Calibri"/>
          <w:b/>
          <w:bCs/>
          <w:color w:val="000000"/>
          <w:lang w:eastAsia="tr-TR"/>
        </w:rPr>
        <w:t>Ek:RG</w:t>
      </w:r>
      <w:proofErr w:type="gramEnd"/>
      <w:r w:rsidRPr="00D97C80">
        <w:rPr>
          <w:rFonts w:ascii="Calibri" w:eastAsia="Times New Roman" w:hAnsi="Calibri" w:cs="Calibri"/>
          <w:b/>
          <w:bCs/>
          <w:color w:val="000000"/>
          <w:lang w:eastAsia="tr-TR"/>
        </w:rPr>
        <w:t>-19/3/2021-31428)</w:t>
      </w:r>
    </w:p>
    <w:p w:rsidR="00D97C80" w:rsidRPr="00D97C80" w:rsidRDefault="00D97C80" w:rsidP="00D97C80">
      <w:pPr>
        <w:spacing w:after="200" w:line="305" w:lineRule="atLeast"/>
        <w:ind w:left="993" w:firstLine="141"/>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Ek-7</w:t>
      </w:r>
    </w:p>
    <w:p w:rsidR="00D97C80" w:rsidRPr="00D97C80" w:rsidRDefault="00D97C80" w:rsidP="00D97C80">
      <w:pPr>
        <w:spacing w:after="0" w:line="305" w:lineRule="atLeast"/>
        <w:jc w:val="center"/>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w:t>
      </w:r>
      <w:r w:rsidRPr="00D97C80">
        <w:rPr>
          <w:rFonts w:ascii="Calibri" w:eastAsia="Times New Roman" w:hAnsi="Calibri" w:cs="Calibri"/>
          <w:b/>
          <w:bCs/>
          <w:color w:val="000000"/>
          <w:lang w:eastAsia="tr-TR"/>
        </w:rPr>
        <w:t>KURUMSAL AKADEMİK RAPOR FORMATI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A.</w:t>
      </w:r>
      <w:r w:rsidRPr="00D97C80">
        <w:rPr>
          <w:rFonts w:ascii="Calibri" w:eastAsia="Times New Roman" w:hAnsi="Calibri" w:cs="Calibri"/>
          <w:color w:val="000000"/>
          <w:lang w:eastAsia="tr-TR"/>
        </w:rPr>
        <w:t> </w:t>
      </w:r>
      <w:r w:rsidRPr="00D97C80">
        <w:rPr>
          <w:rFonts w:ascii="Calibri" w:eastAsia="Times New Roman" w:hAnsi="Calibri" w:cs="Calibri"/>
          <w:b/>
          <w:bCs/>
          <w:color w:val="000000"/>
          <w:lang w:eastAsia="tr-TR"/>
        </w:rPr>
        <w:t>Giriş</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B.</w:t>
      </w:r>
      <w:r w:rsidRPr="00D97C80">
        <w:rPr>
          <w:rFonts w:ascii="Calibri" w:eastAsia="Times New Roman" w:hAnsi="Calibri" w:cs="Calibri"/>
          <w:color w:val="000000"/>
          <w:lang w:eastAsia="tr-TR"/>
        </w:rPr>
        <w:t> </w:t>
      </w:r>
      <w:r w:rsidRPr="00D97C80">
        <w:rPr>
          <w:rFonts w:ascii="Calibri" w:eastAsia="Times New Roman" w:hAnsi="Calibri" w:cs="Calibri"/>
          <w:b/>
          <w:bCs/>
          <w:color w:val="000000"/>
          <w:lang w:eastAsia="tr-TR"/>
        </w:rPr>
        <w:t>Tesis Hakkında Genel Bilgiler</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C.</w:t>
      </w:r>
      <w:r w:rsidRPr="00D97C80">
        <w:rPr>
          <w:rFonts w:ascii="Calibri" w:eastAsia="Times New Roman" w:hAnsi="Calibri" w:cs="Calibri"/>
          <w:color w:val="000000"/>
          <w:lang w:eastAsia="tr-TR"/>
        </w:rPr>
        <w:t> </w:t>
      </w:r>
      <w:r w:rsidRPr="00D97C80">
        <w:rPr>
          <w:rFonts w:ascii="Calibri" w:eastAsia="Times New Roman" w:hAnsi="Calibri" w:cs="Calibri"/>
          <w:b/>
          <w:bCs/>
          <w:color w:val="000000"/>
          <w:lang w:eastAsia="tr-TR"/>
        </w:rPr>
        <w:t>Atık Depolama Alanı Mevcut Durumu</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             Atık depolama alanının yer </w:t>
      </w:r>
      <w:proofErr w:type="spellStart"/>
      <w:r w:rsidRPr="00D97C80">
        <w:rPr>
          <w:rFonts w:ascii="Calibri" w:eastAsia="Times New Roman" w:hAnsi="Calibri" w:cs="Calibri"/>
          <w:color w:val="000000"/>
          <w:lang w:eastAsia="tr-TR"/>
        </w:rPr>
        <w:t>bulduru</w:t>
      </w:r>
      <w:proofErr w:type="spellEnd"/>
      <w:r w:rsidRPr="00D97C80">
        <w:rPr>
          <w:rFonts w:ascii="Calibri" w:eastAsia="Times New Roman" w:hAnsi="Calibri" w:cs="Calibri"/>
          <w:color w:val="000000"/>
          <w:lang w:eastAsia="tr-TR"/>
        </w:rPr>
        <w:t xml:space="preserve"> haritası</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Atık depolama alanının 1/25.000 ölçekli haritadaki yeri ve koordinatları</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Atık depolama alanında depolanmış atığın türü, miktarı, atığın kaynağı, atık kodu ve analizi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Atık depolama yöntemi (sulu depolama, kuru depolama ve benzeri)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Atık depolama alanı için yapılmış olan çevresel kirlilik önleme ve izleme çalışmaları (gözlem kuyuları, kuşaklama kanalı gibi)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D.</w:t>
      </w:r>
      <w:r w:rsidRPr="00D97C80">
        <w:rPr>
          <w:rFonts w:ascii="Calibri" w:eastAsia="Times New Roman" w:hAnsi="Calibri" w:cs="Calibri"/>
          <w:color w:val="000000"/>
          <w:lang w:eastAsia="tr-TR"/>
        </w:rPr>
        <w:t> </w:t>
      </w:r>
      <w:r w:rsidRPr="00D97C80">
        <w:rPr>
          <w:rFonts w:ascii="Calibri" w:eastAsia="Times New Roman" w:hAnsi="Calibri" w:cs="Calibri"/>
          <w:b/>
          <w:bCs/>
          <w:color w:val="000000"/>
          <w:lang w:eastAsia="tr-TR"/>
        </w:rPr>
        <w:t>Atık Depolama alanının Jeolojik ve Hidrojeolojik Durumu</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             Atık depolama alanı zemin </w:t>
      </w:r>
      <w:proofErr w:type="spellStart"/>
      <w:r w:rsidRPr="00D97C80">
        <w:rPr>
          <w:rFonts w:ascii="Calibri" w:eastAsia="Times New Roman" w:hAnsi="Calibri" w:cs="Calibri"/>
          <w:color w:val="000000"/>
          <w:lang w:eastAsia="tr-TR"/>
        </w:rPr>
        <w:t>etüd</w:t>
      </w:r>
      <w:proofErr w:type="spellEnd"/>
      <w:r w:rsidRPr="00D97C80">
        <w:rPr>
          <w:rFonts w:ascii="Calibri" w:eastAsia="Times New Roman" w:hAnsi="Calibri" w:cs="Calibri"/>
          <w:color w:val="000000"/>
          <w:lang w:eastAsia="tr-TR"/>
        </w:rPr>
        <w:t xml:space="preserve"> raporu</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Atık depolama alanı depremsellik durumu</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Atık depolama alanı zemin taşıma gücü</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Atık depolama alanının yeraltı suyu akım yönü ve seviyesi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E. Yapılan Çalışmalar</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Atık depolama alanının çevresel etkilerinin değerlendirmesi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xml:space="preserve">•             Atık depolama alanı sedde ve atık </w:t>
      </w:r>
      <w:proofErr w:type="spellStart"/>
      <w:r w:rsidRPr="00D97C80">
        <w:rPr>
          <w:rFonts w:ascii="Calibri" w:eastAsia="Times New Roman" w:hAnsi="Calibri" w:cs="Calibri"/>
          <w:color w:val="000000"/>
          <w:lang w:eastAsia="tr-TR"/>
        </w:rPr>
        <w:t>duraylılık</w:t>
      </w:r>
      <w:proofErr w:type="spellEnd"/>
      <w:r w:rsidRPr="00D97C80">
        <w:rPr>
          <w:rFonts w:ascii="Calibri" w:eastAsia="Times New Roman" w:hAnsi="Calibri" w:cs="Calibri"/>
          <w:color w:val="000000"/>
          <w:lang w:eastAsia="tr-TR"/>
        </w:rPr>
        <w:t xml:space="preserve"> durumu değerlendirilmesi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Yüzey suyu ve yeraltı suyu durumu değerlendirmesi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             Atık dolgu yüksekliği ve depolama alanı kullanım ömrü değerlendirmesi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F. Atık Depolama Sahası Kontrol İzleme ve Kapatma Faaliyetleri</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(Yönetmeliğin altıncı bölümünde yer alan hükümler esas alınarak belirlenir.)</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b/>
          <w:bCs/>
          <w:color w:val="000000"/>
          <w:lang w:eastAsia="tr-TR"/>
        </w:rPr>
        <w:t>G.</w:t>
      </w:r>
      <w:r w:rsidRPr="00D97C80">
        <w:rPr>
          <w:rFonts w:ascii="Calibri" w:eastAsia="Times New Roman" w:hAnsi="Calibri" w:cs="Calibri"/>
          <w:color w:val="000000"/>
          <w:lang w:eastAsia="tr-TR"/>
        </w:rPr>
        <w:t> </w:t>
      </w:r>
      <w:r w:rsidRPr="00D97C80">
        <w:rPr>
          <w:rFonts w:ascii="Calibri" w:eastAsia="Times New Roman" w:hAnsi="Calibri" w:cs="Calibri"/>
          <w:b/>
          <w:bCs/>
          <w:color w:val="000000"/>
          <w:lang w:eastAsia="tr-TR"/>
        </w:rPr>
        <w:t>Sonuç ve Öneriler</w:t>
      </w:r>
    </w:p>
    <w:p w:rsidR="00D97C80" w:rsidRPr="00D97C80" w:rsidRDefault="00D97C80" w:rsidP="00D97C80">
      <w:pPr>
        <w:spacing w:after="0" w:line="305" w:lineRule="atLeast"/>
        <w:jc w:val="both"/>
        <w:rPr>
          <w:rFonts w:ascii="Times New Roman" w:eastAsia="Times New Roman" w:hAnsi="Times New Roman" w:cs="Times New Roman"/>
          <w:color w:val="000000"/>
          <w:sz w:val="24"/>
          <w:szCs w:val="24"/>
          <w:lang w:eastAsia="tr-TR"/>
        </w:rPr>
      </w:pPr>
      <w:r w:rsidRPr="00D97C80">
        <w:rPr>
          <w:rFonts w:ascii="Calibri" w:eastAsia="Times New Roman" w:hAnsi="Calibri" w:cs="Calibri"/>
          <w:color w:val="000000"/>
          <w:lang w:eastAsia="tr-TR"/>
        </w:rPr>
        <w:t>Not: Raporlar, üniversitelerin rektörlük veya dekanlık üst yazıları ekinde sunulur.</w:t>
      </w:r>
    </w:p>
    <w:p w:rsidR="00202118" w:rsidRPr="00D97C80" w:rsidRDefault="00202118" w:rsidP="00D97C80"/>
    <w:sectPr w:rsidR="00202118" w:rsidRPr="00D97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80"/>
    <w:rsid w:val="00202118"/>
    <w:rsid w:val="00D97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E8678-EECC-4914-9488-2776F3E9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7C80"/>
    <w:rPr>
      <w:color w:val="0000FF"/>
      <w:u w:val="single"/>
    </w:rPr>
  </w:style>
  <w:style w:type="character" w:styleId="FollowedHyperlink">
    <w:name w:val="FollowedHyperlink"/>
    <w:basedOn w:val="DefaultParagraphFont"/>
    <w:uiPriority w:val="99"/>
    <w:semiHidden/>
    <w:unhideWhenUsed/>
    <w:rsid w:val="00D97C80"/>
    <w:rPr>
      <w:color w:val="800080"/>
      <w:u w:val="single"/>
    </w:rPr>
  </w:style>
  <w:style w:type="paragraph" w:styleId="NormalWeb">
    <w:name w:val="Normal (Web)"/>
    <w:basedOn w:val="Normal"/>
    <w:uiPriority w:val="99"/>
    <w:unhideWhenUsed/>
    <w:rsid w:val="00D97C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D97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1965">
      <w:bodyDiv w:val="1"/>
      <w:marLeft w:val="0"/>
      <w:marRight w:val="0"/>
      <w:marTop w:val="0"/>
      <w:marBottom w:val="0"/>
      <w:divBdr>
        <w:top w:val="none" w:sz="0" w:space="0" w:color="auto"/>
        <w:left w:val="none" w:sz="0" w:space="0" w:color="auto"/>
        <w:bottom w:val="none" w:sz="0" w:space="0" w:color="auto"/>
        <w:right w:val="none" w:sz="0" w:space="0" w:color="auto"/>
      </w:divBdr>
      <w:divsChild>
        <w:div w:id="156307756">
          <w:marLeft w:val="0"/>
          <w:marRight w:val="0"/>
          <w:marTop w:val="0"/>
          <w:marBottom w:val="0"/>
          <w:divBdr>
            <w:top w:val="none" w:sz="0" w:space="0" w:color="auto"/>
            <w:left w:val="none" w:sz="0" w:space="0" w:color="auto"/>
            <w:bottom w:val="none" w:sz="0" w:space="0" w:color="auto"/>
            <w:right w:val="none" w:sz="0" w:space="0" w:color="auto"/>
          </w:divBdr>
        </w:div>
        <w:div w:id="1632442982">
          <w:marLeft w:val="0"/>
          <w:marRight w:val="0"/>
          <w:marTop w:val="0"/>
          <w:marBottom w:val="0"/>
          <w:divBdr>
            <w:top w:val="none" w:sz="0" w:space="0" w:color="auto"/>
            <w:left w:val="none" w:sz="0" w:space="0" w:color="auto"/>
            <w:bottom w:val="none" w:sz="0" w:space="0" w:color="auto"/>
            <w:right w:val="none" w:sz="0" w:space="0" w:color="auto"/>
          </w:divBdr>
        </w:div>
        <w:div w:id="1243105297">
          <w:marLeft w:val="0"/>
          <w:marRight w:val="0"/>
          <w:marTop w:val="0"/>
          <w:marBottom w:val="0"/>
          <w:divBdr>
            <w:top w:val="none" w:sz="0" w:space="0" w:color="auto"/>
            <w:left w:val="none" w:sz="0" w:space="0" w:color="auto"/>
            <w:bottom w:val="none" w:sz="0" w:space="0" w:color="auto"/>
            <w:right w:val="none" w:sz="0" w:space="0" w:color="auto"/>
          </w:divBdr>
        </w:div>
        <w:div w:id="1769085302">
          <w:marLeft w:val="0"/>
          <w:marRight w:val="0"/>
          <w:marTop w:val="0"/>
          <w:marBottom w:val="0"/>
          <w:divBdr>
            <w:top w:val="none" w:sz="0" w:space="0" w:color="auto"/>
            <w:left w:val="none" w:sz="0" w:space="0" w:color="auto"/>
            <w:bottom w:val="none" w:sz="0" w:space="0" w:color="auto"/>
            <w:right w:val="none" w:sz="0" w:space="0" w:color="auto"/>
          </w:divBdr>
        </w:div>
        <w:div w:id="658310085">
          <w:marLeft w:val="0"/>
          <w:marRight w:val="0"/>
          <w:marTop w:val="0"/>
          <w:marBottom w:val="0"/>
          <w:divBdr>
            <w:top w:val="none" w:sz="0" w:space="0" w:color="auto"/>
            <w:left w:val="none" w:sz="0" w:space="0" w:color="auto"/>
            <w:bottom w:val="none" w:sz="0" w:space="0" w:color="auto"/>
            <w:right w:val="none" w:sz="0" w:space="0" w:color="auto"/>
          </w:divBdr>
        </w:div>
        <w:div w:id="1892617968">
          <w:marLeft w:val="0"/>
          <w:marRight w:val="0"/>
          <w:marTop w:val="0"/>
          <w:marBottom w:val="0"/>
          <w:divBdr>
            <w:top w:val="none" w:sz="0" w:space="0" w:color="auto"/>
            <w:left w:val="none" w:sz="0" w:space="0" w:color="auto"/>
            <w:bottom w:val="none" w:sz="0" w:space="0" w:color="auto"/>
            <w:right w:val="none" w:sz="0" w:space="0" w:color="auto"/>
          </w:divBdr>
        </w:div>
        <w:div w:id="1981686897">
          <w:marLeft w:val="0"/>
          <w:marRight w:val="0"/>
          <w:marTop w:val="0"/>
          <w:marBottom w:val="0"/>
          <w:divBdr>
            <w:top w:val="none" w:sz="0" w:space="0" w:color="auto"/>
            <w:left w:val="none" w:sz="0" w:space="0" w:color="auto"/>
            <w:bottom w:val="none" w:sz="0" w:space="0" w:color="auto"/>
            <w:right w:val="none" w:sz="0" w:space="0" w:color="auto"/>
          </w:divBdr>
        </w:div>
        <w:div w:id="1854879742">
          <w:marLeft w:val="0"/>
          <w:marRight w:val="0"/>
          <w:marTop w:val="0"/>
          <w:marBottom w:val="0"/>
          <w:divBdr>
            <w:top w:val="none" w:sz="0" w:space="0" w:color="auto"/>
            <w:left w:val="none" w:sz="0" w:space="0" w:color="auto"/>
            <w:bottom w:val="none" w:sz="0" w:space="0" w:color="auto"/>
            <w:right w:val="none" w:sz="0" w:space="0" w:color="auto"/>
          </w:divBdr>
        </w:div>
        <w:div w:id="1897931470">
          <w:marLeft w:val="0"/>
          <w:marRight w:val="0"/>
          <w:marTop w:val="0"/>
          <w:marBottom w:val="0"/>
          <w:divBdr>
            <w:top w:val="none" w:sz="0" w:space="0" w:color="auto"/>
            <w:left w:val="none" w:sz="0" w:space="0" w:color="auto"/>
            <w:bottom w:val="none" w:sz="0" w:space="0" w:color="auto"/>
            <w:right w:val="none" w:sz="0" w:space="0" w:color="auto"/>
          </w:divBdr>
        </w:div>
        <w:div w:id="627468796">
          <w:marLeft w:val="0"/>
          <w:marRight w:val="0"/>
          <w:marTop w:val="0"/>
          <w:marBottom w:val="0"/>
          <w:divBdr>
            <w:top w:val="none" w:sz="0" w:space="0" w:color="auto"/>
            <w:left w:val="none" w:sz="0" w:space="0" w:color="auto"/>
            <w:bottom w:val="none" w:sz="0" w:space="0" w:color="auto"/>
            <w:right w:val="none" w:sz="0" w:space="0" w:color="auto"/>
          </w:divBdr>
        </w:div>
        <w:div w:id="298413195">
          <w:marLeft w:val="0"/>
          <w:marRight w:val="0"/>
          <w:marTop w:val="0"/>
          <w:marBottom w:val="0"/>
          <w:divBdr>
            <w:top w:val="none" w:sz="0" w:space="0" w:color="auto"/>
            <w:left w:val="none" w:sz="0" w:space="0" w:color="auto"/>
            <w:bottom w:val="none" w:sz="0" w:space="0" w:color="auto"/>
            <w:right w:val="none" w:sz="0" w:space="0" w:color="auto"/>
          </w:divBdr>
        </w:div>
        <w:div w:id="1303581225">
          <w:marLeft w:val="0"/>
          <w:marRight w:val="0"/>
          <w:marTop w:val="0"/>
          <w:marBottom w:val="0"/>
          <w:divBdr>
            <w:top w:val="none" w:sz="0" w:space="0" w:color="auto"/>
            <w:left w:val="none" w:sz="0" w:space="0" w:color="auto"/>
            <w:bottom w:val="none" w:sz="0" w:space="0" w:color="auto"/>
            <w:right w:val="none" w:sz="0" w:space="0" w:color="auto"/>
          </w:divBdr>
        </w:div>
        <w:div w:id="36052464">
          <w:marLeft w:val="0"/>
          <w:marRight w:val="0"/>
          <w:marTop w:val="0"/>
          <w:marBottom w:val="0"/>
          <w:divBdr>
            <w:top w:val="none" w:sz="0" w:space="0" w:color="auto"/>
            <w:left w:val="none" w:sz="0" w:space="0" w:color="auto"/>
            <w:bottom w:val="none" w:sz="0" w:space="0" w:color="auto"/>
            <w:right w:val="none" w:sz="0" w:space="0" w:color="auto"/>
          </w:divBdr>
        </w:div>
        <w:div w:id="1489203527">
          <w:marLeft w:val="0"/>
          <w:marRight w:val="0"/>
          <w:marTop w:val="0"/>
          <w:marBottom w:val="0"/>
          <w:divBdr>
            <w:top w:val="none" w:sz="0" w:space="0" w:color="auto"/>
            <w:left w:val="none" w:sz="0" w:space="0" w:color="auto"/>
            <w:bottom w:val="none" w:sz="0" w:space="0" w:color="auto"/>
            <w:right w:val="none" w:sz="0" w:space="0" w:color="auto"/>
          </w:divBdr>
        </w:div>
        <w:div w:id="1027217630">
          <w:marLeft w:val="0"/>
          <w:marRight w:val="0"/>
          <w:marTop w:val="0"/>
          <w:marBottom w:val="0"/>
          <w:divBdr>
            <w:top w:val="none" w:sz="0" w:space="0" w:color="auto"/>
            <w:left w:val="none" w:sz="0" w:space="0" w:color="auto"/>
            <w:bottom w:val="none" w:sz="0" w:space="0" w:color="auto"/>
            <w:right w:val="none" w:sz="0" w:space="0" w:color="auto"/>
          </w:divBdr>
        </w:div>
        <w:div w:id="938606887">
          <w:marLeft w:val="0"/>
          <w:marRight w:val="0"/>
          <w:marTop w:val="0"/>
          <w:marBottom w:val="0"/>
          <w:divBdr>
            <w:top w:val="none" w:sz="0" w:space="0" w:color="auto"/>
            <w:left w:val="none" w:sz="0" w:space="0" w:color="auto"/>
            <w:bottom w:val="none" w:sz="0" w:space="0" w:color="auto"/>
            <w:right w:val="none" w:sz="0" w:space="0" w:color="auto"/>
          </w:divBdr>
        </w:div>
        <w:div w:id="270481516">
          <w:marLeft w:val="0"/>
          <w:marRight w:val="0"/>
          <w:marTop w:val="0"/>
          <w:marBottom w:val="0"/>
          <w:divBdr>
            <w:top w:val="none" w:sz="0" w:space="0" w:color="auto"/>
            <w:left w:val="none" w:sz="0" w:space="0" w:color="auto"/>
            <w:bottom w:val="none" w:sz="0" w:space="0" w:color="auto"/>
            <w:right w:val="none" w:sz="0" w:space="0" w:color="auto"/>
          </w:divBdr>
        </w:div>
      </w:divsChild>
    </w:div>
    <w:div w:id="346567134">
      <w:bodyDiv w:val="1"/>
      <w:marLeft w:val="0"/>
      <w:marRight w:val="0"/>
      <w:marTop w:val="0"/>
      <w:marBottom w:val="0"/>
      <w:divBdr>
        <w:top w:val="none" w:sz="0" w:space="0" w:color="auto"/>
        <w:left w:val="none" w:sz="0" w:space="0" w:color="auto"/>
        <w:bottom w:val="none" w:sz="0" w:space="0" w:color="auto"/>
        <w:right w:val="none" w:sz="0" w:space="0" w:color="auto"/>
      </w:divBdr>
      <w:divsChild>
        <w:div w:id="249702814">
          <w:marLeft w:val="0"/>
          <w:marRight w:val="0"/>
          <w:marTop w:val="0"/>
          <w:marBottom w:val="0"/>
          <w:divBdr>
            <w:top w:val="none" w:sz="0" w:space="0" w:color="auto"/>
            <w:left w:val="none" w:sz="0" w:space="0" w:color="auto"/>
            <w:bottom w:val="none" w:sz="0" w:space="0" w:color="auto"/>
            <w:right w:val="none" w:sz="0" w:space="0" w:color="auto"/>
          </w:divBdr>
        </w:div>
      </w:divsChild>
    </w:div>
    <w:div w:id="1463235643">
      <w:bodyDiv w:val="1"/>
      <w:marLeft w:val="0"/>
      <w:marRight w:val="0"/>
      <w:marTop w:val="0"/>
      <w:marBottom w:val="0"/>
      <w:divBdr>
        <w:top w:val="none" w:sz="0" w:space="0" w:color="auto"/>
        <w:left w:val="none" w:sz="0" w:space="0" w:color="auto"/>
        <w:bottom w:val="none" w:sz="0" w:space="0" w:color="auto"/>
        <w:right w:val="none" w:sz="0" w:space="0" w:color="auto"/>
      </w:divBdr>
      <w:divsChild>
        <w:div w:id="911542344">
          <w:marLeft w:val="0"/>
          <w:marRight w:val="0"/>
          <w:marTop w:val="0"/>
          <w:marBottom w:val="0"/>
          <w:divBdr>
            <w:top w:val="none" w:sz="0" w:space="0" w:color="auto"/>
            <w:left w:val="none" w:sz="0" w:space="0" w:color="auto"/>
            <w:bottom w:val="none" w:sz="0" w:space="0" w:color="auto"/>
            <w:right w:val="none" w:sz="0" w:space="0" w:color="auto"/>
          </w:divBdr>
        </w:div>
        <w:div w:id="1443305616">
          <w:marLeft w:val="0"/>
          <w:marRight w:val="0"/>
          <w:marTop w:val="0"/>
          <w:marBottom w:val="0"/>
          <w:divBdr>
            <w:top w:val="none" w:sz="0" w:space="0" w:color="auto"/>
            <w:left w:val="none" w:sz="0" w:space="0" w:color="auto"/>
            <w:bottom w:val="none" w:sz="0" w:space="0" w:color="auto"/>
            <w:right w:val="none" w:sz="0" w:space="0" w:color="auto"/>
          </w:divBdr>
        </w:div>
        <w:div w:id="143355317">
          <w:marLeft w:val="0"/>
          <w:marRight w:val="0"/>
          <w:marTop w:val="0"/>
          <w:marBottom w:val="0"/>
          <w:divBdr>
            <w:top w:val="none" w:sz="0" w:space="0" w:color="auto"/>
            <w:left w:val="none" w:sz="0" w:space="0" w:color="auto"/>
            <w:bottom w:val="none" w:sz="0" w:space="0" w:color="auto"/>
            <w:right w:val="none" w:sz="0" w:space="0" w:color="auto"/>
          </w:divBdr>
        </w:div>
        <w:div w:id="1088042906">
          <w:marLeft w:val="0"/>
          <w:marRight w:val="0"/>
          <w:marTop w:val="0"/>
          <w:marBottom w:val="0"/>
          <w:divBdr>
            <w:top w:val="none" w:sz="0" w:space="0" w:color="auto"/>
            <w:left w:val="none" w:sz="0" w:space="0" w:color="auto"/>
            <w:bottom w:val="none" w:sz="0" w:space="0" w:color="auto"/>
            <w:right w:val="none" w:sz="0" w:space="0" w:color="auto"/>
          </w:divBdr>
        </w:div>
        <w:div w:id="700979829">
          <w:marLeft w:val="0"/>
          <w:marRight w:val="0"/>
          <w:marTop w:val="0"/>
          <w:marBottom w:val="0"/>
          <w:divBdr>
            <w:top w:val="none" w:sz="0" w:space="0" w:color="auto"/>
            <w:left w:val="none" w:sz="0" w:space="0" w:color="auto"/>
            <w:bottom w:val="none" w:sz="0" w:space="0" w:color="auto"/>
            <w:right w:val="none" w:sz="0" w:space="0" w:color="auto"/>
          </w:divBdr>
        </w:div>
        <w:div w:id="1276669205">
          <w:marLeft w:val="0"/>
          <w:marRight w:val="0"/>
          <w:marTop w:val="0"/>
          <w:marBottom w:val="0"/>
          <w:divBdr>
            <w:top w:val="none" w:sz="0" w:space="0" w:color="auto"/>
            <w:left w:val="none" w:sz="0" w:space="0" w:color="auto"/>
            <w:bottom w:val="none" w:sz="0" w:space="0" w:color="auto"/>
            <w:right w:val="none" w:sz="0" w:space="0" w:color="auto"/>
          </w:divBdr>
        </w:div>
        <w:div w:id="1569223917">
          <w:marLeft w:val="0"/>
          <w:marRight w:val="0"/>
          <w:marTop w:val="0"/>
          <w:marBottom w:val="0"/>
          <w:divBdr>
            <w:top w:val="none" w:sz="0" w:space="0" w:color="auto"/>
            <w:left w:val="none" w:sz="0" w:space="0" w:color="auto"/>
            <w:bottom w:val="none" w:sz="0" w:space="0" w:color="auto"/>
            <w:right w:val="none" w:sz="0" w:space="0" w:color="auto"/>
          </w:divBdr>
        </w:div>
        <w:div w:id="170460804">
          <w:marLeft w:val="0"/>
          <w:marRight w:val="0"/>
          <w:marTop w:val="0"/>
          <w:marBottom w:val="0"/>
          <w:divBdr>
            <w:top w:val="none" w:sz="0" w:space="0" w:color="auto"/>
            <w:left w:val="none" w:sz="0" w:space="0" w:color="auto"/>
            <w:bottom w:val="none" w:sz="0" w:space="0" w:color="auto"/>
            <w:right w:val="none" w:sz="0" w:space="0" w:color="auto"/>
          </w:divBdr>
        </w:div>
        <w:div w:id="2010406375">
          <w:marLeft w:val="0"/>
          <w:marRight w:val="0"/>
          <w:marTop w:val="0"/>
          <w:marBottom w:val="0"/>
          <w:divBdr>
            <w:top w:val="none" w:sz="0" w:space="0" w:color="auto"/>
            <w:left w:val="none" w:sz="0" w:space="0" w:color="auto"/>
            <w:bottom w:val="none" w:sz="0" w:space="0" w:color="auto"/>
            <w:right w:val="none" w:sz="0" w:space="0" w:color="auto"/>
          </w:divBdr>
        </w:div>
        <w:div w:id="1698434623">
          <w:marLeft w:val="0"/>
          <w:marRight w:val="0"/>
          <w:marTop w:val="0"/>
          <w:marBottom w:val="0"/>
          <w:divBdr>
            <w:top w:val="none" w:sz="0" w:space="0" w:color="auto"/>
            <w:left w:val="none" w:sz="0" w:space="0" w:color="auto"/>
            <w:bottom w:val="none" w:sz="0" w:space="0" w:color="auto"/>
            <w:right w:val="none" w:sz="0" w:space="0" w:color="auto"/>
          </w:divBdr>
        </w:div>
        <w:div w:id="1290554783">
          <w:marLeft w:val="0"/>
          <w:marRight w:val="0"/>
          <w:marTop w:val="0"/>
          <w:marBottom w:val="0"/>
          <w:divBdr>
            <w:top w:val="none" w:sz="0" w:space="0" w:color="auto"/>
            <w:left w:val="none" w:sz="0" w:space="0" w:color="auto"/>
            <w:bottom w:val="none" w:sz="0" w:space="0" w:color="auto"/>
            <w:right w:val="none" w:sz="0" w:space="0" w:color="auto"/>
          </w:divBdr>
        </w:div>
        <w:div w:id="1518421939">
          <w:marLeft w:val="0"/>
          <w:marRight w:val="0"/>
          <w:marTop w:val="0"/>
          <w:marBottom w:val="0"/>
          <w:divBdr>
            <w:top w:val="none" w:sz="0" w:space="0" w:color="auto"/>
            <w:left w:val="none" w:sz="0" w:space="0" w:color="auto"/>
            <w:bottom w:val="none" w:sz="0" w:space="0" w:color="auto"/>
            <w:right w:val="none" w:sz="0" w:space="0" w:color="auto"/>
          </w:divBdr>
        </w:div>
        <w:div w:id="1500537721">
          <w:marLeft w:val="0"/>
          <w:marRight w:val="0"/>
          <w:marTop w:val="0"/>
          <w:marBottom w:val="0"/>
          <w:divBdr>
            <w:top w:val="none" w:sz="0" w:space="0" w:color="auto"/>
            <w:left w:val="none" w:sz="0" w:space="0" w:color="auto"/>
            <w:bottom w:val="none" w:sz="0" w:space="0" w:color="auto"/>
            <w:right w:val="none" w:sz="0" w:space="0" w:color="auto"/>
          </w:divBdr>
        </w:div>
        <w:div w:id="191580518">
          <w:marLeft w:val="0"/>
          <w:marRight w:val="0"/>
          <w:marTop w:val="0"/>
          <w:marBottom w:val="0"/>
          <w:divBdr>
            <w:top w:val="none" w:sz="0" w:space="0" w:color="auto"/>
            <w:left w:val="none" w:sz="0" w:space="0" w:color="auto"/>
            <w:bottom w:val="none" w:sz="0" w:space="0" w:color="auto"/>
            <w:right w:val="none" w:sz="0" w:space="0" w:color="auto"/>
          </w:divBdr>
        </w:div>
        <w:div w:id="2006590033">
          <w:marLeft w:val="0"/>
          <w:marRight w:val="0"/>
          <w:marTop w:val="0"/>
          <w:marBottom w:val="0"/>
          <w:divBdr>
            <w:top w:val="none" w:sz="0" w:space="0" w:color="auto"/>
            <w:left w:val="none" w:sz="0" w:space="0" w:color="auto"/>
            <w:bottom w:val="none" w:sz="0" w:space="0" w:color="auto"/>
            <w:right w:val="none" w:sz="0" w:space="0" w:color="auto"/>
          </w:divBdr>
        </w:div>
        <w:div w:id="1931039131">
          <w:marLeft w:val="0"/>
          <w:marRight w:val="0"/>
          <w:marTop w:val="0"/>
          <w:marBottom w:val="0"/>
          <w:divBdr>
            <w:top w:val="none" w:sz="0" w:space="0" w:color="auto"/>
            <w:left w:val="none" w:sz="0" w:space="0" w:color="auto"/>
            <w:bottom w:val="none" w:sz="0" w:space="0" w:color="auto"/>
            <w:right w:val="none" w:sz="0" w:space="0" w:color="auto"/>
          </w:divBdr>
        </w:div>
      </w:divsChild>
    </w:div>
    <w:div w:id="16184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net.tr/Standart/Standart_Detay.asp?SorguListe=Normal&amp;STDNO=44954&amp;SiraNo=7&amp;SayfaNo=1" TargetMode="External"/><Relationship Id="rId13" Type="http://schemas.openxmlformats.org/officeDocument/2006/relationships/hyperlink" Target="http://www.tse.net.tr/Standart/Standart_Detay.asp?SorguListe=Normal&amp;STDNO=71037&amp;SiraNo=12&amp;SayfaNo=1" TargetMode="External"/><Relationship Id="rId18" Type="http://schemas.openxmlformats.org/officeDocument/2006/relationships/hyperlink" Target="http://www.tse.net.tr/Standart/Standart_Detay.asp?SorguListe=Normal&amp;STDNO=67456&amp;SiraNo=180&amp;SayfaNo=4" TargetMode="External"/><Relationship Id="rId3" Type="http://schemas.openxmlformats.org/officeDocument/2006/relationships/webSettings" Target="webSettings.xml"/><Relationship Id="rId21" Type="http://schemas.openxmlformats.org/officeDocument/2006/relationships/hyperlink" Target="http://www.tse.net.tr/Standart/Standart_Detay.asp?SorguListe=Normal&amp;STDNO=38905&amp;SiraNo=143&amp;SayfaNo=3" TargetMode="External"/><Relationship Id="rId7" Type="http://schemas.openxmlformats.org/officeDocument/2006/relationships/hyperlink" Target="http://www.tse.net.tr/Standart/Standart_Detay.asp?SorguListe=Normal&amp;STDNO=52076&amp;SiraNo=6&amp;SayfaNo=1" TargetMode="External"/><Relationship Id="rId12" Type="http://schemas.openxmlformats.org/officeDocument/2006/relationships/hyperlink" Target="http://www.tse.net.tr/Standart/Standart_Detay.asp?SorguListe=Normal&amp;STDNO=69117&amp;SiraNo=11&amp;SayfaNo=1" TargetMode="External"/><Relationship Id="rId17" Type="http://schemas.openxmlformats.org/officeDocument/2006/relationships/hyperlink" Target="http://www.tse.net.tr/Standart/Standart_Detay.asp?SorguListe=Normal&amp;STDNO=69161&amp;SiraNo=179&amp;SayfaNo=4" TargetMode="External"/><Relationship Id="rId2" Type="http://schemas.openxmlformats.org/officeDocument/2006/relationships/settings" Target="settings.xml"/><Relationship Id="rId16" Type="http://schemas.openxmlformats.org/officeDocument/2006/relationships/hyperlink" Target="http://www.tse.net.tr/Standart/Standart_Detay.asp?SorguListe=Normal&amp;STDNO=64655&amp;SiraNo=168&amp;SayfaNo=4" TargetMode="External"/><Relationship Id="rId20" Type="http://schemas.openxmlformats.org/officeDocument/2006/relationships/hyperlink" Target="http://www.tse.org.tr/Turkish/Abone/StandardDetay.asp?STDNO=20374&amp;SiraNo=2" TargetMode="External"/><Relationship Id="rId1" Type="http://schemas.openxmlformats.org/officeDocument/2006/relationships/styles" Target="styles.xml"/><Relationship Id="rId6" Type="http://schemas.openxmlformats.org/officeDocument/2006/relationships/hyperlink" Target="http://www.tse.net.tr/Standart/Standart_Detay.asp?SorguListe=Normal&amp;STDNO=32201&amp;SiraNo=152&amp;SayfaNo=4" TargetMode="External"/><Relationship Id="rId11" Type="http://schemas.openxmlformats.org/officeDocument/2006/relationships/hyperlink" Target="http://www.tse.net.tr/Standart/Standart_Detay.asp?SorguListe=Normal&amp;STDNO=55100&amp;SiraNo=10&amp;SayfaNo=1" TargetMode="External"/><Relationship Id="rId24" Type="http://schemas.openxmlformats.org/officeDocument/2006/relationships/theme" Target="theme/theme1.xml"/><Relationship Id="rId5" Type="http://schemas.openxmlformats.org/officeDocument/2006/relationships/hyperlink" Target="http://www.tse.net.tr/Standart/Standart_Detay.asp?SorguListe=Normal&amp;STDNO=32199&amp;SiraNo=5&amp;SayfaNo=1" TargetMode="External"/><Relationship Id="rId15" Type="http://schemas.openxmlformats.org/officeDocument/2006/relationships/hyperlink" Target="http://www.tse.net.tr/Standart/Standart_Detay.asp?SorguListe=Normal&amp;STDNO=65847&amp;SiraNo=14&amp;SayfaNo=1" TargetMode="External"/><Relationship Id="rId23" Type="http://schemas.openxmlformats.org/officeDocument/2006/relationships/fontTable" Target="fontTable.xml"/><Relationship Id="rId10" Type="http://schemas.openxmlformats.org/officeDocument/2006/relationships/hyperlink" Target="http://www.tse.net.tr/Standart/Standart_Detay.asp?SorguListe=Normal&amp;STDNO=56174&amp;SiraNo=9&amp;SayfaNo=1" TargetMode="External"/><Relationship Id="rId19" Type="http://schemas.openxmlformats.org/officeDocument/2006/relationships/hyperlink" Target="http://www.tse.net.tr/Standart/Standart_Detay.asp?SorguListe=Normal&amp;STDNO=72964&amp;SiraNo=181&amp;SayfaNo=4" TargetMode="External"/><Relationship Id="rId4" Type="http://schemas.openxmlformats.org/officeDocument/2006/relationships/hyperlink" Target="http://www.tse.net.tr/Standart/Standart_Detay.asp?SorguListe=Normal&amp;STDNO=51814&amp;SiraNo=8&amp;SayfaNo=1" TargetMode="External"/><Relationship Id="rId9" Type="http://schemas.openxmlformats.org/officeDocument/2006/relationships/hyperlink" Target="http://www.tse.net.tr/Standart/Standart_Detay.asp?SorguListe=Normal&amp;STDNO=56173&amp;SiraNo=8&amp;SayfaNo=1" TargetMode="External"/><Relationship Id="rId14" Type="http://schemas.openxmlformats.org/officeDocument/2006/relationships/hyperlink" Target="http://www.tse.net.tr/Standart/Standart_Detay.asp?SorguListe=Normal&amp;STDNO=61088&amp;SiraNo=13&amp;SayfaNo=1" TargetMode="External"/><Relationship Id="rId22" Type="http://schemas.openxmlformats.org/officeDocument/2006/relationships/hyperlink" Target="http://www.tse.net.tr/Standart/Standart_Detay.asp?SorguListe=Normal&amp;STDNO=62272&amp;SiraNo=155&amp;SayfaNo=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3973</Words>
  <Characters>22651</Characters>
  <Application>Microsoft Office Word</Application>
  <DocSecurity>0</DocSecurity>
  <Lines>188</Lines>
  <Paragraphs>53</Paragraphs>
  <ScaleCrop>false</ScaleCrop>
  <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1</cp:revision>
  <dcterms:created xsi:type="dcterms:W3CDTF">2022-06-24T12:10:00Z</dcterms:created>
  <dcterms:modified xsi:type="dcterms:W3CDTF">2022-06-24T12:15:00Z</dcterms:modified>
</cp:coreProperties>
</file>