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9A39F6" w:rsidRPr="00C60011" w:rsidTr="00E94962">
        <w:tc>
          <w:tcPr>
            <w:tcW w:w="9288" w:type="dxa"/>
            <w:shd w:val="clear" w:color="auto" w:fill="595959"/>
            <w:vAlign w:val="center"/>
          </w:tcPr>
          <w:p w:rsidR="009A39F6" w:rsidRPr="00C60011" w:rsidRDefault="009A39F6" w:rsidP="00E15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:rsidR="009A39F6" w:rsidRPr="00C60011" w:rsidRDefault="009A39F6" w:rsidP="001432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6001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TÜRKİYE DENETİM STANDARTLARI</w:t>
            </w:r>
          </w:p>
          <w:p w:rsidR="009A39F6" w:rsidRPr="00C60011" w:rsidRDefault="009A39F6" w:rsidP="00143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39F6" w:rsidRDefault="009A39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F6" w:rsidRDefault="009A39F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175" w:tblpY="3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7122"/>
      </w:tblGrid>
      <w:tr w:rsidR="009A39F6" w:rsidRPr="00C60011" w:rsidTr="00E94962">
        <w:tc>
          <w:tcPr>
            <w:tcW w:w="7122" w:type="dxa"/>
          </w:tcPr>
          <w:p w:rsidR="009A39F6" w:rsidRPr="00C60011" w:rsidRDefault="009A39F6" w:rsidP="00E15D83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C60011">
              <w:rPr>
                <w:rFonts w:ascii="Times New Roman" w:hAnsi="Times New Roman"/>
                <w:b/>
                <w:sz w:val="24"/>
                <w:szCs w:val="24"/>
              </w:rPr>
              <w:t xml:space="preserve">BAĞIMSIZ DENETİM STANDARDI 501 </w:t>
            </w:r>
          </w:p>
        </w:tc>
      </w:tr>
    </w:tbl>
    <w:p w:rsidR="009A39F6" w:rsidRDefault="009A39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F6" w:rsidRDefault="009A39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F6" w:rsidRDefault="009A39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F6" w:rsidRDefault="009A39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F6" w:rsidRPr="0012109B" w:rsidRDefault="009A39F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BAĞIMSIZ </w:t>
      </w:r>
      <w:r w:rsidRPr="00D73C63">
        <w:rPr>
          <w:rFonts w:ascii="Times New Roman" w:hAnsi="Times New Roman"/>
          <w:b/>
          <w:i/>
          <w:sz w:val="24"/>
          <w:szCs w:val="24"/>
        </w:rPr>
        <w:t>DENETİM KANIT</w:t>
      </w:r>
      <w:r>
        <w:rPr>
          <w:rFonts w:ascii="Times New Roman" w:hAnsi="Times New Roman"/>
          <w:b/>
          <w:i/>
          <w:sz w:val="24"/>
          <w:szCs w:val="24"/>
        </w:rPr>
        <w:t>LARI – BELİRLİ KALEMLER</w:t>
      </w:r>
      <w:r w:rsidRPr="00D73C63">
        <w:rPr>
          <w:rFonts w:ascii="Times New Roman" w:hAnsi="Times New Roman"/>
          <w:b/>
          <w:i/>
          <w:sz w:val="24"/>
          <w:szCs w:val="24"/>
        </w:rPr>
        <w:t xml:space="preserve"> İÇİN DİKKATE ALINMASI GEREKEN ÖZEL HUSUSLAR</w:t>
      </w:r>
      <w:r>
        <w:rPr>
          <w:rFonts w:ascii="Times New Roman" w:hAnsi="Times New Roman"/>
          <w:b/>
          <w:sz w:val="24"/>
          <w:szCs w:val="24"/>
          <w:lang w:eastAsia="en-US"/>
        </w:rPr>
        <w:br w:type="page"/>
      </w:r>
    </w:p>
    <w:p w:rsidR="009A39F6" w:rsidRPr="0077035B" w:rsidRDefault="009A39F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7035B">
        <w:rPr>
          <w:rFonts w:ascii="Times New Roman" w:hAnsi="Times New Roman"/>
          <w:b/>
          <w:sz w:val="24"/>
          <w:szCs w:val="24"/>
          <w:lang w:eastAsia="en-US"/>
        </w:rPr>
        <w:t>BAĞIMSIZ DENETİM STANDARDI 501</w:t>
      </w:r>
    </w:p>
    <w:p w:rsidR="009A39F6" w:rsidRDefault="009A39F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BAĞIMSIZ </w:t>
      </w:r>
      <w:r w:rsidRPr="0077035B">
        <w:rPr>
          <w:rFonts w:ascii="Times New Roman" w:hAnsi="Times New Roman"/>
          <w:b/>
          <w:sz w:val="24"/>
          <w:szCs w:val="24"/>
          <w:lang w:eastAsia="en-US"/>
        </w:rPr>
        <w:t>DENETİM KANIT</w:t>
      </w:r>
      <w:r>
        <w:rPr>
          <w:rFonts w:ascii="Times New Roman" w:hAnsi="Times New Roman"/>
          <w:b/>
          <w:sz w:val="24"/>
          <w:szCs w:val="24"/>
          <w:lang w:eastAsia="en-US"/>
        </w:rPr>
        <w:t>LARI</w:t>
      </w:r>
      <w:r w:rsidRPr="0077035B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en-US"/>
        </w:rPr>
        <w:t>BELİRLİ KALEMLER</w:t>
      </w:r>
      <w:r w:rsidRPr="0077035B">
        <w:rPr>
          <w:rFonts w:ascii="Times New Roman" w:hAnsi="Times New Roman"/>
          <w:b/>
          <w:sz w:val="24"/>
          <w:szCs w:val="24"/>
          <w:lang w:eastAsia="en-US"/>
        </w:rPr>
        <w:t xml:space="preserve"> İÇİN DİKKATE ALINMASI GEREKEN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ÖZEL </w:t>
      </w:r>
      <w:r w:rsidRPr="0077035B">
        <w:rPr>
          <w:rFonts w:ascii="Times New Roman" w:hAnsi="Times New Roman"/>
          <w:b/>
          <w:sz w:val="24"/>
          <w:szCs w:val="24"/>
          <w:lang w:eastAsia="en-US"/>
        </w:rPr>
        <w:t>HUSUSLAR</w:t>
      </w:r>
    </w:p>
    <w:p w:rsidR="009A39F6" w:rsidRPr="0077035B" w:rsidRDefault="009A39F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w:pict>
          <v:line id="Düz Bağlayıcı 1" o:spid="_x0000_s1026" style="position:absolute;left:0;text-align:left;z-index:251658240;visibility:visible;mso-wrap-distance-top:-3e-5mm;mso-wrap-distance-bottom:-3e-5mm" from="-.1pt,19.05pt" to="455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" strokeweight="1.25pt">
            <o:lock v:ext="edit" shapetype="f"/>
          </v:line>
        </w:pict>
      </w:r>
      <w:r>
        <w:rPr>
          <w:rFonts w:ascii="Times New Roman" w:hAnsi="Times New Roman"/>
          <w:b/>
          <w:sz w:val="24"/>
          <w:szCs w:val="24"/>
          <w:lang w:eastAsia="en-US"/>
        </w:rPr>
        <w:t>İÇİNDEKİLER</w:t>
      </w:r>
    </w:p>
    <w:p w:rsidR="009A39F6" w:rsidRDefault="009A39F6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Paragraf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77035B">
        <w:rPr>
          <w:rFonts w:ascii="Times New Roman" w:hAnsi="Times New Roman"/>
          <w:b/>
          <w:sz w:val="24"/>
          <w:szCs w:val="24"/>
        </w:rPr>
        <w:t>Giriş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Kapsam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……………………………………………………………….………………………..1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Yürürlük Tarihi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………………………………………………………………………………..2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77035B">
        <w:rPr>
          <w:rFonts w:ascii="Times New Roman" w:hAnsi="Times New Roman"/>
          <w:b/>
          <w:sz w:val="24"/>
          <w:szCs w:val="24"/>
        </w:rPr>
        <w:t xml:space="preserve">Amaç </w:t>
      </w:r>
      <w:r w:rsidRPr="00210A9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210A94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 w:rsidRPr="00210A94">
        <w:rPr>
          <w:rFonts w:ascii="Times New Roman" w:hAnsi="Times New Roman"/>
          <w:sz w:val="24"/>
          <w:szCs w:val="24"/>
        </w:rPr>
        <w:t>…3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 </w:t>
      </w:r>
      <w:r w:rsidRPr="0077035B">
        <w:rPr>
          <w:rFonts w:ascii="Times New Roman" w:hAnsi="Times New Roman"/>
          <w:b/>
          <w:sz w:val="24"/>
          <w:szCs w:val="24"/>
        </w:rPr>
        <w:t>Hükümler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Stoklar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………………………………………………………………………………………4-8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Dava ve İddialar </w:t>
      </w:r>
      <w:r>
        <w:rPr>
          <w:rFonts w:ascii="Times New Roman" w:hAnsi="Times New Roman"/>
          <w:sz w:val="24"/>
          <w:szCs w:val="24"/>
        </w:rPr>
        <w:t>………………………………...…………………………….……………9-12</w:t>
      </w:r>
    </w:p>
    <w:p w:rsidR="009A39F6" w:rsidRPr="00DC14B2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 xml:space="preserve">Faaliyet Bölümü Bilgileri </w:t>
      </w:r>
      <w:r w:rsidRPr="00BB53FB">
        <w:rPr>
          <w:rFonts w:ascii="Times New Roman" w:hAnsi="Times New Roman"/>
          <w:sz w:val="24"/>
          <w:szCs w:val="24"/>
        </w:rPr>
        <w:t>…………………………………………………………………….13</w:t>
      </w:r>
    </w:p>
    <w:p w:rsidR="009A39F6" w:rsidRPr="00DC14B2" w:rsidRDefault="009A39F6" w:rsidP="0014329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DC14B2">
        <w:rPr>
          <w:rFonts w:ascii="Times New Roman" w:hAnsi="Times New Roman"/>
          <w:b/>
          <w:sz w:val="24"/>
          <w:szCs w:val="24"/>
        </w:rPr>
        <w:t>Açıklayıcı Hükümler ve Uygulama</w:t>
      </w:r>
    </w:p>
    <w:p w:rsidR="009A39F6" w:rsidRPr="00DC14B2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DC14B2">
        <w:rPr>
          <w:rFonts w:ascii="Times New Roman" w:hAnsi="Times New Roman"/>
          <w:sz w:val="24"/>
          <w:szCs w:val="24"/>
        </w:rPr>
        <w:t>Stoklar  …………………………………………………………………………………A1-A16</w:t>
      </w:r>
    </w:p>
    <w:p w:rsidR="009A39F6" w:rsidRPr="00DC14B2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DC14B2">
        <w:rPr>
          <w:rFonts w:ascii="Times New Roman" w:hAnsi="Times New Roman"/>
          <w:sz w:val="24"/>
          <w:szCs w:val="24"/>
        </w:rPr>
        <w:t>Dava ve İddialar ………………………………………………………………….…...A17-A25</w:t>
      </w:r>
    </w:p>
    <w:p w:rsidR="009A39F6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 xml:space="preserve">Faaliyet Bölümü Bilgileri </w:t>
      </w:r>
      <w:r w:rsidRPr="00BB53FB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A26-A27</w:t>
      </w:r>
    </w:p>
    <w:p w:rsidR="009A39F6" w:rsidRDefault="009A39F6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39F6" w:rsidRDefault="009A39F6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39F6" w:rsidRDefault="009A39F6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39F6" w:rsidRDefault="009A39F6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9A39F6" w:rsidRDefault="009A39F6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1.15pt;margin-top:1.35pt;width:458.3pt;height:6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">
            <v:textbox>
              <w:txbxContent>
                <w:p w:rsidR="009A39F6" w:rsidRPr="0077035B" w:rsidRDefault="009A39F6" w:rsidP="00210A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35B">
                    <w:rPr>
                      <w:rFonts w:ascii="Times New Roman" w:hAnsi="Times New Roman"/>
                      <w:sz w:val="24"/>
                      <w:szCs w:val="24"/>
                    </w:rPr>
                    <w:t>Bağımsız Denetim Standardı (BDS) 501 “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Bağımsız </w:t>
                  </w:r>
                  <w:r w:rsidRPr="0077035B">
                    <w:rPr>
                      <w:rFonts w:ascii="Times New Roman" w:hAnsi="Times New Roman"/>
                      <w:sz w:val="24"/>
                      <w:szCs w:val="24"/>
                    </w:rPr>
                    <w:t>Denetim Kanıt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lar</w:t>
                  </w:r>
                  <w:r w:rsidRPr="0077035B">
                    <w:rPr>
                      <w:rFonts w:ascii="Times New Roman" w:hAnsi="Times New Roman"/>
                      <w:sz w:val="24"/>
                      <w:szCs w:val="24"/>
                    </w:rPr>
                    <w:t xml:space="preserve">ı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Belirli Kalemler İ</w:t>
                  </w:r>
                  <w:r w:rsidRPr="0077035B">
                    <w:rPr>
                      <w:rFonts w:ascii="Times New Roman" w:hAnsi="Times New Roman"/>
                      <w:sz w:val="24"/>
                      <w:szCs w:val="24"/>
                    </w:rPr>
                    <w:t>çin Dikkate Alınması Gereken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Özel</w:t>
                  </w:r>
                  <w:r w:rsidRPr="0077035B">
                    <w:rPr>
                      <w:rFonts w:ascii="Times New Roman" w:hAnsi="Times New Roman"/>
                      <w:sz w:val="24"/>
                      <w:szCs w:val="24"/>
                    </w:rPr>
                    <w:t xml:space="preserve"> Hususlar”, BDS 200 “Bağımsız Denetçinin Genel Amaçları ve Bağımsız Denetimin Bağımsız Denetim Standartlarına Uygun Olarak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Yürütülmesi</w:t>
                  </w:r>
                  <w:r w:rsidRPr="0077035B">
                    <w:rPr>
                      <w:rFonts w:ascii="Times New Roman" w:hAnsi="Times New Roman"/>
                      <w:sz w:val="24"/>
                      <w:szCs w:val="24"/>
                    </w:rPr>
                    <w:t xml:space="preserve">” ile birlikte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dikkate alınır</w:t>
                  </w:r>
                  <w:r w:rsidRPr="0077035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A39F6" w:rsidRDefault="009A39F6" w:rsidP="00210A94"/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9A39F6" w:rsidRPr="001F2C6B" w:rsidRDefault="009A39F6" w:rsidP="00143295">
      <w:pPr>
        <w:spacing w:before="120" w:after="120"/>
        <w:rPr>
          <w:rFonts w:ascii="Times New Roman" w:hAnsi="Times New Roman"/>
          <w:sz w:val="27"/>
          <w:szCs w:val="27"/>
        </w:rPr>
      </w:pPr>
      <w:r w:rsidRPr="001F2C6B">
        <w:rPr>
          <w:rFonts w:ascii="Times New Roman" w:hAnsi="Times New Roman"/>
          <w:b/>
          <w:sz w:val="27"/>
          <w:szCs w:val="27"/>
        </w:rPr>
        <w:t>Giriş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Kapsam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1.</w:t>
      </w:r>
      <w:r w:rsidRPr="0077035B">
        <w:rPr>
          <w:rFonts w:ascii="Times New Roman" w:hAnsi="Times New Roman"/>
          <w:sz w:val="24"/>
          <w:szCs w:val="24"/>
        </w:rPr>
        <w:tab/>
      </w:r>
      <w:r w:rsidRPr="00BB53FB">
        <w:rPr>
          <w:rFonts w:ascii="Times New Roman" w:hAnsi="Times New Roman"/>
          <w:sz w:val="24"/>
          <w:szCs w:val="24"/>
        </w:rPr>
        <w:t xml:space="preserve">Bu Bağımsız Denetim Standardı (BDS), finansal tabloların </w:t>
      </w:r>
      <w:r w:rsidRPr="00DC14B2">
        <w:rPr>
          <w:rFonts w:ascii="Times New Roman" w:hAnsi="Times New Roman"/>
          <w:sz w:val="24"/>
          <w:szCs w:val="24"/>
          <w:lang w:eastAsia="en-US"/>
        </w:rPr>
        <w:t>denetiminde</w:t>
      </w:r>
      <w:r w:rsidRPr="00DC14B2">
        <w:rPr>
          <w:rFonts w:ascii="Times New Roman" w:hAnsi="Times New Roman"/>
          <w:sz w:val="24"/>
          <w:szCs w:val="24"/>
        </w:rPr>
        <w:t xml:space="preserve"> denetçinin, BDS 330</w:t>
      </w:r>
      <w:r w:rsidRPr="00BB53F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BB53FB">
        <w:rPr>
          <w:rFonts w:ascii="Times New Roman" w:hAnsi="Times New Roman"/>
          <w:sz w:val="24"/>
          <w:szCs w:val="24"/>
        </w:rPr>
        <w:t>,  BDS 500</w:t>
      </w:r>
      <w:r w:rsidRPr="00BB53F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BB53FB">
        <w:rPr>
          <w:rFonts w:ascii="Times New Roman" w:hAnsi="Times New Roman"/>
          <w:sz w:val="24"/>
          <w:szCs w:val="24"/>
        </w:rPr>
        <w:t xml:space="preserve"> ve diğer ilgili BDS’ler uyarınca </w:t>
      </w:r>
      <w:r w:rsidRPr="00BB53FB">
        <w:rPr>
          <w:rFonts w:ascii="Times New Roman" w:hAnsi="Times New Roman"/>
          <w:sz w:val="24"/>
          <w:szCs w:val="24"/>
          <w:lang w:eastAsia="en-US"/>
        </w:rPr>
        <w:t>yeterli</w:t>
      </w:r>
      <w:r w:rsidRPr="00BB53FB">
        <w:rPr>
          <w:rFonts w:ascii="Times New Roman" w:hAnsi="Times New Roman"/>
          <w:sz w:val="24"/>
          <w:szCs w:val="24"/>
        </w:rPr>
        <w:t xml:space="preserve"> ve uygun denetim kanıtı elde ederken</w:t>
      </w:r>
      <w:r w:rsidRPr="00DC14B2">
        <w:rPr>
          <w:rFonts w:ascii="Times New Roman" w:hAnsi="Times New Roman"/>
          <w:sz w:val="24"/>
          <w:szCs w:val="24"/>
        </w:rPr>
        <w:t xml:space="preserve"> stoklar, işletmenin dâhil olduğu dava ve iddialar ve bölüm bilgileriyle ilgili özel olarak dikkate alacağı hususları düzenler.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9F6" w:rsidRPr="0077035B" w:rsidRDefault="009A39F6" w:rsidP="00143295">
      <w:pPr>
        <w:keepNext/>
        <w:spacing w:before="120"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7035B">
        <w:rPr>
          <w:rFonts w:ascii="Times New Roman" w:hAnsi="Times New Roman"/>
          <w:b/>
          <w:sz w:val="24"/>
          <w:szCs w:val="24"/>
          <w:lang w:eastAsia="en-US"/>
        </w:rPr>
        <w:t>Yürürlük Tarihi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2.</w:t>
      </w:r>
      <w:r w:rsidRPr="0077035B">
        <w:rPr>
          <w:rFonts w:ascii="Times New Roman" w:hAnsi="Times New Roman"/>
          <w:sz w:val="24"/>
          <w:szCs w:val="24"/>
        </w:rPr>
        <w:tab/>
      </w:r>
      <w:r w:rsidRPr="00870DD1">
        <w:rPr>
          <w:rFonts w:ascii="Times New Roman" w:hAnsi="Times New Roman"/>
          <w:sz w:val="24"/>
          <w:szCs w:val="24"/>
        </w:rPr>
        <w:t>Bu BDS, 1/1/2013 tarihinde ve sonrasında başlayacak hesap dönemlerinden itibaren uygulanmak üzere yayımı tarihinde yürürlüğe girer.</w:t>
      </w:r>
    </w:p>
    <w:p w:rsidR="009A39F6" w:rsidRPr="001F2C6B" w:rsidRDefault="009A39F6" w:rsidP="00143295">
      <w:pPr>
        <w:keepNext/>
        <w:spacing w:before="120" w:after="120"/>
        <w:jc w:val="both"/>
        <w:rPr>
          <w:rFonts w:ascii="Times New Roman" w:hAnsi="Times New Roman"/>
          <w:b/>
          <w:sz w:val="27"/>
          <w:szCs w:val="27"/>
          <w:lang w:eastAsia="en-US"/>
        </w:rPr>
      </w:pPr>
      <w:r w:rsidRPr="001F2C6B">
        <w:rPr>
          <w:rFonts w:ascii="Times New Roman" w:hAnsi="Times New Roman"/>
          <w:b/>
          <w:sz w:val="27"/>
          <w:szCs w:val="27"/>
          <w:lang w:eastAsia="en-US"/>
        </w:rPr>
        <w:t>Amaç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Denetçinin amacı</w:t>
      </w:r>
      <w:r>
        <w:rPr>
          <w:rFonts w:ascii="Times New Roman" w:hAnsi="Times New Roman"/>
          <w:sz w:val="24"/>
          <w:szCs w:val="24"/>
        </w:rPr>
        <w:t>;</w:t>
      </w:r>
      <w:r w:rsidRPr="0077035B">
        <w:rPr>
          <w:rFonts w:ascii="Times New Roman" w:hAnsi="Times New Roman"/>
          <w:sz w:val="24"/>
          <w:szCs w:val="24"/>
        </w:rPr>
        <w:t xml:space="preserve"> </w:t>
      </w:r>
    </w:p>
    <w:p w:rsidR="009A39F6" w:rsidRPr="0077035B" w:rsidRDefault="009A39F6" w:rsidP="00143295">
      <w:pPr>
        <w:pStyle w:val="ListParagraph"/>
        <w:numPr>
          <w:ilvl w:val="0"/>
          <w:numId w:val="4"/>
        </w:numPr>
        <w:spacing w:before="120" w:after="120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035B">
        <w:rPr>
          <w:rFonts w:ascii="Times New Roman" w:hAnsi="Times New Roman"/>
          <w:sz w:val="24"/>
          <w:szCs w:val="24"/>
          <w:lang w:eastAsia="en-US"/>
        </w:rPr>
        <w:t xml:space="preserve">Stokların </w:t>
      </w:r>
      <w:r w:rsidRPr="005725AB">
        <w:rPr>
          <w:rFonts w:ascii="Times New Roman" w:hAnsi="Times New Roman"/>
          <w:sz w:val="24"/>
          <w:szCs w:val="24"/>
          <w:lang w:eastAsia="en-US"/>
        </w:rPr>
        <w:t>mevcudiyeti</w:t>
      </w:r>
      <w:r>
        <w:rPr>
          <w:rFonts w:ascii="Times New Roman" w:hAnsi="Times New Roman"/>
          <w:sz w:val="24"/>
          <w:szCs w:val="24"/>
          <w:lang w:eastAsia="en-US"/>
        </w:rPr>
        <w:t xml:space="preserve"> (var olması)</w:t>
      </w:r>
      <w:r w:rsidRPr="0077035B">
        <w:rPr>
          <w:rFonts w:ascii="Times New Roman" w:hAnsi="Times New Roman"/>
          <w:sz w:val="24"/>
          <w:szCs w:val="24"/>
          <w:lang w:eastAsia="en-US"/>
        </w:rPr>
        <w:t xml:space="preserve"> ve durumu</w:t>
      </w:r>
      <w:r>
        <w:rPr>
          <w:rFonts w:ascii="Times New Roman" w:hAnsi="Times New Roman"/>
          <w:sz w:val="24"/>
          <w:szCs w:val="24"/>
          <w:lang w:eastAsia="en-US"/>
        </w:rPr>
        <w:t>na,</w:t>
      </w:r>
    </w:p>
    <w:p w:rsidR="009A39F6" w:rsidRPr="0077035B" w:rsidRDefault="009A39F6" w:rsidP="00143295">
      <w:pPr>
        <w:pStyle w:val="ListParagraph"/>
        <w:numPr>
          <w:ilvl w:val="0"/>
          <w:numId w:val="4"/>
        </w:numPr>
        <w:spacing w:before="120" w:after="120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035B">
        <w:rPr>
          <w:rFonts w:ascii="Times New Roman" w:hAnsi="Times New Roman"/>
          <w:sz w:val="24"/>
          <w:szCs w:val="24"/>
          <w:lang w:eastAsia="en-US"/>
        </w:rPr>
        <w:t>İşletmenin dâhil olduğu dava ve iddiaların</w:t>
      </w:r>
      <w:r>
        <w:rPr>
          <w:rFonts w:ascii="Times New Roman" w:hAnsi="Times New Roman"/>
          <w:sz w:val="24"/>
          <w:szCs w:val="24"/>
          <w:lang w:eastAsia="en-US"/>
        </w:rPr>
        <w:t xml:space="preserve"> (hukuki anlaşmazlıkların)</w:t>
      </w:r>
      <w:r w:rsidRPr="0077035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tamlığına, </w:t>
      </w:r>
    </w:p>
    <w:p w:rsidR="009A39F6" w:rsidRDefault="009A39F6" w:rsidP="00143295">
      <w:pPr>
        <w:pStyle w:val="ListParagraph"/>
        <w:numPr>
          <w:ilvl w:val="0"/>
          <w:numId w:val="4"/>
        </w:numPr>
        <w:spacing w:before="120" w:after="120"/>
        <w:ind w:hanging="72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Faaliyet b</w:t>
      </w:r>
      <w:r w:rsidRPr="0077035B">
        <w:rPr>
          <w:rFonts w:ascii="Times New Roman" w:hAnsi="Times New Roman"/>
          <w:sz w:val="24"/>
          <w:szCs w:val="24"/>
          <w:lang w:eastAsia="en-US"/>
        </w:rPr>
        <w:t>ölümler</w:t>
      </w:r>
      <w:r>
        <w:rPr>
          <w:rFonts w:ascii="Times New Roman" w:hAnsi="Times New Roman"/>
          <w:sz w:val="24"/>
          <w:szCs w:val="24"/>
          <w:lang w:eastAsia="en-US"/>
        </w:rPr>
        <w:t>in</w:t>
      </w:r>
      <w:r w:rsidRPr="0077035B">
        <w:rPr>
          <w:rFonts w:ascii="Times New Roman" w:hAnsi="Times New Roman"/>
          <w:sz w:val="24"/>
          <w:szCs w:val="24"/>
          <w:lang w:eastAsia="en-US"/>
        </w:rPr>
        <w:t xml:space="preserve">e ilişkin bilgilerin </w:t>
      </w:r>
      <w:r>
        <w:rPr>
          <w:rFonts w:ascii="Times New Roman" w:hAnsi="Times New Roman"/>
          <w:sz w:val="24"/>
          <w:szCs w:val="24"/>
          <w:lang w:eastAsia="en-US"/>
        </w:rPr>
        <w:t xml:space="preserve">geçerli finansal raporlama çerçevesine uygun olarak </w:t>
      </w:r>
      <w:r w:rsidRPr="0077035B">
        <w:rPr>
          <w:rFonts w:ascii="Times New Roman" w:hAnsi="Times New Roman"/>
          <w:sz w:val="24"/>
          <w:szCs w:val="24"/>
          <w:lang w:eastAsia="en-US"/>
        </w:rPr>
        <w:t>sunulması ve açıklanması</w:t>
      </w:r>
      <w:r>
        <w:rPr>
          <w:rFonts w:ascii="Times New Roman" w:hAnsi="Times New Roman"/>
          <w:sz w:val="24"/>
          <w:szCs w:val="24"/>
          <w:lang w:eastAsia="en-US"/>
        </w:rPr>
        <w:t>na</w:t>
      </w:r>
    </w:p>
    <w:p w:rsidR="009A39F6" w:rsidRPr="00143295" w:rsidRDefault="009A39F6" w:rsidP="00143295">
      <w:pPr>
        <w:spacing w:before="120" w:after="12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ilişkin </w:t>
      </w:r>
      <w:r w:rsidRPr="00143295">
        <w:rPr>
          <w:rFonts w:ascii="Times New Roman" w:hAnsi="Times New Roman"/>
          <w:sz w:val="24"/>
          <w:szCs w:val="24"/>
        </w:rPr>
        <w:t>yeterli ve uygun denetim kanıtı elde etmektir</w:t>
      </w:r>
      <w:r>
        <w:rPr>
          <w:rFonts w:ascii="Times New Roman" w:hAnsi="Times New Roman"/>
          <w:sz w:val="24"/>
          <w:szCs w:val="24"/>
        </w:rPr>
        <w:t>.</w:t>
      </w:r>
    </w:p>
    <w:p w:rsidR="009A39F6" w:rsidRPr="001F2C6B" w:rsidRDefault="009A39F6" w:rsidP="00143295">
      <w:pPr>
        <w:spacing w:before="120" w:after="120"/>
        <w:jc w:val="both"/>
        <w:rPr>
          <w:rFonts w:ascii="Times New Roman" w:hAnsi="Times New Roman"/>
          <w:b/>
          <w:sz w:val="27"/>
          <w:szCs w:val="27"/>
          <w:lang w:eastAsia="en-US"/>
        </w:rPr>
      </w:pPr>
      <w:r w:rsidRPr="001F2C6B">
        <w:rPr>
          <w:rFonts w:ascii="Times New Roman" w:hAnsi="Times New Roman"/>
          <w:b/>
          <w:sz w:val="27"/>
          <w:szCs w:val="27"/>
          <w:lang w:eastAsia="en-US"/>
        </w:rPr>
        <w:t>Ana Hükümler</w:t>
      </w:r>
    </w:p>
    <w:p w:rsidR="009A39F6" w:rsidRPr="0077035B" w:rsidRDefault="009A39F6" w:rsidP="00143295">
      <w:pPr>
        <w:keepNext/>
        <w:spacing w:before="120"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7035B">
        <w:rPr>
          <w:rFonts w:ascii="Times New Roman" w:hAnsi="Times New Roman"/>
          <w:b/>
          <w:sz w:val="24"/>
          <w:szCs w:val="24"/>
          <w:lang w:eastAsia="en-US"/>
        </w:rPr>
        <w:t xml:space="preserve">Stoklar 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Stokların finansal tablolar </w:t>
      </w:r>
      <w:r w:rsidRPr="002D0BA8">
        <w:rPr>
          <w:rFonts w:ascii="Times New Roman" w:hAnsi="Times New Roman"/>
          <w:sz w:val="24"/>
          <w:szCs w:val="24"/>
        </w:rPr>
        <w:t>açısından</w:t>
      </w:r>
      <w:r w:rsidRPr="0077035B">
        <w:rPr>
          <w:rFonts w:ascii="Times New Roman" w:hAnsi="Times New Roman"/>
          <w:sz w:val="24"/>
          <w:szCs w:val="24"/>
        </w:rPr>
        <w:t xml:space="preserve"> önemli olması durumunda denetçi, aşağıdakileri gerçekleştir</w:t>
      </w:r>
      <w:r>
        <w:rPr>
          <w:rFonts w:ascii="Times New Roman" w:hAnsi="Times New Roman"/>
          <w:sz w:val="24"/>
          <w:szCs w:val="24"/>
        </w:rPr>
        <w:t>mek suretiyle</w:t>
      </w:r>
      <w:r w:rsidRPr="0077035B">
        <w:rPr>
          <w:rFonts w:ascii="Times New Roman" w:hAnsi="Times New Roman"/>
          <w:sz w:val="24"/>
          <w:szCs w:val="24"/>
        </w:rPr>
        <w:t xml:space="preserve"> stokların </w:t>
      </w:r>
      <w:r w:rsidRPr="005725AB">
        <w:rPr>
          <w:rFonts w:ascii="Times New Roman" w:hAnsi="Times New Roman"/>
          <w:sz w:val="24"/>
          <w:szCs w:val="24"/>
        </w:rPr>
        <w:t>mevcudiyeti</w:t>
      </w:r>
      <w:r w:rsidRPr="0077035B">
        <w:rPr>
          <w:rFonts w:ascii="Times New Roman" w:hAnsi="Times New Roman"/>
          <w:sz w:val="24"/>
          <w:szCs w:val="24"/>
        </w:rPr>
        <w:t xml:space="preserve"> ve durumuna ilişkin yeterli ve uygun denetim kanıtı elde eder: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9F6" w:rsidRPr="00143295" w:rsidRDefault="009A39F6" w:rsidP="00143295">
      <w:pPr>
        <w:pStyle w:val="ListParagraph"/>
        <w:numPr>
          <w:ilvl w:val="0"/>
          <w:numId w:val="5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  <w:lang w:eastAsia="en-US"/>
        </w:rPr>
        <w:t>Mümkün olan hâllerde, aşağıdakileri gerçekleştirmek için fiziki stok sayımına katılım</w:t>
      </w:r>
      <w:r w:rsidRPr="00143295">
        <w:rPr>
          <w:rFonts w:ascii="Times New Roman" w:hAnsi="Times New Roman"/>
          <w:sz w:val="24"/>
          <w:szCs w:val="24"/>
        </w:rPr>
        <w:t xml:space="preserve"> (Bakınız: A1-A3 paragrafları): </w:t>
      </w:r>
    </w:p>
    <w:p w:rsidR="009A39F6" w:rsidRPr="0077035B" w:rsidRDefault="009A39F6" w:rsidP="00143295">
      <w:pPr>
        <w:spacing w:before="120" w:after="120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  <w:t>Y</w:t>
      </w:r>
      <w:r w:rsidRPr="0077035B">
        <w:rPr>
          <w:rFonts w:ascii="Times New Roman" w:hAnsi="Times New Roman"/>
          <w:sz w:val="24"/>
          <w:szCs w:val="24"/>
        </w:rPr>
        <w:t>önetimin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7035B">
        <w:rPr>
          <w:rFonts w:ascii="Times New Roman" w:hAnsi="Times New Roman"/>
          <w:sz w:val="24"/>
          <w:szCs w:val="24"/>
        </w:rPr>
        <w:t xml:space="preserve">şletmenin </w:t>
      </w:r>
      <w:r w:rsidRPr="0077035B">
        <w:rPr>
          <w:rFonts w:ascii="Times New Roman" w:hAnsi="Times New Roman"/>
          <w:sz w:val="24"/>
          <w:szCs w:val="24"/>
          <w:lang w:eastAsia="en-US"/>
        </w:rPr>
        <w:t>fiziki</w:t>
      </w:r>
      <w:r w:rsidRPr="0077035B">
        <w:rPr>
          <w:rFonts w:ascii="Times New Roman" w:hAnsi="Times New Roman"/>
          <w:sz w:val="24"/>
          <w:szCs w:val="24"/>
        </w:rPr>
        <w:t xml:space="preserve"> stok sayımı sonuçlarını</w:t>
      </w:r>
      <w:r>
        <w:rPr>
          <w:rFonts w:ascii="Times New Roman" w:hAnsi="Times New Roman"/>
          <w:sz w:val="24"/>
          <w:szCs w:val="24"/>
        </w:rPr>
        <w:t>n kayıt ve kontrol edilmesine yönelik</w:t>
      </w:r>
      <w:r w:rsidRPr="0077035B">
        <w:rPr>
          <w:rFonts w:ascii="Times New Roman" w:hAnsi="Times New Roman"/>
          <w:sz w:val="24"/>
          <w:szCs w:val="24"/>
        </w:rPr>
        <w:t xml:space="preserve"> talimat ve prosedürlerin</w:t>
      </w:r>
      <w:r>
        <w:rPr>
          <w:rFonts w:ascii="Times New Roman" w:hAnsi="Times New Roman"/>
          <w:sz w:val="24"/>
          <w:szCs w:val="24"/>
        </w:rPr>
        <w:t>i</w:t>
      </w:r>
      <w:r w:rsidRPr="0077035B">
        <w:rPr>
          <w:rFonts w:ascii="Times New Roman" w:hAnsi="Times New Roman"/>
          <w:sz w:val="24"/>
          <w:szCs w:val="24"/>
        </w:rPr>
        <w:t xml:space="preserve"> değerlendi</w:t>
      </w:r>
      <w:r>
        <w:rPr>
          <w:rFonts w:ascii="Times New Roman" w:hAnsi="Times New Roman"/>
          <w:sz w:val="24"/>
          <w:szCs w:val="24"/>
        </w:rPr>
        <w:t>rmek</w:t>
      </w:r>
      <w:r w:rsidRPr="0077035B">
        <w:rPr>
          <w:rFonts w:ascii="Times New Roman" w:hAnsi="Times New Roman"/>
          <w:sz w:val="24"/>
          <w:szCs w:val="24"/>
        </w:rPr>
        <w:t xml:space="preserve"> (Bakınız: A4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</w:t>
      </w:r>
    </w:p>
    <w:p w:rsidR="009A39F6" w:rsidRPr="0077035B" w:rsidRDefault="009A39F6" w:rsidP="00143295">
      <w:pPr>
        <w:spacing w:before="120" w:after="120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Yönetimin sayım</w:t>
      </w:r>
      <w:r>
        <w:rPr>
          <w:rFonts w:ascii="Times New Roman" w:hAnsi="Times New Roman"/>
          <w:sz w:val="24"/>
          <w:szCs w:val="24"/>
        </w:rPr>
        <w:t>a ilişkin prosedürlerinin uygulanmasını gözlemlemek</w:t>
      </w:r>
      <w:r w:rsidRPr="0077035B">
        <w:rPr>
          <w:rFonts w:ascii="Times New Roman" w:hAnsi="Times New Roman"/>
          <w:sz w:val="24"/>
          <w:szCs w:val="24"/>
        </w:rPr>
        <w:t xml:space="preserve"> (Bakınız: A5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  <w:r>
        <w:rPr>
          <w:rFonts w:ascii="Times New Roman" w:hAnsi="Times New Roman"/>
          <w:sz w:val="24"/>
          <w:szCs w:val="24"/>
        </w:rPr>
        <w:t>,</w:t>
      </w:r>
    </w:p>
    <w:p w:rsidR="009A39F6" w:rsidRDefault="009A39F6" w:rsidP="00143295">
      <w:pPr>
        <w:spacing w:before="120" w:after="120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Stokları tetkik e</w:t>
      </w:r>
      <w:r>
        <w:rPr>
          <w:rFonts w:ascii="Times New Roman" w:hAnsi="Times New Roman"/>
          <w:sz w:val="24"/>
          <w:szCs w:val="24"/>
        </w:rPr>
        <w:t>tmek (Bakınız: A6 paragrafı),</w:t>
      </w:r>
    </w:p>
    <w:p w:rsidR="009A39F6" w:rsidRPr="0077035B" w:rsidRDefault="009A39F6" w:rsidP="00143295">
      <w:pPr>
        <w:spacing w:before="120" w:after="120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(iv)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Test sayımlarını</w:t>
      </w:r>
      <w:r>
        <w:rPr>
          <w:rFonts w:ascii="Times New Roman" w:hAnsi="Times New Roman"/>
          <w:sz w:val="24"/>
          <w:szCs w:val="24"/>
        </w:rPr>
        <w:t xml:space="preserve"> yapmak </w:t>
      </w:r>
      <w:r w:rsidRPr="0077035B">
        <w:rPr>
          <w:rFonts w:ascii="Times New Roman" w:hAnsi="Times New Roman"/>
          <w:sz w:val="24"/>
          <w:szCs w:val="24"/>
        </w:rPr>
        <w:t xml:space="preserve">(Bakınız: A7-A8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aragrafları)</w:t>
      </w:r>
      <w:r>
        <w:rPr>
          <w:rFonts w:ascii="Times New Roman" w:hAnsi="Times New Roman"/>
          <w:sz w:val="24"/>
          <w:szCs w:val="24"/>
        </w:rPr>
        <w:t>.</w:t>
      </w:r>
      <w:r w:rsidRPr="0077035B">
        <w:rPr>
          <w:rFonts w:ascii="Times New Roman" w:hAnsi="Times New Roman"/>
          <w:sz w:val="24"/>
          <w:szCs w:val="24"/>
        </w:rPr>
        <w:t xml:space="preserve"> </w:t>
      </w:r>
    </w:p>
    <w:p w:rsidR="009A39F6" w:rsidRPr="00143295" w:rsidRDefault="009A39F6" w:rsidP="00143295">
      <w:pPr>
        <w:pStyle w:val="ListParagraph"/>
        <w:numPr>
          <w:ilvl w:val="0"/>
          <w:numId w:val="5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EF7">
        <w:rPr>
          <w:rFonts w:ascii="Times New Roman" w:hAnsi="Times New Roman"/>
          <w:sz w:val="24"/>
          <w:szCs w:val="24"/>
        </w:rPr>
        <w:t>İşletmenin nihai stok kayıtları</w:t>
      </w:r>
      <w:r>
        <w:rPr>
          <w:rFonts w:ascii="Times New Roman" w:hAnsi="Times New Roman"/>
          <w:sz w:val="24"/>
          <w:szCs w:val="24"/>
        </w:rPr>
        <w:t>nın</w:t>
      </w:r>
      <w:r w:rsidRPr="00942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43295">
        <w:rPr>
          <w:rFonts w:ascii="Times New Roman" w:hAnsi="Times New Roman"/>
          <w:sz w:val="24"/>
          <w:szCs w:val="24"/>
        </w:rPr>
        <w:t xml:space="preserve">tok sayım </w:t>
      </w:r>
      <w:r w:rsidRPr="00143295">
        <w:rPr>
          <w:rFonts w:ascii="Times New Roman" w:hAnsi="Times New Roman"/>
          <w:sz w:val="24"/>
          <w:szCs w:val="24"/>
          <w:lang w:eastAsia="en-US"/>
        </w:rPr>
        <w:t>sonuçlarını</w:t>
      </w:r>
      <w:r w:rsidRPr="00143295">
        <w:rPr>
          <w:rFonts w:ascii="Times New Roman" w:hAnsi="Times New Roman"/>
          <w:sz w:val="24"/>
          <w:szCs w:val="24"/>
        </w:rPr>
        <w:t xml:space="preserve"> doğru bir şekilde yansıtıp yansıtmadığın</w:t>
      </w:r>
      <w:r>
        <w:rPr>
          <w:rFonts w:ascii="Times New Roman" w:hAnsi="Times New Roman"/>
          <w:sz w:val="24"/>
          <w:szCs w:val="24"/>
        </w:rPr>
        <w:t xml:space="preserve">a karar vermek </w:t>
      </w:r>
      <w:r w:rsidRPr="00143295">
        <w:rPr>
          <w:rFonts w:ascii="Times New Roman" w:hAnsi="Times New Roman"/>
          <w:sz w:val="24"/>
          <w:szCs w:val="24"/>
        </w:rPr>
        <w:t xml:space="preserve">için </w:t>
      </w:r>
      <w:r>
        <w:rPr>
          <w:rFonts w:ascii="Times New Roman" w:hAnsi="Times New Roman"/>
          <w:sz w:val="24"/>
          <w:szCs w:val="24"/>
        </w:rPr>
        <w:t xml:space="preserve">söz konusu kayıtlarla </w:t>
      </w:r>
      <w:r w:rsidRPr="00143295">
        <w:rPr>
          <w:rFonts w:ascii="Times New Roman" w:hAnsi="Times New Roman"/>
          <w:sz w:val="24"/>
          <w:szCs w:val="24"/>
        </w:rPr>
        <w:t>ilgili denetim prosedürlerini uygula</w:t>
      </w:r>
      <w:r>
        <w:rPr>
          <w:rFonts w:ascii="Times New Roman" w:hAnsi="Times New Roman"/>
          <w:sz w:val="24"/>
          <w:szCs w:val="24"/>
        </w:rPr>
        <w:t>mak.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5.</w:t>
      </w:r>
      <w:r w:rsidRPr="0077035B">
        <w:rPr>
          <w:rFonts w:ascii="Times New Roman" w:hAnsi="Times New Roman"/>
          <w:sz w:val="24"/>
          <w:szCs w:val="24"/>
        </w:rPr>
        <w:tab/>
        <w:t xml:space="preserve">Fiziki stok sayımının finansal tablo tarihinden </w:t>
      </w:r>
      <w:r>
        <w:rPr>
          <w:rFonts w:ascii="Times New Roman" w:hAnsi="Times New Roman"/>
          <w:sz w:val="24"/>
          <w:szCs w:val="24"/>
        </w:rPr>
        <w:t>farklı</w:t>
      </w:r>
      <w:r w:rsidRPr="0077035B">
        <w:rPr>
          <w:rFonts w:ascii="Times New Roman" w:hAnsi="Times New Roman"/>
          <w:sz w:val="24"/>
          <w:szCs w:val="24"/>
        </w:rPr>
        <w:t xml:space="preserve"> bir tarihte yapılması durumunda denetçi, sayım tarihi ile finansal tablo tarihi arasında stoklarda meydana gelen değişikli</w:t>
      </w:r>
      <w:r>
        <w:rPr>
          <w:rFonts w:ascii="Times New Roman" w:hAnsi="Times New Roman"/>
          <w:sz w:val="24"/>
          <w:szCs w:val="24"/>
        </w:rPr>
        <w:t>kler</w:t>
      </w:r>
      <w:r w:rsidRPr="0077035B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uygun olarak</w:t>
      </w:r>
      <w:r w:rsidRPr="0077035B">
        <w:rPr>
          <w:rFonts w:ascii="Times New Roman" w:hAnsi="Times New Roman"/>
          <w:sz w:val="24"/>
          <w:szCs w:val="24"/>
        </w:rPr>
        <w:t xml:space="preserve"> kaydedilip kaydedilmediğine ilişkin denetim kanıtı elde etmek için 4 üncü paragraf </w:t>
      </w:r>
      <w:r>
        <w:rPr>
          <w:rFonts w:ascii="Times New Roman" w:hAnsi="Times New Roman"/>
          <w:sz w:val="24"/>
          <w:szCs w:val="24"/>
        </w:rPr>
        <w:t>uyarınca</w:t>
      </w:r>
      <w:r w:rsidRPr="0077035B">
        <w:rPr>
          <w:rFonts w:ascii="Times New Roman" w:hAnsi="Times New Roman"/>
          <w:sz w:val="24"/>
          <w:szCs w:val="24"/>
        </w:rPr>
        <w:t xml:space="preserve"> zorunlu kılınan prosedürlere </w:t>
      </w:r>
      <w:r w:rsidRPr="00BB53FB">
        <w:rPr>
          <w:rFonts w:ascii="Times New Roman" w:hAnsi="Times New Roman"/>
          <w:sz w:val="24"/>
          <w:szCs w:val="24"/>
        </w:rPr>
        <w:t>ek olarak, denetim prosedürlerini uygular (Bakınız: A9</w:t>
      </w:r>
      <w:r w:rsidRPr="00DC14B2">
        <w:rPr>
          <w:rFonts w:ascii="Times New Roman" w:hAnsi="Times New Roman"/>
          <w:sz w:val="24"/>
          <w:szCs w:val="24"/>
        </w:rPr>
        <w:t>-A11 paragrafları).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>
        <w:rPr>
          <w:rFonts w:ascii="Times New Roman" w:hAnsi="Times New Roman"/>
          <w:sz w:val="24"/>
          <w:szCs w:val="24"/>
        </w:rPr>
        <w:tab/>
        <w:t>Ö</w:t>
      </w:r>
      <w:r w:rsidRPr="0077035B">
        <w:rPr>
          <w:rFonts w:ascii="Times New Roman" w:hAnsi="Times New Roman"/>
          <w:sz w:val="24"/>
          <w:szCs w:val="24"/>
        </w:rPr>
        <w:t>ngörülemeyen durumlardan dolayı fiziki stok sayımına katılamaması durumunda denetçi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bazı </w:t>
      </w:r>
      <w:r w:rsidRPr="0077035B">
        <w:rPr>
          <w:rFonts w:ascii="Times New Roman" w:hAnsi="Times New Roman"/>
          <w:sz w:val="24"/>
          <w:szCs w:val="24"/>
        </w:rPr>
        <w:t>fizik</w:t>
      </w:r>
      <w:r>
        <w:rPr>
          <w:rFonts w:ascii="Times New Roman" w:hAnsi="Times New Roman"/>
          <w:sz w:val="24"/>
          <w:szCs w:val="24"/>
        </w:rPr>
        <w:t>i</w:t>
      </w:r>
      <w:r w:rsidRPr="0077035B">
        <w:rPr>
          <w:rFonts w:ascii="Times New Roman" w:hAnsi="Times New Roman"/>
          <w:sz w:val="24"/>
          <w:szCs w:val="24"/>
        </w:rPr>
        <w:t xml:space="preserve"> sayımları başka bir tarihte yapar veya gözlemler ve daha önceki sayım ile bu sayım arasında gerçekleşen işlemlere denetim prosedürlerini uygular.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7.    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Fiziki stok sayımına katılım mümkün değilse denetçi, stokların mevcudiyeti ve durumu</w:t>
      </w:r>
      <w:r>
        <w:rPr>
          <w:rFonts w:ascii="Times New Roman" w:hAnsi="Times New Roman"/>
          <w:sz w:val="24"/>
          <w:szCs w:val="24"/>
        </w:rPr>
        <w:t>yla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 w:rsidRPr="00986A90">
        <w:rPr>
          <w:rFonts w:ascii="Times New Roman" w:hAnsi="Times New Roman"/>
          <w:sz w:val="24"/>
          <w:szCs w:val="24"/>
        </w:rPr>
        <w:t>ilgili yeterli ve uygun denetim kanıtı elde etmek için alternatif denetim prosedürleri uygular. Bunun mümkün olmaması durumunda denetçi, BDS 705</w:t>
      </w:r>
      <w:r w:rsidRPr="00986A90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986A90">
        <w:rPr>
          <w:rFonts w:ascii="Times New Roman" w:hAnsi="Times New Roman"/>
          <w:sz w:val="24"/>
          <w:szCs w:val="24"/>
        </w:rPr>
        <w:t xml:space="preserve"> uyarınca olumlu görüş dışında bir görüş verir (Bakınız</w:t>
      </w:r>
      <w:r w:rsidRPr="0077035B">
        <w:rPr>
          <w:rFonts w:ascii="Times New Roman" w:hAnsi="Times New Roman"/>
          <w:sz w:val="24"/>
          <w:szCs w:val="24"/>
        </w:rPr>
        <w:t>: A12</w:t>
      </w:r>
      <w:r>
        <w:rPr>
          <w:rFonts w:ascii="Times New Roman" w:hAnsi="Times New Roman"/>
          <w:sz w:val="24"/>
          <w:szCs w:val="24"/>
        </w:rPr>
        <w:t>-</w:t>
      </w:r>
      <w:r w:rsidRPr="0077035B">
        <w:rPr>
          <w:rFonts w:ascii="Times New Roman" w:hAnsi="Times New Roman"/>
          <w:sz w:val="24"/>
          <w:szCs w:val="24"/>
        </w:rPr>
        <w:t xml:space="preserve">A14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aragrafları).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8.</w:t>
      </w:r>
      <w:r w:rsidRPr="0077035B">
        <w:rPr>
          <w:rFonts w:ascii="Times New Roman" w:hAnsi="Times New Roman"/>
          <w:sz w:val="24"/>
          <w:szCs w:val="24"/>
        </w:rPr>
        <w:tab/>
        <w:t xml:space="preserve">Üçüncü bir </w:t>
      </w:r>
      <w:r>
        <w:rPr>
          <w:rFonts w:ascii="Times New Roman" w:hAnsi="Times New Roman"/>
          <w:sz w:val="24"/>
          <w:szCs w:val="24"/>
        </w:rPr>
        <w:t>tarafın</w:t>
      </w:r>
      <w:r w:rsidRPr="0077035B">
        <w:rPr>
          <w:rFonts w:ascii="Times New Roman" w:hAnsi="Times New Roman"/>
          <w:sz w:val="24"/>
          <w:szCs w:val="24"/>
        </w:rPr>
        <w:t xml:space="preserve"> emanetinde ve kontrolü altında bulunan stokların finansal tablol</w:t>
      </w:r>
      <w:r>
        <w:rPr>
          <w:rFonts w:ascii="Times New Roman" w:hAnsi="Times New Roman"/>
          <w:sz w:val="24"/>
          <w:szCs w:val="24"/>
        </w:rPr>
        <w:t>ar açısından önemli olması durumunda</w:t>
      </w:r>
      <w:r w:rsidRPr="0077035B">
        <w:rPr>
          <w:rFonts w:ascii="Times New Roman" w:hAnsi="Times New Roman"/>
          <w:sz w:val="24"/>
          <w:szCs w:val="24"/>
        </w:rPr>
        <w:t xml:space="preserve"> denetçi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aşağıdaki seçeneklerden birini ya da her ikisini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77035B">
        <w:rPr>
          <w:rFonts w:ascii="Times New Roman" w:hAnsi="Times New Roman"/>
          <w:sz w:val="24"/>
          <w:szCs w:val="24"/>
        </w:rPr>
        <w:t xml:space="preserve">gerçekleştirerek söz konusu stokların </w:t>
      </w:r>
      <w:r w:rsidRPr="005725AB">
        <w:rPr>
          <w:rFonts w:ascii="Times New Roman" w:hAnsi="Times New Roman"/>
          <w:sz w:val="24"/>
          <w:szCs w:val="24"/>
        </w:rPr>
        <w:t>mevcudiyeti</w:t>
      </w:r>
      <w:r w:rsidRPr="0077035B">
        <w:rPr>
          <w:rFonts w:ascii="Times New Roman" w:hAnsi="Times New Roman"/>
          <w:sz w:val="24"/>
          <w:szCs w:val="24"/>
        </w:rPr>
        <w:t xml:space="preserve"> ve durumu</w:t>
      </w:r>
      <w:r>
        <w:rPr>
          <w:rFonts w:ascii="Times New Roman" w:hAnsi="Times New Roman"/>
          <w:sz w:val="24"/>
          <w:szCs w:val="24"/>
        </w:rPr>
        <w:t>yla</w:t>
      </w:r>
      <w:r w:rsidRPr="0077035B">
        <w:rPr>
          <w:rFonts w:ascii="Times New Roman" w:hAnsi="Times New Roman"/>
          <w:sz w:val="24"/>
          <w:szCs w:val="24"/>
        </w:rPr>
        <w:t xml:space="preserve"> ilgili yeterli ve uygun denetim kanıtı elde eder:</w:t>
      </w:r>
    </w:p>
    <w:p w:rsidR="009A39F6" w:rsidRPr="00143295" w:rsidRDefault="009A39F6" w:rsidP="00143295">
      <w:pPr>
        <w:pStyle w:val="ListParagraph"/>
        <w:numPr>
          <w:ilvl w:val="0"/>
          <w:numId w:val="6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3295">
        <w:rPr>
          <w:rFonts w:ascii="Times New Roman" w:hAnsi="Times New Roman"/>
          <w:sz w:val="24"/>
          <w:szCs w:val="24"/>
          <w:lang w:eastAsia="en-US"/>
        </w:rPr>
        <w:t>Üçüncü</w:t>
      </w:r>
      <w:r w:rsidRPr="00143295">
        <w:rPr>
          <w:rFonts w:ascii="Times New Roman" w:hAnsi="Times New Roman"/>
          <w:sz w:val="24"/>
          <w:szCs w:val="24"/>
        </w:rPr>
        <w:t xml:space="preserve"> </w:t>
      </w:r>
      <w:r w:rsidRPr="00143295">
        <w:rPr>
          <w:rFonts w:ascii="Times New Roman" w:hAnsi="Times New Roman"/>
          <w:sz w:val="24"/>
          <w:szCs w:val="24"/>
          <w:lang w:eastAsia="en-US"/>
        </w:rPr>
        <w:t>taraftan</w:t>
      </w:r>
      <w:r w:rsidRPr="00143295">
        <w:rPr>
          <w:rFonts w:ascii="Times New Roman" w:hAnsi="Times New Roman"/>
          <w:sz w:val="24"/>
          <w:szCs w:val="24"/>
        </w:rPr>
        <w:t xml:space="preserve">, işletme adına elde tutulan stokun miktarı ve durumuyla ilgili teyit talep edilmesi (Bakınız: A15 </w:t>
      </w:r>
      <w:r>
        <w:rPr>
          <w:rFonts w:ascii="Times New Roman" w:hAnsi="Times New Roman"/>
          <w:sz w:val="24"/>
          <w:szCs w:val="24"/>
        </w:rPr>
        <w:t>p</w:t>
      </w:r>
      <w:r w:rsidRPr="00143295">
        <w:rPr>
          <w:rFonts w:ascii="Times New Roman" w:hAnsi="Times New Roman"/>
          <w:sz w:val="24"/>
          <w:szCs w:val="24"/>
        </w:rPr>
        <w:t>aragrafı).</w:t>
      </w:r>
    </w:p>
    <w:p w:rsidR="009A39F6" w:rsidRPr="0077035B" w:rsidRDefault="009A39F6" w:rsidP="00143295">
      <w:pPr>
        <w:pStyle w:val="ListParagraph"/>
        <w:numPr>
          <w:ilvl w:val="0"/>
          <w:numId w:val="6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İçinde bulunulan ş</w:t>
      </w:r>
      <w:r w:rsidRPr="0077035B">
        <w:rPr>
          <w:rFonts w:ascii="Times New Roman" w:hAnsi="Times New Roman"/>
          <w:sz w:val="24"/>
          <w:szCs w:val="24"/>
          <w:lang w:eastAsia="en-US"/>
        </w:rPr>
        <w:t>artlar</w:t>
      </w:r>
      <w:r>
        <w:rPr>
          <w:rFonts w:ascii="Times New Roman" w:hAnsi="Times New Roman"/>
          <w:sz w:val="24"/>
          <w:szCs w:val="24"/>
          <w:lang w:eastAsia="en-US"/>
        </w:rPr>
        <w:t xml:space="preserve"> altında</w:t>
      </w:r>
      <w:r w:rsidRPr="0077035B">
        <w:rPr>
          <w:rFonts w:ascii="Times New Roman" w:hAnsi="Times New Roman"/>
          <w:sz w:val="24"/>
          <w:szCs w:val="24"/>
          <w:lang w:eastAsia="en-US"/>
        </w:rPr>
        <w:t xml:space="preserve"> uygun </w:t>
      </w:r>
      <w:r>
        <w:rPr>
          <w:rFonts w:ascii="Times New Roman" w:hAnsi="Times New Roman"/>
          <w:sz w:val="24"/>
          <w:szCs w:val="24"/>
          <w:lang w:eastAsia="en-US"/>
        </w:rPr>
        <w:t xml:space="preserve">olan </w:t>
      </w:r>
      <w:r w:rsidRPr="0077035B">
        <w:rPr>
          <w:rFonts w:ascii="Times New Roman" w:hAnsi="Times New Roman"/>
          <w:sz w:val="24"/>
          <w:szCs w:val="24"/>
          <w:lang w:eastAsia="en-US"/>
        </w:rPr>
        <w:t>tetkik veya diğer denetim pro</w:t>
      </w:r>
      <w:r>
        <w:rPr>
          <w:rFonts w:ascii="Times New Roman" w:hAnsi="Times New Roman"/>
          <w:sz w:val="24"/>
          <w:szCs w:val="24"/>
          <w:lang w:eastAsia="en-US"/>
        </w:rPr>
        <w:t xml:space="preserve">sedürlerinin uygulanması </w:t>
      </w:r>
      <w:r w:rsidRPr="0077035B">
        <w:rPr>
          <w:rFonts w:ascii="Times New Roman" w:hAnsi="Times New Roman"/>
          <w:sz w:val="24"/>
          <w:szCs w:val="24"/>
          <w:lang w:eastAsia="en-US"/>
        </w:rPr>
        <w:t xml:space="preserve">(Bakınız: A16 </w:t>
      </w:r>
      <w:r>
        <w:rPr>
          <w:rFonts w:ascii="Times New Roman" w:hAnsi="Times New Roman"/>
          <w:sz w:val="24"/>
          <w:szCs w:val="24"/>
          <w:lang w:eastAsia="en-US"/>
        </w:rPr>
        <w:t>p</w:t>
      </w:r>
      <w:r w:rsidRPr="0077035B">
        <w:rPr>
          <w:rFonts w:ascii="Times New Roman" w:hAnsi="Times New Roman"/>
          <w:sz w:val="24"/>
          <w:szCs w:val="24"/>
          <w:lang w:eastAsia="en-US"/>
        </w:rPr>
        <w:t>aragrafı).</w:t>
      </w:r>
    </w:p>
    <w:p w:rsidR="009A39F6" w:rsidRPr="0066335A" w:rsidRDefault="009A39F6" w:rsidP="00143295">
      <w:pPr>
        <w:keepNext/>
        <w:spacing w:before="120" w:after="1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6335A">
        <w:rPr>
          <w:rFonts w:ascii="Times New Roman" w:hAnsi="Times New Roman"/>
          <w:b/>
          <w:sz w:val="24"/>
          <w:szCs w:val="24"/>
          <w:lang w:eastAsia="en-US"/>
        </w:rPr>
        <w:t>Dava ve İddialar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9.    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Denetçi, işletmenin dâhil olduğu ve </w:t>
      </w:r>
      <w:r>
        <w:rPr>
          <w:rFonts w:ascii="Times New Roman" w:hAnsi="Times New Roman"/>
          <w:sz w:val="24"/>
          <w:szCs w:val="24"/>
        </w:rPr>
        <w:t>“</w:t>
      </w:r>
      <w:r w:rsidRPr="0077035B">
        <w:rPr>
          <w:rFonts w:ascii="Times New Roman" w:hAnsi="Times New Roman"/>
          <w:sz w:val="24"/>
          <w:szCs w:val="24"/>
        </w:rPr>
        <w:t>önemli yanlışlık</w:t>
      </w:r>
      <w:r>
        <w:rPr>
          <w:rFonts w:ascii="Times New Roman" w:hAnsi="Times New Roman"/>
          <w:sz w:val="24"/>
          <w:szCs w:val="24"/>
        </w:rPr>
        <w:t>”</w:t>
      </w:r>
      <w:r w:rsidRPr="0077035B">
        <w:rPr>
          <w:rFonts w:ascii="Times New Roman" w:hAnsi="Times New Roman"/>
          <w:sz w:val="24"/>
          <w:szCs w:val="24"/>
        </w:rPr>
        <w:t xml:space="preserve"> riskine sebep olabilecek dava ve iddiaları belirlemek için </w:t>
      </w:r>
      <w:r>
        <w:rPr>
          <w:rFonts w:ascii="Times New Roman" w:hAnsi="Times New Roman"/>
          <w:sz w:val="24"/>
          <w:szCs w:val="24"/>
        </w:rPr>
        <w:t>aşağıdakileri içeren</w:t>
      </w:r>
      <w:r w:rsidRPr="0077035B">
        <w:rPr>
          <w:rFonts w:ascii="Times New Roman" w:hAnsi="Times New Roman"/>
          <w:sz w:val="24"/>
          <w:szCs w:val="24"/>
        </w:rPr>
        <w:t xml:space="preserve"> denetim prosedürle</w:t>
      </w:r>
      <w:r>
        <w:rPr>
          <w:rFonts w:ascii="Times New Roman" w:hAnsi="Times New Roman"/>
          <w:sz w:val="24"/>
          <w:szCs w:val="24"/>
        </w:rPr>
        <w:t>rini tasarlar ve uygular</w:t>
      </w:r>
      <w:r w:rsidRPr="0077035B">
        <w:rPr>
          <w:rFonts w:ascii="Times New Roman" w:hAnsi="Times New Roman"/>
          <w:sz w:val="24"/>
          <w:szCs w:val="24"/>
        </w:rPr>
        <w:t xml:space="preserve"> (Bakınız: A17-A19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aragrafları)</w:t>
      </w:r>
      <w:r>
        <w:rPr>
          <w:rFonts w:ascii="Times New Roman" w:hAnsi="Times New Roman"/>
          <w:sz w:val="24"/>
          <w:szCs w:val="24"/>
        </w:rPr>
        <w:t>:</w:t>
      </w:r>
      <w:r w:rsidRPr="0077035B">
        <w:rPr>
          <w:rFonts w:ascii="Times New Roman" w:hAnsi="Times New Roman"/>
          <w:sz w:val="24"/>
          <w:szCs w:val="24"/>
        </w:rPr>
        <w:t xml:space="preserve"> </w:t>
      </w:r>
    </w:p>
    <w:p w:rsidR="009A39F6" w:rsidRPr="0077035B" w:rsidRDefault="009A39F6" w:rsidP="00143295">
      <w:pPr>
        <w:pStyle w:val="ListParagraph"/>
        <w:numPr>
          <w:ilvl w:val="0"/>
          <w:numId w:val="7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Yönetimin</w:t>
      </w:r>
      <w:r w:rsidRPr="0077035B">
        <w:rPr>
          <w:rFonts w:ascii="Times New Roman" w:hAnsi="Times New Roman"/>
          <w:sz w:val="24"/>
          <w:szCs w:val="24"/>
          <w:lang w:eastAsia="en-US"/>
        </w:rPr>
        <w:t xml:space="preserve"> ve </w:t>
      </w:r>
      <w:r>
        <w:rPr>
          <w:rFonts w:ascii="Times New Roman" w:hAnsi="Times New Roman"/>
          <w:sz w:val="24"/>
          <w:szCs w:val="24"/>
          <w:lang w:eastAsia="en-US"/>
        </w:rPr>
        <w:t xml:space="preserve">-uygun </w:t>
      </w:r>
      <w:r w:rsidRPr="00BB53FB">
        <w:rPr>
          <w:rFonts w:ascii="Times New Roman" w:hAnsi="Times New Roman"/>
          <w:sz w:val="24"/>
          <w:szCs w:val="24"/>
          <w:lang w:eastAsia="en-US"/>
        </w:rPr>
        <w:t xml:space="preserve">hâllerde- </w:t>
      </w:r>
      <w:r w:rsidRPr="00143295">
        <w:rPr>
          <w:rFonts w:ascii="Times New Roman" w:hAnsi="Times New Roman"/>
          <w:sz w:val="24"/>
          <w:szCs w:val="24"/>
          <w:lang w:eastAsia="en-US"/>
        </w:rPr>
        <w:t>işletme</w:t>
      </w:r>
      <w:r>
        <w:rPr>
          <w:rFonts w:ascii="Times New Roman" w:hAnsi="Times New Roman"/>
          <w:sz w:val="24"/>
          <w:szCs w:val="24"/>
          <w:lang w:eastAsia="en-US"/>
        </w:rPr>
        <w:t>nin</w:t>
      </w:r>
      <w:r w:rsidRPr="00143295">
        <w:rPr>
          <w:rFonts w:ascii="Times New Roman" w:hAnsi="Times New Roman"/>
          <w:sz w:val="24"/>
          <w:szCs w:val="24"/>
          <w:lang w:eastAsia="en-US"/>
        </w:rPr>
        <w:t xml:space="preserve"> iç hukuk müşaviri de </w:t>
      </w:r>
      <w:r w:rsidRPr="002C7FE3">
        <w:rPr>
          <w:rFonts w:ascii="Times New Roman" w:hAnsi="Times New Roman"/>
          <w:sz w:val="24"/>
          <w:szCs w:val="24"/>
          <w:lang w:eastAsia="en-US"/>
        </w:rPr>
        <w:t>dâhil işletmedeki diğer kişilerin sorgulanması,</w:t>
      </w:r>
    </w:p>
    <w:p w:rsidR="009A39F6" w:rsidRPr="0077035B" w:rsidRDefault="009A39F6" w:rsidP="00143295">
      <w:pPr>
        <w:pStyle w:val="ListParagraph"/>
        <w:numPr>
          <w:ilvl w:val="0"/>
          <w:numId w:val="7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035B">
        <w:rPr>
          <w:rFonts w:ascii="Times New Roman" w:hAnsi="Times New Roman"/>
          <w:sz w:val="24"/>
          <w:szCs w:val="24"/>
          <w:lang w:eastAsia="en-US"/>
        </w:rPr>
        <w:t xml:space="preserve">Üst </w:t>
      </w:r>
      <w:r w:rsidRPr="00BB53FB">
        <w:rPr>
          <w:rFonts w:ascii="Times New Roman" w:hAnsi="Times New Roman"/>
          <w:sz w:val="24"/>
          <w:szCs w:val="24"/>
          <w:lang w:eastAsia="en-US"/>
        </w:rPr>
        <w:t>yönetimden sorumlu olanların yaptığı toplantılara ait tutanakların ve işletme ile işletme</w:t>
      </w:r>
      <w:r>
        <w:rPr>
          <w:rFonts w:ascii="Times New Roman" w:hAnsi="Times New Roman"/>
          <w:sz w:val="24"/>
          <w:szCs w:val="24"/>
          <w:lang w:eastAsia="en-US"/>
        </w:rPr>
        <w:t>nin</w:t>
      </w:r>
      <w:r w:rsidRPr="00BB53FB">
        <w:rPr>
          <w:rFonts w:ascii="Times New Roman" w:hAnsi="Times New Roman"/>
          <w:sz w:val="24"/>
          <w:szCs w:val="24"/>
          <w:lang w:eastAsia="en-US"/>
        </w:rPr>
        <w:t xml:space="preserve"> dış hukuk müşaviri arasında yapılan </w:t>
      </w:r>
      <w:r w:rsidRPr="002C7FE3">
        <w:rPr>
          <w:rFonts w:ascii="Times New Roman" w:hAnsi="Times New Roman"/>
          <w:sz w:val="24"/>
          <w:szCs w:val="24"/>
          <w:lang w:eastAsia="en-US"/>
        </w:rPr>
        <w:t xml:space="preserve">yazışmaların </w:t>
      </w:r>
      <w:r>
        <w:rPr>
          <w:rFonts w:ascii="Times New Roman" w:hAnsi="Times New Roman"/>
          <w:sz w:val="24"/>
          <w:szCs w:val="24"/>
          <w:lang w:eastAsia="en-US"/>
        </w:rPr>
        <w:t>gözden geçirilmesi</w:t>
      </w:r>
      <w:r w:rsidRPr="00BB53FB">
        <w:rPr>
          <w:rFonts w:ascii="Times New Roman" w:hAnsi="Times New Roman"/>
          <w:sz w:val="24"/>
          <w:szCs w:val="24"/>
          <w:lang w:eastAsia="en-US"/>
        </w:rPr>
        <w:t>,</w:t>
      </w:r>
    </w:p>
    <w:p w:rsidR="009A39F6" w:rsidRPr="0077035B" w:rsidRDefault="009A39F6" w:rsidP="00143295">
      <w:pPr>
        <w:pStyle w:val="ListParagraph"/>
        <w:numPr>
          <w:ilvl w:val="0"/>
          <w:numId w:val="7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035B">
        <w:rPr>
          <w:rFonts w:ascii="Times New Roman" w:hAnsi="Times New Roman"/>
          <w:sz w:val="24"/>
          <w:szCs w:val="24"/>
          <w:lang w:eastAsia="en-US"/>
        </w:rPr>
        <w:t xml:space="preserve">Dava giderlerine ilişkin hesapların </w:t>
      </w:r>
      <w:r>
        <w:rPr>
          <w:rFonts w:ascii="Times New Roman" w:hAnsi="Times New Roman"/>
          <w:sz w:val="24"/>
          <w:szCs w:val="24"/>
          <w:lang w:eastAsia="en-US"/>
        </w:rPr>
        <w:t>gözden geçirilmesi</w:t>
      </w:r>
      <w:r w:rsidRPr="0077035B">
        <w:rPr>
          <w:rFonts w:ascii="Times New Roman" w:hAnsi="Times New Roman"/>
          <w:sz w:val="24"/>
          <w:szCs w:val="24"/>
          <w:lang w:eastAsia="en-US"/>
        </w:rPr>
        <w:t xml:space="preserve"> (Bakınız: A20 </w:t>
      </w:r>
      <w:r>
        <w:rPr>
          <w:rFonts w:ascii="Times New Roman" w:hAnsi="Times New Roman"/>
          <w:sz w:val="24"/>
          <w:szCs w:val="24"/>
          <w:lang w:eastAsia="en-US"/>
        </w:rPr>
        <w:t>p</w:t>
      </w:r>
      <w:r w:rsidRPr="0077035B">
        <w:rPr>
          <w:rFonts w:ascii="Times New Roman" w:hAnsi="Times New Roman"/>
          <w:sz w:val="24"/>
          <w:szCs w:val="24"/>
          <w:lang w:eastAsia="en-US"/>
        </w:rPr>
        <w:t>aragrafı)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77035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A39F6" w:rsidRDefault="009A39F6" w:rsidP="008F620D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>
        <w:rPr>
          <w:rFonts w:ascii="Times New Roman" w:hAnsi="Times New Roman"/>
          <w:sz w:val="24"/>
          <w:szCs w:val="24"/>
        </w:rPr>
        <w:tab/>
        <w:t>B</w:t>
      </w:r>
      <w:r w:rsidRPr="0077035B">
        <w:rPr>
          <w:rFonts w:ascii="Times New Roman" w:hAnsi="Times New Roman"/>
          <w:sz w:val="24"/>
          <w:szCs w:val="24"/>
        </w:rPr>
        <w:t xml:space="preserve">elirlenmiş </w:t>
      </w:r>
      <w:r>
        <w:rPr>
          <w:rFonts w:ascii="Times New Roman" w:hAnsi="Times New Roman"/>
          <w:sz w:val="24"/>
          <w:szCs w:val="24"/>
        </w:rPr>
        <w:t>dava veya iddialarla ilgili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77035B">
        <w:rPr>
          <w:rFonts w:ascii="Times New Roman" w:hAnsi="Times New Roman"/>
          <w:sz w:val="24"/>
          <w:szCs w:val="24"/>
        </w:rPr>
        <w:t>önemli yanlışlık</w:t>
      </w:r>
      <w:r>
        <w:rPr>
          <w:rFonts w:ascii="Times New Roman" w:hAnsi="Times New Roman"/>
          <w:sz w:val="24"/>
          <w:szCs w:val="24"/>
        </w:rPr>
        <w:t>”</w:t>
      </w:r>
      <w:r w:rsidRPr="0077035B">
        <w:rPr>
          <w:rFonts w:ascii="Times New Roman" w:hAnsi="Times New Roman"/>
          <w:sz w:val="24"/>
          <w:szCs w:val="24"/>
        </w:rPr>
        <w:t xml:space="preserve"> riskini değerlendirmesi veya uygulanan denetim prosedürlerinin başka önemli dava veya iddia</w:t>
      </w:r>
      <w:r>
        <w:rPr>
          <w:rFonts w:ascii="Times New Roman" w:hAnsi="Times New Roman"/>
          <w:sz w:val="24"/>
          <w:szCs w:val="24"/>
        </w:rPr>
        <w:t>lar</w:t>
      </w:r>
      <w:r w:rsidRPr="0077035B">
        <w:rPr>
          <w:rFonts w:ascii="Times New Roman" w:hAnsi="Times New Roman"/>
          <w:sz w:val="24"/>
          <w:szCs w:val="24"/>
        </w:rPr>
        <w:t>ın mevcut ola</w:t>
      </w:r>
      <w:r>
        <w:rPr>
          <w:rFonts w:ascii="Times New Roman" w:hAnsi="Times New Roman"/>
          <w:sz w:val="24"/>
          <w:szCs w:val="24"/>
        </w:rPr>
        <w:t>bileceğini göstermesi durumunda</w:t>
      </w:r>
      <w:r w:rsidRPr="0077035B">
        <w:rPr>
          <w:rFonts w:ascii="Times New Roman" w:hAnsi="Times New Roman"/>
          <w:sz w:val="24"/>
          <w:szCs w:val="24"/>
        </w:rPr>
        <w:t xml:space="preserve"> denetçi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diğer BDS</w:t>
      </w:r>
      <w:r>
        <w:rPr>
          <w:rFonts w:ascii="Times New Roman" w:hAnsi="Times New Roman"/>
          <w:sz w:val="24"/>
          <w:szCs w:val="24"/>
        </w:rPr>
        <w:t>’</w:t>
      </w:r>
      <w:r w:rsidRPr="0077035B">
        <w:rPr>
          <w:rFonts w:ascii="Times New Roman" w:hAnsi="Times New Roman"/>
          <w:sz w:val="24"/>
          <w:szCs w:val="24"/>
        </w:rPr>
        <w:t>lerin zorunlu kıldığı prosedürlere ek olarak işletme</w:t>
      </w:r>
      <w:r>
        <w:rPr>
          <w:rFonts w:ascii="Times New Roman" w:hAnsi="Times New Roman"/>
          <w:sz w:val="24"/>
          <w:szCs w:val="24"/>
        </w:rPr>
        <w:t>nin</w:t>
      </w:r>
      <w:r w:rsidRPr="0077035B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>müşaviriyle</w:t>
      </w:r>
      <w:r w:rsidRPr="0077035B">
        <w:rPr>
          <w:rFonts w:ascii="Times New Roman" w:hAnsi="Times New Roman"/>
          <w:sz w:val="24"/>
          <w:szCs w:val="24"/>
        </w:rPr>
        <w:t xml:space="preserve"> doğrudan iletişim</w:t>
      </w:r>
      <w:r>
        <w:rPr>
          <w:rFonts w:ascii="Times New Roman" w:hAnsi="Times New Roman"/>
          <w:sz w:val="24"/>
          <w:szCs w:val="24"/>
        </w:rPr>
        <w:t>e geçer</w:t>
      </w:r>
      <w:r w:rsidRPr="0077035B">
        <w:rPr>
          <w:rFonts w:ascii="Times New Roman" w:hAnsi="Times New Roman"/>
          <w:sz w:val="24"/>
          <w:szCs w:val="24"/>
        </w:rPr>
        <w:t>. Denetçi bu</w:t>
      </w:r>
      <w:r>
        <w:rPr>
          <w:rFonts w:ascii="Times New Roman" w:hAnsi="Times New Roman"/>
          <w:sz w:val="24"/>
          <w:szCs w:val="24"/>
        </w:rPr>
        <w:t xml:space="preserve"> iletişimi, yönetim tarafından hazırlanan ve kendisi tarafından gönderilen ve işletmenin dış hukuk müşavirinin kendisiyle doğrudan</w:t>
      </w:r>
      <w:r w:rsidRPr="0077035B">
        <w:rPr>
          <w:rFonts w:ascii="Times New Roman" w:hAnsi="Times New Roman"/>
          <w:sz w:val="24"/>
          <w:szCs w:val="24"/>
        </w:rPr>
        <w:t xml:space="preserve"> iletişime geçmesini talep </w:t>
      </w:r>
      <w:r w:rsidRPr="00F2419D">
        <w:rPr>
          <w:rFonts w:ascii="Times New Roman" w:hAnsi="Times New Roman"/>
          <w:sz w:val="24"/>
          <w:szCs w:val="24"/>
        </w:rPr>
        <w:t>eden bir sorgulama mektubu yoluyla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kurar</w:t>
      </w:r>
      <w:r w:rsidRPr="007703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Mevzuatın,</w:t>
      </w:r>
      <w:r w:rsidRPr="0077035B">
        <w:rPr>
          <w:rFonts w:ascii="Times New Roman" w:hAnsi="Times New Roman"/>
          <w:sz w:val="24"/>
          <w:szCs w:val="24"/>
        </w:rPr>
        <w:t xml:space="preserve"> işletme</w:t>
      </w:r>
      <w:r>
        <w:rPr>
          <w:rFonts w:ascii="Times New Roman" w:hAnsi="Times New Roman"/>
          <w:sz w:val="24"/>
          <w:szCs w:val="24"/>
        </w:rPr>
        <w:t>nin</w:t>
      </w:r>
      <w:r w:rsidRPr="0077035B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>müşavirinin</w:t>
      </w:r>
      <w:r w:rsidRPr="0077035B">
        <w:rPr>
          <w:rFonts w:ascii="Times New Roman" w:hAnsi="Times New Roman"/>
          <w:sz w:val="24"/>
          <w:szCs w:val="24"/>
        </w:rPr>
        <w:t xml:space="preserve"> denetçiyle doğrudan iletişime geçmesini yasakla</w:t>
      </w:r>
      <w:r>
        <w:rPr>
          <w:rFonts w:ascii="Times New Roman" w:hAnsi="Times New Roman"/>
          <w:sz w:val="24"/>
          <w:szCs w:val="24"/>
        </w:rPr>
        <w:t>ması durumunda</w:t>
      </w:r>
      <w:r w:rsidRPr="0077035B">
        <w:rPr>
          <w:rFonts w:ascii="Times New Roman" w:hAnsi="Times New Roman"/>
          <w:sz w:val="24"/>
          <w:szCs w:val="24"/>
        </w:rPr>
        <w:t xml:space="preserve"> denetçi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alternatif</w:t>
      </w:r>
      <w:r>
        <w:rPr>
          <w:rFonts w:ascii="Times New Roman" w:hAnsi="Times New Roman"/>
          <w:sz w:val="24"/>
          <w:szCs w:val="24"/>
        </w:rPr>
        <w:t xml:space="preserve"> denetim prosedürlerini uygular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(Bakınız: A21-A25 paragrafları).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11.</w:t>
      </w:r>
      <w:r w:rsidRPr="0077035B">
        <w:rPr>
          <w:rFonts w:ascii="Times New Roman" w:hAnsi="Times New Roman"/>
          <w:sz w:val="24"/>
          <w:szCs w:val="24"/>
        </w:rPr>
        <w:tab/>
        <w:t>Denetçi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</w:t>
      </w:r>
    </w:p>
    <w:p w:rsidR="009A39F6" w:rsidRPr="00143295" w:rsidRDefault="009A39F6" w:rsidP="00143295">
      <w:pPr>
        <w:pStyle w:val="ListParagraph"/>
        <w:numPr>
          <w:ilvl w:val="0"/>
          <w:numId w:val="8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43295">
        <w:rPr>
          <w:rFonts w:ascii="Times New Roman" w:hAnsi="Times New Roman"/>
          <w:sz w:val="24"/>
          <w:szCs w:val="24"/>
          <w:lang w:eastAsia="en-US"/>
        </w:rPr>
        <w:t>enetçinin</w:t>
      </w:r>
      <w:r w:rsidRPr="00143295">
        <w:rPr>
          <w:rFonts w:ascii="Times New Roman" w:hAnsi="Times New Roman"/>
          <w:sz w:val="24"/>
          <w:szCs w:val="24"/>
        </w:rPr>
        <w:t xml:space="preserve"> işletme</w:t>
      </w:r>
      <w:r>
        <w:rPr>
          <w:rFonts w:ascii="Times New Roman" w:hAnsi="Times New Roman"/>
          <w:sz w:val="24"/>
          <w:szCs w:val="24"/>
        </w:rPr>
        <w:t>nin</w:t>
      </w:r>
      <w:r w:rsidRPr="00143295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>müşaviriyle</w:t>
      </w:r>
      <w:r w:rsidRPr="00143295">
        <w:rPr>
          <w:rFonts w:ascii="Times New Roman" w:hAnsi="Times New Roman"/>
          <w:sz w:val="24"/>
          <w:szCs w:val="24"/>
        </w:rPr>
        <w:t xml:space="preserve"> iletişime geçmesine veya </w:t>
      </w:r>
      <w:r w:rsidRPr="00143295">
        <w:rPr>
          <w:rFonts w:ascii="Times New Roman" w:hAnsi="Times New Roman"/>
          <w:sz w:val="24"/>
          <w:szCs w:val="24"/>
          <w:lang w:eastAsia="en-US"/>
        </w:rPr>
        <w:t>görüşmesine</w:t>
      </w:r>
      <w:r w:rsidRPr="00143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yönetimin </w:t>
      </w:r>
      <w:r w:rsidRPr="00143295">
        <w:rPr>
          <w:rFonts w:ascii="Times New Roman" w:hAnsi="Times New Roman"/>
          <w:sz w:val="24"/>
          <w:szCs w:val="24"/>
        </w:rPr>
        <w:t>izin vermemesi ya da işletme</w:t>
      </w:r>
      <w:r>
        <w:rPr>
          <w:rFonts w:ascii="Times New Roman" w:hAnsi="Times New Roman"/>
          <w:sz w:val="24"/>
          <w:szCs w:val="24"/>
        </w:rPr>
        <w:t>nin</w:t>
      </w:r>
      <w:r w:rsidRPr="00143295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>müşavirinin</w:t>
      </w:r>
      <w:r w:rsidRPr="00143295">
        <w:rPr>
          <w:rFonts w:ascii="Times New Roman" w:hAnsi="Times New Roman"/>
          <w:sz w:val="24"/>
          <w:szCs w:val="24"/>
        </w:rPr>
        <w:t xml:space="preserve"> sorgulama mektubuna uygun şekilde yanıt vermeyi reddetmesi veya yanıt vermesinin yasaklanması veya</w:t>
      </w:r>
    </w:p>
    <w:p w:rsidR="009A39F6" w:rsidRDefault="009A39F6" w:rsidP="00143295">
      <w:pPr>
        <w:pStyle w:val="ListParagraph"/>
        <w:numPr>
          <w:ilvl w:val="0"/>
          <w:numId w:val="8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Denetçinin, a</w:t>
      </w:r>
      <w:r w:rsidRPr="0077035B">
        <w:rPr>
          <w:rFonts w:ascii="Times New Roman" w:hAnsi="Times New Roman"/>
          <w:sz w:val="24"/>
          <w:szCs w:val="24"/>
        </w:rPr>
        <w:t xml:space="preserve">lternatif denetim prosedürleri uygulayarak yeterli ve uygun denetim kanıtı elde edememesi </w:t>
      </w:r>
    </w:p>
    <w:p w:rsidR="009A39F6" w:rsidRPr="0077035B" w:rsidRDefault="009A39F6" w:rsidP="00143295">
      <w:pPr>
        <w:spacing w:before="120"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7035B">
        <w:rPr>
          <w:rFonts w:ascii="Times New Roman" w:hAnsi="Times New Roman"/>
          <w:sz w:val="24"/>
          <w:szCs w:val="24"/>
        </w:rPr>
        <w:t>urumunda</w:t>
      </w:r>
      <w:r>
        <w:rPr>
          <w:rFonts w:ascii="Times New Roman" w:hAnsi="Times New Roman"/>
          <w:sz w:val="24"/>
          <w:szCs w:val="24"/>
        </w:rPr>
        <w:t>,</w:t>
      </w:r>
      <w:r w:rsidRPr="00AC6B02"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>BDS 705 uyarınca denetçi raporunda olumlu</w:t>
      </w:r>
      <w:r>
        <w:rPr>
          <w:rFonts w:ascii="Times New Roman" w:hAnsi="Times New Roman"/>
          <w:sz w:val="24"/>
          <w:szCs w:val="24"/>
        </w:rPr>
        <w:t xml:space="preserve"> görüş dışında bir görüş verir.</w:t>
      </w:r>
    </w:p>
    <w:p w:rsidR="009A39F6" w:rsidRPr="00932405" w:rsidRDefault="009A39F6" w:rsidP="00143295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932405">
        <w:rPr>
          <w:rFonts w:ascii="Times New Roman" w:hAnsi="Times New Roman"/>
          <w:i/>
          <w:sz w:val="24"/>
          <w:szCs w:val="24"/>
        </w:rPr>
        <w:t xml:space="preserve">Yazılı </w:t>
      </w:r>
      <w:r>
        <w:rPr>
          <w:rFonts w:ascii="Times New Roman" w:hAnsi="Times New Roman"/>
          <w:i/>
          <w:sz w:val="24"/>
          <w:szCs w:val="24"/>
        </w:rPr>
        <w:t>Açıklamalar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12.  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Denetçi, finansal tablolar hazırlanırken d</w:t>
      </w:r>
      <w:r>
        <w:rPr>
          <w:rFonts w:ascii="Times New Roman" w:hAnsi="Times New Roman"/>
          <w:sz w:val="24"/>
          <w:szCs w:val="24"/>
        </w:rPr>
        <w:t>ikkate alınması</w:t>
      </w:r>
      <w:r w:rsidRPr="0077035B">
        <w:rPr>
          <w:rFonts w:ascii="Times New Roman" w:hAnsi="Times New Roman"/>
          <w:sz w:val="24"/>
          <w:szCs w:val="24"/>
        </w:rPr>
        <w:t xml:space="preserve"> gereken bir etkiye sahip olan mevcut veya </w:t>
      </w:r>
      <w:r>
        <w:rPr>
          <w:rFonts w:ascii="Times New Roman" w:hAnsi="Times New Roman"/>
          <w:sz w:val="24"/>
          <w:szCs w:val="24"/>
        </w:rPr>
        <w:t>muhtemel</w:t>
      </w:r>
      <w:r w:rsidRPr="0077035B">
        <w:rPr>
          <w:rFonts w:ascii="Times New Roman" w:hAnsi="Times New Roman"/>
          <w:sz w:val="24"/>
          <w:szCs w:val="24"/>
        </w:rPr>
        <w:t xml:space="preserve"> tüm dava ve iddiaların </w:t>
      </w:r>
      <w:r>
        <w:rPr>
          <w:rFonts w:ascii="Times New Roman" w:hAnsi="Times New Roman"/>
          <w:sz w:val="24"/>
          <w:szCs w:val="24"/>
        </w:rPr>
        <w:t xml:space="preserve">kendisine </w:t>
      </w:r>
      <w:r w:rsidRPr="0077035B">
        <w:rPr>
          <w:rFonts w:ascii="Times New Roman" w:hAnsi="Times New Roman"/>
          <w:sz w:val="24"/>
          <w:szCs w:val="24"/>
        </w:rPr>
        <w:t xml:space="preserve">bildirildiğine ve bu dava ve iddiaların </w:t>
      </w:r>
      <w:r>
        <w:rPr>
          <w:rFonts w:ascii="Times New Roman" w:hAnsi="Times New Roman"/>
          <w:sz w:val="24"/>
          <w:szCs w:val="24"/>
        </w:rPr>
        <w:t>geçerli finansal raporlama çerçevesine</w:t>
      </w:r>
      <w:r w:rsidRPr="0077035B">
        <w:rPr>
          <w:rFonts w:ascii="Times New Roman" w:hAnsi="Times New Roman"/>
          <w:sz w:val="24"/>
          <w:szCs w:val="24"/>
        </w:rPr>
        <w:t xml:space="preserve"> uygun </w:t>
      </w:r>
      <w:r>
        <w:rPr>
          <w:rFonts w:ascii="Times New Roman" w:hAnsi="Times New Roman"/>
          <w:sz w:val="24"/>
          <w:szCs w:val="24"/>
        </w:rPr>
        <w:t xml:space="preserve">olarak </w:t>
      </w:r>
      <w:r w:rsidRPr="0077035B">
        <w:rPr>
          <w:rFonts w:ascii="Times New Roman" w:hAnsi="Times New Roman"/>
          <w:sz w:val="24"/>
          <w:szCs w:val="24"/>
        </w:rPr>
        <w:t xml:space="preserve">muhasebeleştirildiğine ve açıklandığına </w:t>
      </w:r>
      <w:r>
        <w:rPr>
          <w:rFonts w:ascii="Times New Roman" w:hAnsi="Times New Roman"/>
          <w:sz w:val="24"/>
          <w:szCs w:val="24"/>
        </w:rPr>
        <w:t>ilişkin</w:t>
      </w:r>
      <w:r w:rsidRPr="0077035B">
        <w:rPr>
          <w:rFonts w:ascii="Times New Roman" w:hAnsi="Times New Roman"/>
          <w:sz w:val="24"/>
          <w:szCs w:val="24"/>
        </w:rPr>
        <w:t xml:space="preserve"> yönetimden ve </w:t>
      </w:r>
      <w:r>
        <w:rPr>
          <w:rFonts w:ascii="Times New Roman" w:hAnsi="Times New Roman"/>
          <w:sz w:val="24"/>
          <w:szCs w:val="24"/>
        </w:rPr>
        <w:t>-</w:t>
      </w:r>
      <w:r w:rsidRPr="0077035B">
        <w:rPr>
          <w:rFonts w:ascii="Times New Roman" w:hAnsi="Times New Roman"/>
          <w:sz w:val="24"/>
          <w:szCs w:val="24"/>
        </w:rPr>
        <w:t xml:space="preserve">uygun </w:t>
      </w:r>
      <w:r>
        <w:rPr>
          <w:rFonts w:ascii="Times New Roman" w:hAnsi="Times New Roman"/>
          <w:sz w:val="24"/>
          <w:szCs w:val="24"/>
        </w:rPr>
        <w:t>hâllerde-</w:t>
      </w:r>
      <w:r w:rsidRPr="0077035B">
        <w:rPr>
          <w:rFonts w:ascii="Times New Roman" w:hAnsi="Times New Roman"/>
          <w:sz w:val="24"/>
          <w:szCs w:val="24"/>
        </w:rPr>
        <w:t xml:space="preserve"> üst yönetimden sorumlu olanlardan yazılı </w:t>
      </w:r>
      <w:r>
        <w:rPr>
          <w:rFonts w:ascii="Times New Roman" w:hAnsi="Times New Roman"/>
          <w:sz w:val="24"/>
          <w:szCs w:val="24"/>
        </w:rPr>
        <w:t>açıklama</w:t>
      </w:r>
      <w:r w:rsidRPr="0077035B">
        <w:rPr>
          <w:rFonts w:ascii="Times New Roman" w:hAnsi="Times New Roman"/>
          <w:sz w:val="24"/>
          <w:szCs w:val="24"/>
        </w:rPr>
        <w:t xml:space="preserve"> talep eder.</w:t>
      </w:r>
    </w:p>
    <w:p w:rsidR="009A39F6" w:rsidRPr="00932405" w:rsidRDefault="009A39F6" w:rsidP="0014329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143295">
        <w:rPr>
          <w:rFonts w:ascii="Times New Roman" w:hAnsi="Times New Roman"/>
          <w:b/>
          <w:sz w:val="24"/>
          <w:szCs w:val="24"/>
        </w:rPr>
        <w:t>Faaliyet Bölümü Bilgileri</w:t>
      </w:r>
    </w:p>
    <w:p w:rsidR="009A39F6" w:rsidRPr="0077035B" w:rsidRDefault="009A39F6" w:rsidP="00143295">
      <w:pPr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Denetçi,</w:t>
      </w:r>
      <w:r>
        <w:rPr>
          <w:rFonts w:ascii="Times New Roman" w:hAnsi="Times New Roman"/>
          <w:sz w:val="24"/>
          <w:szCs w:val="24"/>
        </w:rPr>
        <w:t xml:space="preserve"> aşağıdakileri gerçekleştirmek suretiyle</w:t>
      </w:r>
      <w:r w:rsidRPr="000439F1"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 xml:space="preserve">bölüm bilgilerinin </w:t>
      </w:r>
      <w:r>
        <w:rPr>
          <w:rFonts w:ascii="Times New Roman" w:hAnsi="Times New Roman"/>
          <w:sz w:val="24"/>
          <w:szCs w:val="24"/>
        </w:rPr>
        <w:t>geçerli finansal raporlama çerçevesine</w:t>
      </w:r>
      <w:r w:rsidRPr="0077035B">
        <w:rPr>
          <w:rFonts w:ascii="Times New Roman" w:hAnsi="Times New Roman"/>
          <w:sz w:val="24"/>
          <w:szCs w:val="24"/>
        </w:rPr>
        <w:t xml:space="preserve"> uygun olarak sunulduğuna ve açıklandığına ilişkin yeterli ve</w:t>
      </w:r>
      <w:r>
        <w:rPr>
          <w:rFonts w:ascii="Times New Roman" w:hAnsi="Times New Roman"/>
          <w:sz w:val="24"/>
          <w:szCs w:val="24"/>
        </w:rPr>
        <w:t xml:space="preserve"> uygun denetim kanıtı elde eder</w:t>
      </w:r>
      <w:r w:rsidRPr="0077035B">
        <w:rPr>
          <w:rFonts w:ascii="Times New Roman" w:hAnsi="Times New Roman"/>
          <w:sz w:val="24"/>
          <w:szCs w:val="24"/>
        </w:rPr>
        <w:t xml:space="preserve"> (Bakınız: A26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  <w:r>
        <w:rPr>
          <w:rFonts w:ascii="Times New Roman" w:hAnsi="Times New Roman"/>
          <w:sz w:val="24"/>
          <w:szCs w:val="24"/>
        </w:rPr>
        <w:t>:</w:t>
      </w:r>
    </w:p>
    <w:p w:rsidR="009A39F6" w:rsidRPr="0077035B" w:rsidRDefault="009A39F6" w:rsidP="00143295">
      <w:pPr>
        <w:pStyle w:val="ListParagraph"/>
        <w:numPr>
          <w:ilvl w:val="0"/>
          <w:numId w:val="9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Bölüm bilgileri</w:t>
      </w:r>
      <w:r>
        <w:rPr>
          <w:rFonts w:ascii="Times New Roman" w:hAnsi="Times New Roman"/>
          <w:sz w:val="24"/>
          <w:szCs w:val="24"/>
        </w:rPr>
        <w:t xml:space="preserve">ne karar verilirken </w:t>
      </w:r>
      <w:r w:rsidRPr="0077035B">
        <w:rPr>
          <w:rFonts w:ascii="Times New Roman" w:hAnsi="Times New Roman"/>
          <w:sz w:val="24"/>
          <w:szCs w:val="24"/>
        </w:rPr>
        <w:t>yönetim tarafından kullanılan yönteml</w:t>
      </w:r>
      <w:r>
        <w:rPr>
          <w:rFonts w:ascii="Times New Roman" w:hAnsi="Times New Roman"/>
          <w:sz w:val="24"/>
          <w:szCs w:val="24"/>
        </w:rPr>
        <w:t xml:space="preserve">eri anlamak </w:t>
      </w:r>
      <w:r w:rsidRPr="0077035B">
        <w:rPr>
          <w:rFonts w:ascii="Times New Roman" w:hAnsi="Times New Roman"/>
          <w:sz w:val="24"/>
          <w:szCs w:val="24"/>
        </w:rPr>
        <w:t xml:space="preserve">(Bakınız: A27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 xml:space="preserve">aragrafı) </w:t>
      </w:r>
      <w:r>
        <w:rPr>
          <w:rFonts w:ascii="Times New Roman" w:hAnsi="Times New Roman"/>
          <w:sz w:val="24"/>
          <w:szCs w:val="24"/>
        </w:rPr>
        <w:t>ve</w:t>
      </w:r>
    </w:p>
    <w:p w:rsidR="009A39F6" w:rsidRPr="0077035B" w:rsidRDefault="009A39F6" w:rsidP="00143295">
      <w:pPr>
        <w:spacing w:before="120" w:after="120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Bu </w:t>
      </w:r>
      <w:r w:rsidRPr="0077035B">
        <w:rPr>
          <w:rFonts w:ascii="Times New Roman" w:hAnsi="Times New Roman"/>
          <w:sz w:val="24"/>
          <w:szCs w:val="24"/>
          <w:lang w:eastAsia="en-US"/>
        </w:rPr>
        <w:t>yöntemlerin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geçerli finansal raporlama çerçevesine</w:t>
      </w:r>
      <w:r w:rsidRPr="0077035B">
        <w:rPr>
          <w:rFonts w:ascii="Times New Roman" w:hAnsi="Times New Roman"/>
          <w:sz w:val="24"/>
          <w:szCs w:val="24"/>
        </w:rPr>
        <w:t xml:space="preserve"> uygun bir açıklama sağlayıp sağl</w:t>
      </w:r>
      <w:r>
        <w:rPr>
          <w:rFonts w:ascii="Times New Roman" w:hAnsi="Times New Roman"/>
          <w:sz w:val="24"/>
          <w:szCs w:val="24"/>
        </w:rPr>
        <w:t>amadığını değerlendirmek,</w:t>
      </w:r>
    </w:p>
    <w:p w:rsidR="009A39F6" w:rsidRPr="0077035B" w:rsidRDefault="009A39F6" w:rsidP="00143295">
      <w:pPr>
        <w:spacing w:before="120" w:after="120"/>
        <w:ind w:left="1985" w:hanging="567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  <w:t>Uygun hâllerde</w:t>
      </w:r>
      <w:r w:rsidRPr="0077035B">
        <w:rPr>
          <w:rFonts w:ascii="Times New Roman" w:hAnsi="Times New Roman"/>
          <w:sz w:val="24"/>
          <w:szCs w:val="24"/>
        </w:rPr>
        <w:t xml:space="preserve"> bu yöntemlerin uygulamasını test e</w:t>
      </w:r>
      <w:r>
        <w:rPr>
          <w:rFonts w:ascii="Times New Roman" w:hAnsi="Times New Roman"/>
          <w:sz w:val="24"/>
          <w:szCs w:val="24"/>
        </w:rPr>
        <w:t>tmek</w:t>
      </w:r>
      <w:r w:rsidRPr="0077035B">
        <w:rPr>
          <w:rFonts w:ascii="Times New Roman" w:hAnsi="Times New Roman"/>
          <w:sz w:val="24"/>
          <w:szCs w:val="24"/>
        </w:rPr>
        <w:t xml:space="preserve"> ve</w:t>
      </w:r>
    </w:p>
    <w:p w:rsidR="009A39F6" w:rsidRDefault="009A39F6" w:rsidP="00143295">
      <w:pPr>
        <w:pStyle w:val="ListParagraph"/>
        <w:numPr>
          <w:ilvl w:val="0"/>
          <w:numId w:val="9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İçinde bulunulan şartlar altında uygun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olan </w:t>
      </w:r>
      <w:r w:rsidRPr="0077035B">
        <w:rPr>
          <w:rFonts w:ascii="Times New Roman" w:hAnsi="Times New Roman"/>
          <w:sz w:val="24"/>
          <w:szCs w:val="24"/>
        </w:rPr>
        <w:t>analitik prosedürler</w:t>
      </w:r>
      <w:r>
        <w:rPr>
          <w:rFonts w:ascii="Times New Roman" w:hAnsi="Times New Roman"/>
          <w:sz w:val="24"/>
          <w:szCs w:val="24"/>
        </w:rPr>
        <w:t>i</w:t>
      </w:r>
      <w:r w:rsidRPr="0077035B">
        <w:rPr>
          <w:rFonts w:ascii="Times New Roman" w:hAnsi="Times New Roman"/>
          <w:sz w:val="24"/>
          <w:szCs w:val="24"/>
        </w:rPr>
        <w:t xml:space="preserve"> veya diğer denetim prosedürlerini uygula</w:t>
      </w:r>
      <w:r>
        <w:rPr>
          <w:rFonts w:ascii="Times New Roman" w:hAnsi="Times New Roman"/>
          <w:sz w:val="24"/>
          <w:szCs w:val="24"/>
        </w:rPr>
        <w:t>mak.</w:t>
      </w:r>
    </w:p>
    <w:p w:rsidR="009A39F6" w:rsidRDefault="009A39F6" w:rsidP="0014329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A39F6" w:rsidRPr="001E1490" w:rsidRDefault="009A39F6" w:rsidP="0014329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1E1490">
        <w:rPr>
          <w:rFonts w:ascii="Times New Roman" w:hAnsi="Times New Roman"/>
          <w:b/>
          <w:sz w:val="24"/>
          <w:szCs w:val="24"/>
        </w:rPr>
        <w:t>***</w:t>
      </w:r>
    </w:p>
    <w:p w:rsidR="009A39F6" w:rsidRPr="001F2C6B" w:rsidRDefault="009A39F6" w:rsidP="00143295">
      <w:pPr>
        <w:spacing w:before="120" w:after="120"/>
        <w:rPr>
          <w:rFonts w:ascii="Times New Roman" w:hAnsi="Times New Roman"/>
          <w:b/>
          <w:sz w:val="27"/>
          <w:szCs w:val="27"/>
        </w:rPr>
      </w:pPr>
      <w:r w:rsidRPr="001F2C6B">
        <w:rPr>
          <w:rFonts w:ascii="Times New Roman" w:hAnsi="Times New Roman"/>
          <w:b/>
          <w:sz w:val="27"/>
          <w:szCs w:val="27"/>
        </w:rPr>
        <w:t>Açıklayıcı Hükümler ve Uygulama</w:t>
      </w:r>
    </w:p>
    <w:p w:rsidR="009A39F6" w:rsidRPr="0066335A" w:rsidRDefault="009A39F6" w:rsidP="0014329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66335A">
        <w:rPr>
          <w:rFonts w:ascii="Times New Roman" w:hAnsi="Times New Roman"/>
          <w:b/>
          <w:sz w:val="24"/>
          <w:szCs w:val="24"/>
        </w:rPr>
        <w:t xml:space="preserve">Stoklar </w:t>
      </w:r>
    </w:p>
    <w:p w:rsidR="009A39F6" w:rsidRPr="00932405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932405">
        <w:rPr>
          <w:rFonts w:ascii="Times New Roman" w:hAnsi="Times New Roman"/>
          <w:i/>
          <w:sz w:val="24"/>
          <w:szCs w:val="24"/>
        </w:rPr>
        <w:t>Fiziki Stok Sayımına Katılım</w:t>
      </w:r>
      <w:r w:rsidRPr="00932405">
        <w:rPr>
          <w:rFonts w:ascii="Times New Roman" w:hAnsi="Times New Roman"/>
          <w:sz w:val="24"/>
          <w:szCs w:val="24"/>
        </w:rPr>
        <w:t xml:space="preserve"> (Bakınız: 4(a) </w:t>
      </w:r>
      <w:r>
        <w:rPr>
          <w:rFonts w:ascii="Times New Roman" w:hAnsi="Times New Roman"/>
          <w:sz w:val="24"/>
          <w:szCs w:val="24"/>
        </w:rPr>
        <w:t>p</w:t>
      </w:r>
      <w:r w:rsidRPr="00932405">
        <w:rPr>
          <w:rFonts w:ascii="Times New Roman" w:hAnsi="Times New Roman"/>
          <w:sz w:val="24"/>
          <w:szCs w:val="24"/>
        </w:rPr>
        <w:t xml:space="preserve">aragrafı) 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A1.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Yönetim genellikle, finansal tabloların hazırlanmasına </w:t>
      </w:r>
      <w:r>
        <w:rPr>
          <w:rFonts w:ascii="Times New Roman" w:hAnsi="Times New Roman"/>
          <w:sz w:val="24"/>
          <w:szCs w:val="24"/>
        </w:rPr>
        <w:t>dayanak</w:t>
      </w:r>
      <w:r w:rsidRPr="0077035B">
        <w:rPr>
          <w:rFonts w:ascii="Times New Roman" w:hAnsi="Times New Roman"/>
          <w:sz w:val="24"/>
          <w:szCs w:val="24"/>
        </w:rPr>
        <w:t xml:space="preserve"> oluşturması ve </w:t>
      </w:r>
      <w:r>
        <w:rPr>
          <w:rFonts w:ascii="Times New Roman" w:hAnsi="Times New Roman"/>
          <w:sz w:val="24"/>
          <w:szCs w:val="24"/>
        </w:rPr>
        <w:t>-</w:t>
      </w:r>
      <w:r w:rsidRPr="0077035B">
        <w:rPr>
          <w:rFonts w:ascii="Times New Roman" w:hAnsi="Times New Roman"/>
          <w:sz w:val="24"/>
          <w:szCs w:val="24"/>
        </w:rPr>
        <w:t>uygu</w:t>
      </w:r>
      <w:r>
        <w:rPr>
          <w:rFonts w:ascii="Times New Roman" w:hAnsi="Times New Roman"/>
          <w:sz w:val="24"/>
          <w:szCs w:val="24"/>
        </w:rPr>
        <w:t xml:space="preserve">n hâllerde- </w:t>
      </w:r>
      <w:r w:rsidRPr="00143295">
        <w:rPr>
          <w:rFonts w:ascii="Times New Roman" w:hAnsi="Times New Roman"/>
          <w:sz w:val="24"/>
          <w:szCs w:val="24"/>
        </w:rPr>
        <w:t>işletmenin sürekli envanter sisteminin güvenilirliğinin</w:t>
      </w:r>
      <w:r w:rsidRPr="0077035B">
        <w:rPr>
          <w:rFonts w:ascii="Times New Roman" w:hAnsi="Times New Roman"/>
          <w:sz w:val="24"/>
          <w:szCs w:val="24"/>
        </w:rPr>
        <w:t xml:space="preserve"> tes</w:t>
      </w:r>
      <w:r>
        <w:rPr>
          <w:rFonts w:ascii="Times New Roman" w:hAnsi="Times New Roman"/>
          <w:sz w:val="24"/>
          <w:szCs w:val="24"/>
        </w:rPr>
        <w:t>pit</w:t>
      </w:r>
      <w:r w:rsidRPr="0077035B">
        <w:rPr>
          <w:rFonts w:ascii="Times New Roman" w:hAnsi="Times New Roman"/>
          <w:sz w:val="24"/>
          <w:szCs w:val="24"/>
        </w:rPr>
        <w:t xml:space="preserve"> edilmesi amacıyla stokların en az yılda bir kez fiziki olarak sayılmasına ilişkin prosedürler</w:t>
      </w:r>
      <w:r>
        <w:rPr>
          <w:rFonts w:ascii="Times New Roman" w:hAnsi="Times New Roman"/>
          <w:sz w:val="24"/>
          <w:szCs w:val="24"/>
        </w:rPr>
        <w:t xml:space="preserve"> oluşturur.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A2.</w:t>
      </w:r>
      <w:r w:rsidRPr="0077035B">
        <w:rPr>
          <w:rFonts w:ascii="Times New Roman" w:hAnsi="Times New Roman"/>
          <w:sz w:val="24"/>
          <w:szCs w:val="24"/>
        </w:rPr>
        <w:tab/>
        <w:t>Fiziki stok sayımına katılım aşağıdaki faaliyetler</w:t>
      </w:r>
      <w:r>
        <w:rPr>
          <w:rFonts w:ascii="Times New Roman" w:hAnsi="Times New Roman"/>
          <w:sz w:val="24"/>
          <w:szCs w:val="24"/>
        </w:rPr>
        <w:t>i içerir</w:t>
      </w:r>
      <w:r w:rsidRPr="0077035B">
        <w:rPr>
          <w:rFonts w:ascii="Times New Roman" w:hAnsi="Times New Roman"/>
          <w:sz w:val="24"/>
          <w:szCs w:val="24"/>
        </w:rPr>
        <w:t>:</w:t>
      </w:r>
    </w:p>
    <w:p w:rsidR="009A39F6" w:rsidRPr="00143295" w:rsidRDefault="009A39F6" w:rsidP="00143295">
      <w:pPr>
        <w:pStyle w:val="ListParagraph"/>
        <w:numPr>
          <w:ilvl w:val="0"/>
          <w:numId w:val="10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 xml:space="preserve">Mevcudiyetinin tespit edilmesi ve durumunun değerlendirilmesi amacıyla stokların tetkik edilmesi ve test sayımlarının </w:t>
      </w:r>
      <w:r>
        <w:rPr>
          <w:rFonts w:ascii="Times New Roman" w:hAnsi="Times New Roman"/>
          <w:sz w:val="24"/>
          <w:szCs w:val="24"/>
        </w:rPr>
        <w:t>yapılması</w:t>
      </w:r>
      <w:r w:rsidRPr="00143295">
        <w:rPr>
          <w:rFonts w:ascii="Times New Roman" w:hAnsi="Times New Roman"/>
          <w:sz w:val="24"/>
          <w:szCs w:val="24"/>
        </w:rPr>
        <w:t>,</w:t>
      </w:r>
    </w:p>
    <w:p w:rsidR="009A39F6" w:rsidRDefault="009A39F6" w:rsidP="00143295">
      <w:pPr>
        <w:pStyle w:val="ListParagraph"/>
        <w:numPr>
          <w:ilvl w:val="0"/>
          <w:numId w:val="10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Yönetimin, f</w:t>
      </w:r>
      <w:r w:rsidRPr="0077035B">
        <w:rPr>
          <w:rFonts w:ascii="Times New Roman" w:hAnsi="Times New Roman"/>
          <w:sz w:val="24"/>
          <w:szCs w:val="24"/>
        </w:rPr>
        <w:t>iziki st</w:t>
      </w:r>
      <w:r>
        <w:rPr>
          <w:rFonts w:ascii="Times New Roman" w:hAnsi="Times New Roman"/>
          <w:sz w:val="24"/>
          <w:szCs w:val="24"/>
        </w:rPr>
        <w:t>ok sayım sonuçlarının kayıt ve kontrol edilmesine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yönelik</w:t>
      </w:r>
      <w:r w:rsidRPr="0077035B">
        <w:rPr>
          <w:rFonts w:ascii="Times New Roman" w:hAnsi="Times New Roman"/>
          <w:sz w:val="24"/>
          <w:szCs w:val="24"/>
        </w:rPr>
        <w:t xml:space="preserve"> talimat</w:t>
      </w:r>
      <w:r>
        <w:rPr>
          <w:rFonts w:ascii="Times New Roman" w:hAnsi="Times New Roman"/>
          <w:sz w:val="24"/>
          <w:szCs w:val="24"/>
        </w:rPr>
        <w:t>larına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uygunluğun ve </w:t>
      </w:r>
      <w:r w:rsidRPr="0077035B">
        <w:rPr>
          <w:rFonts w:ascii="Times New Roman" w:hAnsi="Times New Roman"/>
          <w:sz w:val="24"/>
          <w:szCs w:val="24"/>
        </w:rPr>
        <w:t>prosedürlerin</w:t>
      </w:r>
      <w:r>
        <w:rPr>
          <w:rFonts w:ascii="Times New Roman" w:hAnsi="Times New Roman"/>
          <w:sz w:val="24"/>
          <w:szCs w:val="24"/>
        </w:rPr>
        <w:t>in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uygulanmasının</w:t>
      </w:r>
      <w:r w:rsidRPr="0077035B">
        <w:rPr>
          <w:rFonts w:ascii="Times New Roman" w:hAnsi="Times New Roman"/>
          <w:sz w:val="24"/>
          <w:szCs w:val="24"/>
        </w:rPr>
        <w:t xml:space="preserve"> gözlemlenmesi</w:t>
      </w:r>
      <w:r>
        <w:rPr>
          <w:rFonts w:ascii="Times New Roman" w:hAnsi="Times New Roman"/>
          <w:sz w:val="24"/>
          <w:szCs w:val="24"/>
        </w:rPr>
        <w:t>,</w:t>
      </w:r>
    </w:p>
    <w:p w:rsidR="009A39F6" w:rsidRPr="0077035B" w:rsidRDefault="009A39F6" w:rsidP="00143295">
      <w:pPr>
        <w:pStyle w:val="ListParagraph"/>
        <w:numPr>
          <w:ilvl w:val="0"/>
          <w:numId w:val="10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Yönetimin </w:t>
      </w:r>
      <w:r>
        <w:rPr>
          <w:rFonts w:ascii="Times New Roman" w:hAnsi="Times New Roman"/>
          <w:sz w:val="24"/>
          <w:szCs w:val="24"/>
        </w:rPr>
        <w:t>sayıma</w:t>
      </w:r>
      <w:r w:rsidRPr="0077035B">
        <w:rPr>
          <w:rFonts w:ascii="Times New Roman" w:hAnsi="Times New Roman"/>
          <w:sz w:val="24"/>
          <w:szCs w:val="24"/>
        </w:rPr>
        <w:t xml:space="preserve"> ilişkin prosedürlerinin güvenilirliğiyle ilgili denetim kanıtı elde edilmesi.</w:t>
      </w:r>
    </w:p>
    <w:p w:rsidR="009A39F6" w:rsidRPr="0077035B" w:rsidRDefault="009A39F6" w:rsidP="00143295">
      <w:pPr>
        <w:spacing w:before="120" w:after="120"/>
        <w:ind w:left="705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Bu prosedürler, denetçinin risk değerlendirmesine, planlanmış yaklaşımına ve uygulanan prosedürlere bağlı olarak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kontrol testleri veya maddi doğrulama prosedürleri </w:t>
      </w:r>
      <w:r>
        <w:rPr>
          <w:rFonts w:ascii="Times New Roman" w:hAnsi="Times New Roman"/>
          <w:sz w:val="24"/>
          <w:szCs w:val="24"/>
        </w:rPr>
        <w:t>işlevi görebilir</w:t>
      </w:r>
      <w:r w:rsidRPr="0077035B">
        <w:rPr>
          <w:rFonts w:ascii="Times New Roman" w:hAnsi="Times New Roman"/>
          <w:sz w:val="24"/>
          <w:szCs w:val="24"/>
        </w:rPr>
        <w:t>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A3.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Fiziki stok sayımına katılımın planlanmasıyla ilgili </w:t>
      </w:r>
      <w:r>
        <w:rPr>
          <w:rFonts w:ascii="Times New Roman" w:hAnsi="Times New Roman"/>
          <w:sz w:val="24"/>
          <w:szCs w:val="24"/>
        </w:rPr>
        <w:t>(veya bu BDS’nin 4-8 inci p</w:t>
      </w:r>
      <w:r w:rsidRPr="0077035B">
        <w:rPr>
          <w:rFonts w:ascii="Times New Roman" w:hAnsi="Times New Roman"/>
          <w:sz w:val="24"/>
          <w:szCs w:val="24"/>
        </w:rPr>
        <w:t xml:space="preserve">aragrafları uyarınca denetim prosedürlerinin tasarlanması ve </w:t>
      </w:r>
      <w:r>
        <w:rPr>
          <w:rFonts w:ascii="Times New Roman" w:hAnsi="Times New Roman"/>
          <w:sz w:val="24"/>
          <w:szCs w:val="24"/>
        </w:rPr>
        <w:t>uygulanmasıyla ilgili</w:t>
      </w:r>
      <w:r w:rsidRPr="0077035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hususlar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örneğin aşağıdakileri içerir</w:t>
      </w:r>
      <w:r w:rsidRPr="0077035B">
        <w:rPr>
          <w:rFonts w:ascii="Times New Roman" w:hAnsi="Times New Roman"/>
          <w:sz w:val="24"/>
          <w:szCs w:val="24"/>
        </w:rPr>
        <w:t>:</w:t>
      </w:r>
    </w:p>
    <w:p w:rsidR="009A39F6" w:rsidRPr="0077035B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Stoklara ilişkin </w:t>
      </w:r>
      <w:r>
        <w:rPr>
          <w:rFonts w:ascii="Times New Roman" w:hAnsi="Times New Roman"/>
          <w:sz w:val="24"/>
          <w:szCs w:val="24"/>
        </w:rPr>
        <w:t>“</w:t>
      </w:r>
      <w:r w:rsidRPr="0077035B">
        <w:rPr>
          <w:rFonts w:ascii="Times New Roman" w:hAnsi="Times New Roman"/>
          <w:sz w:val="24"/>
          <w:szCs w:val="24"/>
        </w:rPr>
        <w:t>önemli yanlışlık</w:t>
      </w:r>
      <w:r>
        <w:rPr>
          <w:rFonts w:ascii="Times New Roman" w:hAnsi="Times New Roman"/>
          <w:sz w:val="24"/>
          <w:szCs w:val="24"/>
        </w:rPr>
        <w:t>”</w:t>
      </w:r>
      <w:r w:rsidRPr="0077035B">
        <w:rPr>
          <w:rFonts w:ascii="Times New Roman" w:hAnsi="Times New Roman"/>
          <w:sz w:val="24"/>
          <w:szCs w:val="24"/>
        </w:rPr>
        <w:t xml:space="preserve"> riski.</w:t>
      </w:r>
    </w:p>
    <w:p w:rsidR="009A39F6" w:rsidRPr="0077035B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Stoklarla il</w:t>
      </w:r>
      <w:r>
        <w:rPr>
          <w:rFonts w:ascii="Times New Roman" w:hAnsi="Times New Roman"/>
          <w:sz w:val="24"/>
          <w:szCs w:val="24"/>
        </w:rPr>
        <w:t>işkin</w:t>
      </w:r>
      <w:r w:rsidRPr="0077035B">
        <w:rPr>
          <w:rFonts w:ascii="Times New Roman" w:hAnsi="Times New Roman"/>
          <w:sz w:val="24"/>
          <w:szCs w:val="24"/>
        </w:rPr>
        <w:t xml:space="preserve"> iç kontrolün niteliği.</w:t>
      </w:r>
    </w:p>
    <w:p w:rsidR="009A39F6" w:rsidRPr="00BB53FB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3FB">
        <w:rPr>
          <w:rFonts w:ascii="Times New Roman" w:hAnsi="Times New Roman"/>
          <w:sz w:val="24"/>
          <w:szCs w:val="24"/>
        </w:rPr>
        <w:t>Stokların fiziki sayımıyla ilgili yeterli prosedürlerin oluşturulup oluşturulmadığı ve uygun talimatların yayımlanıp yayımlanmadığı.</w:t>
      </w:r>
    </w:p>
    <w:p w:rsidR="009A39F6" w:rsidRPr="0077035B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Fiziki </w:t>
      </w:r>
      <w:r w:rsidRPr="00523CE0">
        <w:rPr>
          <w:rFonts w:ascii="Times New Roman" w:hAnsi="Times New Roman"/>
          <w:sz w:val="24"/>
          <w:szCs w:val="24"/>
        </w:rPr>
        <w:t>stok sayımının zamanlaması</w:t>
      </w:r>
      <w:r>
        <w:rPr>
          <w:rFonts w:ascii="Times New Roman" w:hAnsi="Times New Roman"/>
          <w:sz w:val="24"/>
          <w:szCs w:val="24"/>
        </w:rPr>
        <w:t>.</w:t>
      </w:r>
    </w:p>
    <w:p w:rsidR="009A39F6" w:rsidRPr="00E148C9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48C9">
        <w:rPr>
          <w:rFonts w:ascii="Times New Roman" w:hAnsi="Times New Roman"/>
          <w:sz w:val="24"/>
          <w:szCs w:val="24"/>
        </w:rPr>
        <w:t>İşletmenin sürekli envanter sistemin</w:t>
      </w:r>
      <w:r w:rsidRPr="00143295">
        <w:rPr>
          <w:rFonts w:ascii="Times New Roman" w:hAnsi="Times New Roman"/>
          <w:sz w:val="24"/>
          <w:szCs w:val="24"/>
        </w:rPr>
        <w:t>i kullanıp kullanmadığı.</w:t>
      </w:r>
    </w:p>
    <w:p w:rsidR="009A39F6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Stok sayımına katılımın uygun olacağı yerlere karar verilirken, stokların önemliliği ve farklı yerlerde</w:t>
      </w:r>
      <w:r>
        <w:rPr>
          <w:rFonts w:ascii="Times New Roman" w:hAnsi="Times New Roman"/>
          <w:sz w:val="24"/>
          <w:szCs w:val="24"/>
        </w:rPr>
        <w:t xml:space="preserve">ki </w:t>
      </w:r>
      <w:r w:rsidRPr="00143295">
        <w:rPr>
          <w:rFonts w:ascii="Times New Roman" w:hAnsi="Times New Roman"/>
          <w:sz w:val="24"/>
          <w:szCs w:val="24"/>
        </w:rPr>
        <w:t xml:space="preserve">“önemli yanlışlık” riskleri de dâhil, stokların bulunduğu yerler. </w:t>
      </w:r>
      <w:r w:rsidRPr="004A7A87">
        <w:rPr>
          <w:rFonts w:ascii="Times New Roman" w:hAnsi="Times New Roman"/>
          <w:sz w:val="24"/>
          <w:szCs w:val="24"/>
        </w:rPr>
        <w:t>BDS 600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,</w:t>
      </w:r>
      <w:r w:rsidRPr="00143295">
        <w:rPr>
          <w:rFonts w:ascii="Times New Roman" w:hAnsi="Times New Roman"/>
          <w:sz w:val="24"/>
          <w:szCs w:val="24"/>
        </w:rPr>
        <w:t xml:space="preserve"> diğer denetçilerin denetime katılımını düze</w:t>
      </w:r>
      <w:r>
        <w:rPr>
          <w:rFonts w:ascii="Times New Roman" w:hAnsi="Times New Roman"/>
          <w:sz w:val="24"/>
          <w:szCs w:val="24"/>
        </w:rPr>
        <w:t>nle</w:t>
      </w:r>
      <w:r w:rsidRPr="00143295">
        <w:rPr>
          <w:rFonts w:ascii="Times New Roman" w:hAnsi="Times New Roman"/>
          <w:sz w:val="24"/>
          <w:szCs w:val="24"/>
        </w:rPr>
        <w:t>mekte olup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3295">
        <w:rPr>
          <w:rFonts w:ascii="Times New Roman" w:hAnsi="Times New Roman"/>
          <w:sz w:val="24"/>
          <w:szCs w:val="24"/>
        </w:rPr>
        <w:t>uzak bir yerde</w:t>
      </w:r>
      <w:r>
        <w:rPr>
          <w:rFonts w:ascii="Times New Roman" w:hAnsi="Times New Roman"/>
          <w:sz w:val="24"/>
          <w:szCs w:val="24"/>
        </w:rPr>
        <w:t xml:space="preserve">ki stok sayımına bu tip bir </w:t>
      </w:r>
      <w:r w:rsidRPr="00143295">
        <w:rPr>
          <w:rFonts w:ascii="Times New Roman" w:hAnsi="Times New Roman"/>
          <w:sz w:val="24"/>
          <w:szCs w:val="24"/>
        </w:rPr>
        <w:t xml:space="preserve">katılımın olması </w:t>
      </w:r>
      <w:r>
        <w:rPr>
          <w:rFonts w:ascii="Times New Roman" w:hAnsi="Times New Roman"/>
          <w:sz w:val="24"/>
          <w:szCs w:val="24"/>
        </w:rPr>
        <w:t>hâlinde BDS 600 ilgili olabilir.</w:t>
      </w:r>
    </w:p>
    <w:p w:rsidR="009A39F6" w:rsidRPr="00143295" w:rsidRDefault="009A39F6" w:rsidP="00143295">
      <w:pPr>
        <w:pStyle w:val="ListParagraph"/>
        <w:widowControl w:val="0"/>
        <w:numPr>
          <w:ilvl w:val="0"/>
          <w:numId w:val="10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Denetçinin faydalandığı uzmanın yardımına ihtiyaç duyulup duyulmadığı. BDS 620</w:t>
      </w:r>
      <w:r w:rsidRPr="00143295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143295">
        <w:rPr>
          <w:rFonts w:ascii="Times New Roman" w:hAnsi="Times New Roman"/>
          <w:sz w:val="24"/>
          <w:szCs w:val="24"/>
        </w:rPr>
        <w:t xml:space="preserve">, denetçinin yeterli ve uygun denetim kanıtı elde etmesine yardımcı olması amacıyla denetçinin </w:t>
      </w:r>
      <w:r>
        <w:rPr>
          <w:rFonts w:ascii="Times New Roman" w:hAnsi="Times New Roman"/>
          <w:sz w:val="24"/>
          <w:szCs w:val="24"/>
        </w:rPr>
        <w:t>faydalandığı bir uzmanın kullanımını</w:t>
      </w:r>
      <w:r w:rsidRPr="00143295">
        <w:rPr>
          <w:rFonts w:ascii="Times New Roman" w:hAnsi="Times New Roman"/>
          <w:sz w:val="24"/>
          <w:szCs w:val="24"/>
        </w:rPr>
        <w:t xml:space="preserve"> düzenler.</w:t>
      </w:r>
    </w:p>
    <w:p w:rsidR="009A39F6" w:rsidRPr="0077035B" w:rsidRDefault="009A39F6" w:rsidP="0014329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Yönetimin Talimat ve Prosedürlerinin Değerlendirilmesi (Bakınız: 4(a)(i)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A4.  </w:t>
      </w:r>
      <w:r>
        <w:rPr>
          <w:rFonts w:ascii="Times New Roman" w:hAnsi="Times New Roman"/>
          <w:sz w:val="24"/>
          <w:szCs w:val="24"/>
        </w:rPr>
        <w:tab/>
        <w:t>F</w:t>
      </w:r>
      <w:r w:rsidRPr="0077035B">
        <w:rPr>
          <w:rFonts w:ascii="Times New Roman" w:hAnsi="Times New Roman"/>
          <w:sz w:val="24"/>
          <w:szCs w:val="24"/>
        </w:rPr>
        <w:t>iziki stok sayımının kay</w:t>
      </w:r>
      <w:r>
        <w:rPr>
          <w:rFonts w:ascii="Times New Roman" w:hAnsi="Times New Roman"/>
          <w:sz w:val="24"/>
          <w:szCs w:val="24"/>
        </w:rPr>
        <w:t>ıt</w:t>
      </w:r>
      <w:r w:rsidRPr="0077035B">
        <w:rPr>
          <w:rFonts w:ascii="Times New Roman" w:hAnsi="Times New Roman"/>
          <w:sz w:val="24"/>
          <w:szCs w:val="24"/>
        </w:rPr>
        <w:t xml:space="preserve"> ve kontrol edilmesine </w:t>
      </w:r>
      <w:r>
        <w:rPr>
          <w:rFonts w:ascii="Times New Roman" w:hAnsi="Times New Roman"/>
          <w:sz w:val="24"/>
          <w:szCs w:val="24"/>
        </w:rPr>
        <w:t>yönelik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 w:rsidRPr="0077035B">
        <w:rPr>
          <w:rFonts w:ascii="Times New Roman" w:hAnsi="Times New Roman"/>
          <w:sz w:val="24"/>
          <w:szCs w:val="24"/>
        </w:rPr>
        <w:t>önetimin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>talimat ve prosedürleri</w:t>
      </w:r>
      <w:r>
        <w:rPr>
          <w:rFonts w:ascii="Times New Roman" w:hAnsi="Times New Roman"/>
          <w:sz w:val="24"/>
          <w:szCs w:val="24"/>
        </w:rPr>
        <w:t>nin</w:t>
      </w:r>
      <w:r w:rsidRPr="0077035B">
        <w:rPr>
          <w:rFonts w:ascii="Times New Roman" w:hAnsi="Times New Roman"/>
          <w:sz w:val="24"/>
          <w:szCs w:val="24"/>
        </w:rPr>
        <w:t xml:space="preserve"> değerlendiril</w:t>
      </w:r>
      <w:r>
        <w:rPr>
          <w:rFonts w:ascii="Times New Roman" w:hAnsi="Times New Roman"/>
          <w:sz w:val="24"/>
          <w:szCs w:val="24"/>
        </w:rPr>
        <w:t xml:space="preserve">mesiyle ilgili olan hususlar, </w:t>
      </w:r>
      <w:r w:rsidRPr="0077035B">
        <w:rPr>
          <w:rFonts w:ascii="Times New Roman" w:hAnsi="Times New Roman"/>
          <w:sz w:val="24"/>
          <w:szCs w:val="24"/>
        </w:rPr>
        <w:t>bu talimat ve prosedürlerin</w:t>
      </w:r>
      <w:r>
        <w:rPr>
          <w:rFonts w:ascii="Times New Roman" w:hAnsi="Times New Roman"/>
          <w:sz w:val="24"/>
          <w:szCs w:val="24"/>
        </w:rPr>
        <w:t xml:space="preserve"> örneğin</w:t>
      </w:r>
      <w:r w:rsidRPr="0077035B">
        <w:rPr>
          <w:rFonts w:ascii="Times New Roman" w:hAnsi="Times New Roman"/>
          <w:sz w:val="24"/>
          <w:szCs w:val="24"/>
        </w:rPr>
        <w:t xml:space="preserve"> aşağıda</w:t>
      </w:r>
      <w:r>
        <w:rPr>
          <w:rFonts w:ascii="Times New Roman" w:hAnsi="Times New Roman"/>
          <w:sz w:val="24"/>
          <w:szCs w:val="24"/>
        </w:rPr>
        <w:t>kileri</w:t>
      </w:r>
      <w:r w:rsidRPr="0077035B">
        <w:rPr>
          <w:rFonts w:ascii="Times New Roman" w:hAnsi="Times New Roman"/>
          <w:sz w:val="24"/>
          <w:szCs w:val="24"/>
        </w:rPr>
        <w:t xml:space="preserve"> ele alıp almadığı</w:t>
      </w:r>
      <w:r>
        <w:rPr>
          <w:rFonts w:ascii="Times New Roman" w:hAnsi="Times New Roman"/>
          <w:sz w:val="24"/>
          <w:szCs w:val="24"/>
        </w:rPr>
        <w:t>nı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içerir</w:t>
      </w:r>
      <w:r w:rsidRPr="0077035B">
        <w:rPr>
          <w:rFonts w:ascii="Times New Roman" w:hAnsi="Times New Roman"/>
          <w:sz w:val="24"/>
          <w:szCs w:val="24"/>
        </w:rPr>
        <w:t>:</w:t>
      </w:r>
    </w:p>
    <w:p w:rsidR="009A39F6" w:rsidRPr="00463C83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C83">
        <w:rPr>
          <w:rFonts w:ascii="Times New Roman" w:hAnsi="Times New Roman"/>
          <w:sz w:val="24"/>
          <w:szCs w:val="24"/>
        </w:rPr>
        <w:t>Uygun kontrol faaliyetlerinin uygulanması; örneğin kullanıl</w:t>
      </w:r>
      <w:r w:rsidRPr="008F620D">
        <w:rPr>
          <w:rFonts w:ascii="Times New Roman" w:hAnsi="Times New Roman"/>
          <w:sz w:val="24"/>
          <w:szCs w:val="24"/>
        </w:rPr>
        <w:t>mış</w:t>
      </w:r>
      <w:r w:rsidRPr="00463C83">
        <w:rPr>
          <w:rFonts w:ascii="Times New Roman" w:hAnsi="Times New Roman"/>
          <w:sz w:val="24"/>
          <w:szCs w:val="24"/>
        </w:rPr>
        <w:t xml:space="preserve"> fiziki stok sayım kayıtlarının bir araya getirilmesi, kullanılma</w:t>
      </w:r>
      <w:r w:rsidRPr="008F620D">
        <w:rPr>
          <w:rFonts w:ascii="Times New Roman" w:hAnsi="Times New Roman"/>
          <w:sz w:val="24"/>
          <w:szCs w:val="24"/>
        </w:rPr>
        <w:t>mış</w:t>
      </w:r>
      <w:r w:rsidRPr="00463C83">
        <w:rPr>
          <w:rFonts w:ascii="Times New Roman" w:hAnsi="Times New Roman"/>
          <w:sz w:val="24"/>
          <w:szCs w:val="24"/>
        </w:rPr>
        <w:t xml:space="preserve"> fiziki stok sayım kayıtlarının </w:t>
      </w:r>
      <w:r w:rsidRPr="008F620D">
        <w:rPr>
          <w:rFonts w:ascii="Times New Roman" w:hAnsi="Times New Roman"/>
          <w:sz w:val="24"/>
          <w:szCs w:val="24"/>
        </w:rPr>
        <w:t>hesaba katılması ile</w:t>
      </w:r>
      <w:r w:rsidRPr="00463C83">
        <w:rPr>
          <w:rFonts w:ascii="Times New Roman" w:hAnsi="Times New Roman"/>
          <w:sz w:val="24"/>
          <w:szCs w:val="24"/>
        </w:rPr>
        <w:t xml:space="preserve"> sayım ve yeniden sayım prosedürlerinin uygulanması.</w:t>
      </w:r>
    </w:p>
    <w:p w:rsidR="009A39F6" w:rsidRPr="008F620D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620D">
        <w:rPr>
          <w:rFonts w:ascii="Times New Roman" w:hAnsi="Times New Roman"/>
          <w:sz w:val="24"/>
          <w:szCs w:val="24"/>
        </w:rPr>
        <w:t>Yarı mamullerin,</w:t>
      </w:r>
      <w:r w:rsidRPr="00463C83">
        <w:rPr>
          <w:rFonts w:ascii="Times New Roman" w:hAnsi="Times New Roman"/>
          <w:sz w:val="24"/>
          <w:szCs w:val="24"/>
        </w:rPr>
        <w:t xml:space="preserve"> tamamlanma </w:t>
      </w:r>
      <w:r w:rsidRPr="008F620D">
        <w:rPr>
          <w:rFonts w:ascii="Times New Roman" w:hAnsi="Times New Roman"/>
          <w:sz w:val="24"/>
          <w:szCs w:val="24"/>
        </w:rPr>
        <w:t xml:space="preserve">derecesi </w:t>
      </w:r>
      <w:r w:rsidRPr="00463C83">
        <w:rPr>
          <w:rFonts w:ascii="Times New Roman" w:hAnsi="Times New Roman"/>
          <w:sz w:val="24"/>
          <w:szCs w:val="24"/>
        </w:rPr>
        <w:t xml:space="preserve">ile </w:t>
      </w:r>
      <w:r w:rsidRPr="008F620D">
        <w:rPr>
          <w:rFonts w:ascii="Times New Roman" w:hAnsi="Times New Roman"/>
          <w:sz w:val="24"/>
          <w:szCs w:val="24"/>
        </w:rPr>
        <w:t xml:space="preserve">yavaş giden, </w:t>
      </w:r>
      <w:r w:rsidRPr="00463C83">
        <w:rPr>
          <w:rFonts w:ascii="Times New Roman" w:hAnsi="Times New Roman"/>
          <w:sz w:val="24"/>
          <w:szCs w:val="24"/>
        </w:rPr>
        <w:t xml:space="preserve">değeri düşen, zarar gören ve üçüncü bir kişinin sahip olduğu </w:t>
      </w:r>
      <w:r w:rsidRPr="008F620D">
        <w:rPr>
          <w:rFonts w:ascii="Times New Roman" w:hAnsi="Times New Roman"/>
          <w:sz w:val="24"/>
          <w:szCs w:val="24"/>
        </w:rPr>
        <w:t>(konsinye mallar gibi) stok kalemlerinin doğru bir şekilde belirlenmesi.</w:t>
      </w:r>
    </w:p>
    <w:p w:rsidR="009A39F6" w:rsidRPr="0077035B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Fiziki miktarları tahm</w:t>
      </w:r>
      <w:r>
        <w:rPr>
          <w:rFonts w:ascii="Times New Roman" w:hAnsi="Times New Roman"/>
          <w:sz w:val="24"/>
          <w:szCs w:val="24"/>
        </w:rPr>
        <w:t xml:space="preserve">in etmek amacıyla kullanılan prosedürler; </w:t>
      </w:r>
      <w:r w:rsidRPr="0077035B">
        <w:rPr>
          <w:rFonts w:ascii="Times New Roman" w:hAnsi="Times New Roman"/>
          <w:sz w:val="24"/>
          <w:szCs w:val="24"/>
        </w:rPr>
        <w:t xml:space="preserve">örneğin </w:t>
      </w:r>
      <w:r>
        <w:rPr>
          <w:rFonts w:ascii="Times New Roman" w:hAnsi="Times New Roman"/>
          <w:sz w:val="24"/>
          <w:szCs w:val="24"/>
        </w:rPr>
        <w:t xml:space="preserve">-uygun hâllerde- </w:t>
      </w:r>
      <w:r w:rsidRPr="0077035B">
        <w:rPr>
          <w:rFonts w:ascii="Times New Roman" w:hAnsi="Times New Roman"/>
          <w:sz w:val="24"/>
          <w:szCs w:val="24"/>
        </w:rPr>
        <w:t>kömür yığınlarının fiziki miktarının tahmininde gerek</w:t>
      </w:r>
      <w:r>
        <w:rPr>
          <w:rFonts w:ascii="Times New Roman" w:hAnsi="Times New Roman"/>
          <w:sz w:val="24"/>
          <w:szCs w:val="24"/>
        </w:rPr>
        <w:t>li olabilecek</w:t>
      </w:r>
      <w:r w:rsidRPr="0077035B">
        <w:rPr>
          <w:rFonts w:ascii="Times New Roman" w:hAnsi="Times New Roman"/>
          <w:sz w:val="24"/>
          <w:szCs w:val="24"/>
        </w:rPr>
        <w:t xml:space="preserve"> prosedürler.</w:t>
      </w:r>
    </w:p>
    <w:p w:rsidR="009A39F6" w:rsidRPr="0077035B" w:rsidRDefault="009A39F6" w:rsidP="00143295">
      <w:pPr>
        <w:pStyle w:val="ListParagraph"/>
        <w:numPr>
          <w:ilvl w:val="0"/>
          <w:numId w:val="10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Farklı alanlar arasındaki stok </w:t>
      </w:r>
      <w:r w:rsidRPr="00E933D7">
        <w:rPr>
          <w:rFonts w:ascii="Times New Roman" w:hAnsi="Times New Roman"/>
          <w:sz w:val="24"/>
          <w:szCs w:val="24"/>
        </w:rPr>
        <w:t>hareketlerinin ve hesap kesiminden önce</w:t>
      </w:r>
      <w:r w:rsidRPr="0077035B">
        <w:rPr>
          <w:rFonts w:ascii="Times New Roman" w:hAnsi="Times New Roman"/>
          <w:sz w:val="24"/>
          <w:szCs w:val="24"/>
        </w:rPr>
        <w:t xml:space="preserve"> ve sonra sevk edilen ve teslim alınan stokların kontrolü.</w:t>
      </w:r>
    </w:p>
    <w:p w:rsidR="009A39F6" w:rsidRPr="0077035B" w:rsidRDefault="009A39F6" w:rsidP="0014329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>Yönetimin Sayım</w:t>
      </w:r>
      <w:r>
        <w:rPr>
          <w:rFonts w:ascii="Times New Roman" w:hAnsi="Times New Roman"/>
          <w:sz w:val="24"/>
          <w:szCs w:val="24"/>
        </w:rPr>
        <w:t>a İlişkin</w:t>
      </w:r>
      <w:r w:rsidRPr="0077035B">
        <w:rPr>
          <w:rFonts w:ascii="Times New Roman" w:hAnsi="Times New Roman"/>
          <w:sz w:val="24"/>
          <w:szCs w:val="24"/>
        </w:rPr>
        <w:t xml:space="preserve"> Prosedürlerinin </w:t>
      </w:r>
      <w:r>
        <w:rPr>
          <w:rFonts w:ascii="Times New Roman" w:hAnsi="Times New Roman"/>
          <w:sz w:val="24"/>
          <w:szCs w:val="24"/>
        </w:rPr>
        <w:t xml:space="preserve">Uygulanmasının </w:t>
      </w:r>
      <w:r w:rsidRPr="0077035B">
        <w:rPr>
          <w:rFonts w:ascii="Times New Roman" w:hAnsi="Times New Roman"/>
          <w:sz w:val="24"/>
          <w:szCs w:val="24"/>
        </w:rPr>
        <w:t xml:space="preserve">Gözlemlenmesi (Bakınız: 4(a)(ii)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A5.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Yönetimin sayım</w:t>
      </w:r>
      <w:r>
        <w:rPr>
          <w:rFonts w:ascii="Times New Roman" w:hAnsi="Times New Roman"/>
          <w:sz w:val="24"/>
          <w:szCs w:val="24"/>
        </w:rPr>
        <w:t>a ilişkin</w:t>
      </w:r>
      <w:r w:rsidRPr="0077035B">
        <w:rPr>
          <w:rFonts w:ascii="Times New Roman" w:hAnsi="Times New Roman"/>
          <w:sz w:val="24"/>
          <w:szCs w:val="24"/>
        </w:rPr>
        <w:t xml:space="preserve"> prosedürlerinin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>(sayımdan önce, sayım sırasında ve sonrasında stok hareketlerinin kontrolü</w:t>
      </w:r>
      <w:r>
        <w:rPr>
          <w:rFonts w:ascii="Times New Roman" w:hAnsi="Times New Roman"/>
          <w:sz w:val="24"/>
          <w:szCs w:val="24"/>
        </w:rPr>
        <w:t>yle</w:t>
      </w:r>
      <w:r w:rsidRPr="0077035B">
        <w:rPr>
          <w:rFonts w:ascii="Times New Roman" w:hAnsi="Times New Roman"/>
          <w:sz w:val="24"/>
          <w:szCs w:val="24"/>
        </w:rPr>
        <w:t xml:space="preserve"> ilgili olan prosedürler gibi)</w:t>
      </w:r>
      <w:r>
        <w:rPr>
          <w:rFonts w:ascii="Times New Roman" w:hAnsi="Times New Roman"/>
          <w:sz w:val="24"/>
          <w:szCs w:val="24"/>
        </w:rPr>
        <w:t xml:space="preserve"> uygulanmasının</w:t>
      </w:r>
      <w:r w:rsidRPr="0077035B">
        <w:rPr>
          <w:rFonts w:ascii="Times New Roman" w:hAnsi="Times New Roman"/>
          <w:sz w:val="24"/>
          <w:szCs w:val="24"/>
        </w:rPr>
        <w:t xml:space="preserve"> gözlemlenmesi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>denetçinin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yönetimin talimat ve sayım prosedürlerinin gerektiği gibi tasarlandığı ve uygulandığı</w:t>
      </w:r>
      <w:r>
        <w:rPr>
          <w:rFonts w:ascii="Times New Roman" w:hAnsi="Times New Roman"/>
          <w:sz w:val="24"/>
          <w:szCs w:val="24"/>
        </w:rPr>
        <w:t>na ilişkin</w:t>
      </w:r>
      <w:r w:rsidRPr="0077035B">
        <w:rPr>
          <w:rFonts w:ascii="Times New Roman" w:hAnsi="Times New Roman"/>
          <w:sz w:val="24"/>
          <w:szCs w:val="24"/>
        </w:rPr>
        <w:t xml:space="preserve"> denetim kanıtı</w:t>
      </w:r>
      <w:r>
        <w:rPr>
          <w:rFonts w:ascii="Times New Roman" w:hAnsi="Times New Roman"/>
          <w:sz w:val="24"/>
          <w:szCs w:val="24"/>
        </w:rPr>
        <w:t xml:space="preserve"> elde etmesine </w:t>
      </w:r>
      <w:r w:rsidRPr="0077035B">
        <w:rPr>
          <w:rFonts w:ascii="Times New Roman" w:hAnsi="Times New Roman"/>
          <w:sz w:val="24"/>
          <w:szCs w:val="24"/>
        </w:rPr>
        <w:t xml:space="preserve">yardımcı olur. </w:t>
      </w:r>
      <w:r w:rsidRPr="008F620D">
        <w:rPr>
          <w:rFonts w:ascii="Times New Roman" w:hAnsi="Times New Roman"/>
          <w:sz w:val="24"/>
          <w:szCs w:val="24"/>
        </w:rPr>
        <w:t>Ayrıca denetçi, sonraki bir tarihte gerçekleşen stok hareketlerinin muhasebeleştirilmesine yönelik denetim prosedürlerinin uygulanmasında kendisine yardımcı olması amacıyla, stok hareket dökümleri gibi hesap kesim bilgilerinin kopyalarını elde edebilir.</w:t>
      </w:r>
    </w:p>
    <w:p w:rsidR="009A39F6" w:rsidRPr="0077035B" w:rsidRDefault="009A39F6" w:rsidP="0014329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Stokların Tetkiki (Bakınız: 4(a)(iii)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A6. 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Denetçinin, fiziki stok sayımına katıl</w:t>
      </w:r>
      <w:r>
        <w:rPr>
          <w:rFonts w:ascii="Times New Roman" w:hAnsi="Times New Roman"/>
          <w:sz w:val="24"/>
          <w:szCs w:val="24"/>
        </w:rPr>
        <w:t>dığında</w:t>
      </w:r>
      <w:r w:rsidRPr="0077035B">
        <w:rPr>
          <w:rFonts w:ascii="Times New Roman" w:hAnsi="Times New Roman"/>
          <w:sz w:val="24"/>
          <w:szCs w:val="24"/>
        </w:rPr>
        <w:t xml:space="preserve"> stokları tetkik etmesi, stokların mevcudiyetini (söz konusu stoklar işletmenin </w:t>
      </w:r>
      <w:r>
        <w:rPr>
          <w:rFonts w:ascii="Times New Roman" w:hAnsi="Times New Roman"/>
          <w:sz w:val="24"/>
          <w:szCs w:val="24"/>
        </w:rPr>
        <w:t>mülkiyetinde</w:t>
      </w:r>
      <w:r w:rsidRPr="0077035B">
        <w:rPr>
          <w:rFonts w:ascii="Times New Roman" w:hAnsi="Times New Roman"/>
          <w:sz w:val="24"/>
          <w:szCs w:val="24"/>
        </w:rPr>
        <w:t xml:space="preserve"> olma</w:t>
      </w:r>
      <w:r>
        <w:rPr>
          <w:rFonts w:ascii="Times New Roman" w:hAnsi="Times New Roman"/>
          <w:sz w:val="24"/>
          <w:szCs w:val="24"/>
        </w:rPr>
        <w:t>k zorunda değildir</w:t>
      </w:r>
      <w:r w:rsidRPr="0077035B">
        <w:rPr>
          <w:rFonts w:ascii="Times New Roman" w:hAnsi="Times New Roman"/>
          <w:sz w:val="24"/>
          <w:szCs w:val="24"/>
        </w:rPr>
        <w:t xml:space="preserve">) </w:t>
      </w:r>
      <w:r w:rsidRPr="00E148C9">
        <w:rPr>
          <w:rFonts w:ascii="Times New Roman" w:hAnsi="Times New Roman"/>
          <w:sz w:val="24"/>
          <w:szCs w:val="24"/>
        </w:rPr>
        <w:t>tespit etmesine ve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 w:rsidRPr="005725AB">
        <w:rPr>
          <w:rFonts w:ascii="Times New Roman" w:hAnsi="Times New Roman"/>
          <w:sz w:val="24"/>
          <w:szCs w:val="24"/>
        </w:rPr>
        <w:t>örneğin değeri düşmüş, zarar</w:t>
      </w:r>
      <w:r w:rsidRPr="0077035B">
        <w:rPr>
          <w:rFonts w:ascii="Times New Roman" w:hAnsi="Times New Roman"/>
          <w:sz w:val="24"/>
          <w:szCs w:val="24"/>
        </w:rPr>
        <w:t xml:space="preserve"> görmüş veya eskiyen stokları belirlemesine yardımcı olur.</w:t>
      </w:r>
    </w:p>
    <w:p w:rsidR="009A39F6" w:rsidRPr="0077035B" w:rsidRDefault="009A39F6" w:rsidP="0014329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Test Sayımlarının </w:t>
      </w:r>
      <w:r>
        <w:rPr>
          <w:rFonts w:ascii="Times New Roman" w:hAnsi="Times New Roman"/>
          <w:sz w:val="24"/>
          <w:szCs w:val="24"/>
        </w:rPr>
        <w:t>Yapılması</w:t>
      </w:r>
      <w:r w:rsidRPr="0077035B">
        <w:rPr>
          <w:rFonts w:ascii="Times New Roman" w:hAnsi="Times New Roman"/>
          <w:sz w:val="24"/>
          <w:szCs w:val="24"/>
        </w:rPr>
        <w:t xml:space="preserve"> (Bakınız: 4(a)(iv)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A7.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Test sayımlarının </w:t>
      </w:r>
      <w:r>
        <w:rPr>
          <w:rFonts w:ascii="Times New Roman" w:hAnsi="Times New Roman"/>
          <w:sz w:val="24"/>
          <w:szCs w:val="24"/>
        </w:rPr>
        <w:t>yapılması</w:t>
      </w:r>
      <w:r w:rsidRPr="0077035B">
        <w:rPr>
          <w:rFonts w:ascii="Times New Roman" w:hAnsi="Times New Roman"/>
          <w:sz w:val="24"/>
          <w:szCs w:val="24"/>
        </w:rPr>
        <w:t xml:space="preserve"> (örneğin, seçilen kalemlerin kayıtlardan fiziki stoklara ve fiziki stoklardan da kayıtlara gidilerek test edilmesi)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stoklara ilişkin kayıtların tamlığı ve doğruluğu hakkında denetim kanıtı </w:t>
      </w:r>
      <w:r>
        <w:rPr>
          <w:rFonts w:ascii="Times New Roman" w:hAnsi="Times New Roman"/>
          <w:sz w:val="24"/>
          <w:szCs w:val="24"/>
        </w:rPr>
        <w:t>sağlar</w:t>
      </w:r>
      <w:r w:rsidRPr="0077035B">
        <w:rPr>
          <w:rFonts w:ascii="Times New Roman" w:hAnsi="Times New Roman"/>
          <w:sz w:val="24"/>
          <w:szCs w:val="24"/>
        </w:rPr>
        <w:t>.</w:t>
      </w:r>
    </w:p>
    <w:p w:rsidR="009A39F6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A8.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Denetçinin </w:t>
      </w:r>
      <w:r>
        <w:rPr>
          <w:rFonts w:ascii="Times New Roman" w:hAnsi="Times New Roman"/>
          <w:sz w:val="24"/>
          <w:szCs w:val="24"/>
        </w:rPr>
        <w:t>yaptığı test sayımlarının</w:t>
      </w:r>
      <w:r w:rsidRPr="0077035B">
        <w:rPr>
          <w:rFonts w:ascii="Times New Roman" w:hAnsi="Times New Roman"/>
          <w:sz w:val="24"/>
          <w:szCs w:val="24"/>
        </w:rPr>
        <w:t xml:space="preserve"> kaydedilmesinin yanı sıra, yönetimin tamamlanmış fiziki stok sayım kayıtlarının kopyalarının elde edilmesi</w:t>
      </w:r>
      <w:r>
        <w:rPr>
          <w:rFonts w:ascii="Times New Roman" w:hAnsi="Times New Roman"/>
          <w:sz w:val="24"/>
          <w:szCs w:val="24"/>
        </w:rPr>
        <w:t>;</w:t>
      </w:r>
      <w:r w:rsidRPr="0077035B">
        <w:rPr>
          <w:rFonts w:ascii="Times New Roman" w:hAnsi="Times New Roman"/>
          <w:sz w:val="24"/>
          <w:szCs w:val="24"/>
        </w:rPr>
        <w:t xml:space="preserve"> denetçinin işletmenin nihai stok kayıtlarının gerçek stok sayım sonuçlarını doğru bir şekilde yansıtıp yansıtmadığını belirle</w:t>
      </w:r>
      <w:r>
        <w:rPr>
          <w:rFonts w:ascii="Times New Roman" w:hAnsi="Times New Roman"/>
          <w:sz w:val="24"/>
          <w:szCs w:val="24"/>
        </w:rPr>
        <w:t>mek amacıyla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 w:rsidRPr="00B05CE8">
        <w:rPr>
          <w:rFonts w:ascii="Times New Roman" w:hAnsi="Times New Roman"/>
          <w:sz w:val="24"/>
          <w:szCs w:val="24"/>
        </w:rPr>
        <w:t>sonraki denetim prosedürlerini uygulamasına yardımcı olur.</w:t>
      </w:r>
    </w:p>
    <w:p w:rsidR="009A39F6" w:rsidRPr="0077035B" w:rsidRDefault="009A39F6" w:rsidP="00143295">
      <w:pPr>
        <w:keepNext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129D5">
        <w:rPr>
          <w:rFonts w:ascii="Times New Roman" w:hAnsi="Times New Roman"/>
          <w:i/>
          <w:sz w:val="24"/>
          <w:szCs w:val="24"/>
        </w:rPr>
        <w:t xml:space="preserve">Finansal Tablo Tarihinden Farklı </w:t>
      </w:r>
      <w:r>
        <w:rPr>
          <w:rFonts w:ascii="Times New Roman" w:hAnsi="Times New Roman"/>
          <w:i/>
          <w:sz w:val="24"/>
          <w:szCs w:val="24"/>
        </w:rPr>
        <w:t>B</w:t>
      </w:r>
      <w:r w:rsidRPr="002129D5">
        <w:rPr>
          <w:rFonts w:ascii="Times New Roman" w:hAnsi="Times New Roman"/>
          <w:i/>
          <w:sz w:val="24"/>
          <w:szCs w:val="24"/>
        </w:rPr>
        <w:t>ir Tarihte Yapılan Fiziki Stok Sayımı</w:t>
      </w:r>
      <w:r>
        <w:rPr>
          <w:rFonts w:ascii="Times New Roman" w:hAnsi="Times New Roman"/>
          <w:sz w:val="24"/>
          <w:szCs w:val="24"/>
        </w:rPr>
        <w:t xml:space="preserve"> (Bakınız:</w:t>
      </w:r>
      <w:r w:rsidRPr="0077035B">
        <w:rPr>
          <w:rFonts w:ascii="Times New Roman" w:hAnsi="Times New Roman"/>
          <w:sz w:val="24"/>
          <w:szCs w:val="24"/>
        </w:rPr>
        <w:t xml:space="preserve"> 5 inci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aragraf)</w:t>
      </w:r>
    </w:p>
    <w:p w:rsidR="009A39F6" w:rsidRPr="005725AB" w:rsidRDefault="009A39F6" w:rsidP="00143295">
      <w:pPr>
        <w:keepNext/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A9.   </w:t>
      </w:r>
      <w:r>
        <w:rPr>
          <w:rFonts w:ascii="Times New Roman" w:hAnsi="Times New Roman"/>
          <w:sz w:val="24"/>
          <w:szCs w:val="24"/>
        </w:rPr>
        <w:tab/>
        <w:t>Uygulamaya yönelik gerekçelerin bulunması</w:t>
      </w:r>
      <w:r w:rsidRPr="0077035B">
        <w:rPr>
          <w:rFonts w:ascii="Times New Roman" w:hAnsi="Times New Roman"/>
          <w:sz w:val="24"/>
          <w:szCs w:val="24"/>
        </w:rPr>
        <w:t xml:space="preserve"> durumunda fiziki stok sayımı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finansal tablo tarihinden farklı tarih </w:t>
      </w:r>
      <w:r>
        <w:rPr>
          <w:rFonts w:ascii="Times New Roman" w:hAnsi="Times New Roman"/>
          <w:sz w:val="24"/>
          <w:szCs w:val="24"/>
        </w:rPr>
        <w:t>veya</w:t>
      </w:r>
      <w:r w:rsidRPr="0077035B">
        <w:rPr>
          <w:rFonts w:ascii="Times New Roman" w:hAnsi="Times New Roman"/>
          <w:sz w:val="24"/>
          <w:szCs w:val="24"/>
        </w:rPr>
        <w:t xml:space="preserve"> tarihlerde yapılabilir.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5AB">
        <w:rPr>
          <w:rFonts w:ascii="Times New Roman" w:hAnsi="Times New Roman"/>
          <w:sz w:val="24"/>
          <w:szCs w:val="24"/>
        </w:rPr>
        <w:t>Yönetimin stok miktarlarını yıllık fiziki stok sayımıyla belirle</w:t>
      </w:r>
      <w:r>
        <w:rPr>
          <w:rFonts w:ascii="Times New Roman" w:hAnsi="Times New Roman"/>
          <w:sz w:val="24"/>
          <w:szCs w:val="24"/>
        </w:rPr>
        <w:t>yip belirlemediğine</w:t>
      </w:r>
      <w:r w:rsidRPr="005725AB">
        <w:rPr>
          <w:rFonts w:ascii="Times New Roman" w:hAnsi="Times New Roman"/>
          <w:sz w:val="24"/>
          <w:szCs w:val="24"/>
        </w:rPr>
        <w:t xml:space="preserve"> </w:t>
      </w:r>
      <w:r w:rsidRPr="00143295">
        <w:rPr>
          <w:rFonts w:ascii="Times New Roman" w:hAnsi="Times New Roman"/>
          <w:sz w:val="24"/>
          <w:szCs w:val="24"/>
        </w:rPr>
        <w:t>veya sürekli envanter sistemi kullanıp kullanmadığına bakılmaksızın böyle bir sayım yapıla</w:t>
      </w:r>
      <w:r w:rsidRPr="005725AB">
        <w:rPr>
          <w:rFonts w:ascii="Times New Roman" w:hAnsi="Times New Roman"/>
          <w:sz w:val="24"/>
          <w:szCs w:val="24"/>
        </w:rPr>
        <w:t xml:space="preserve">bilir. Her iki durumda da stok değişimlerine ilişkin kontrollerin tasarımı, uygulanması ve </w:t>
      </w:r>
      <w:r>
        <w:rPr>
          <w:rFonts w:ascii="Times New Roman" w:hAnsi="Times New Roman"/>
          <w:sz w:val="24"/>
          <w:szCs w:val="24"/>
        </w:rPr>
        <w:t>sürdürülmesinin</w:t>
      </w:r>
      <w:r w:rsidRPr="005725AB">
        <w:rPr>
          <w:rFonts w:ascii="Times New Roman" w:hAnsi="Times New Roman"/>
          <w:sz w:val="24"/>
          <w:szCs w:val="24"/>
        </w:rPr>
        <w:t xml:space="preserve"> etkinliği, finansal tablo tarihinden farklı tarih veya tarihlerde fiziki stok sayımının</w:t>
      </w:r>
      <w:r>
        <w:rPr>
          <w:rFonts w:ascii="Times New Roman" w:hAnsi="Times New Roman"/>
          <w:sz w:val="24"/>
          <w:szCs w:val="24"/>
        </w:rPr>
        <w:t xml:space="preserve"> yapılmasının,</w:t>
      </w:r>
      <w:r w:rsidRPr="005725AB">
        <w:rPr>
          <w:rFonts w:ascii="Times New Roman" w:hAnsi="Times New Roman"/>
          <w:sz w:val="24"/>
          <w:szCs w:val="24"/>
        </w:rPr>
        <w:t xml:space="preserve"> denetimin amaçlarına uygun olup olmadığını belirler. BDS 330, ara </w:t>
      </w:r>
      <w:r>
        <w:rPr>
          <w:rFonts w:ascii="Times New Roman" w:hAnsi="Times New Roman"/>
          <w:sz w:val="24"/>
          <w:szCs w:val="24"/>
        </w:rPr>
        <w:t>bir tarihte (</w:t>
      </w:r>
      <w:r w:rsidRPr="005725AB">
        <w:rPr>
          <w:rFonts w:ascii="Times New Roman" w:hAnsi="Times New Roman"/>
          <w:sz w:val="24"/>
          <w:szCs w:val="24"/>
        </w:rPr>
        <w:t>dönemde</w:t>
      </w:r>
      <w:r>
        <w:rPr>
          <w:rFonts w:ascii="Times New Roman" w:hAnsi="Times New Roman"/>
          <w:sz w:val="24"/>
          <w:szCs w:val="24"/>
        </w:rPr>
        <w:t>)</w:t>
      </w:r>
      <w:r w:rsidRPr="005725AB">
        <w:rPr>
          <w:rFonts w:ascii="Times New Roman" w:hAnsi="Times New Roman"/>
          <w:sz w:val="24"/>
          <w:szCs w:val="24"/>
        </w:rPr>
        <w:t xml:space="preserve"> uygulanan maddi doğrulama prosedürlerine ilişkin hüküm</w:t>
      </w:r>
      <w:r>
        <w:rPr>
          <w:rFonts w:ascii="Times New Roman" w:hAnsi="Times New Roman"/>
          <w:sz w:val="24"/>
          <w:szCs w:val="24"/>
        </w:rPr>
        <w:t xml:space="preserve"> ve açıklamalar içerir</w:t>
      </w:r>
      <w:r w:rsidRPr="005725AB">
        <w:rPr>
          <w:rFonts w:ascii="Times New Roman" w:hAnsi="Times New Roman"/>
          <w:sz w:val="24"/>
          <w:szCs w:val="24"/>
        </w:rPr>
        <w:t>.</w:t>
      </w:r>
      <w:r w:rsidRPr="005725AB"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9A39F6" w:rsidRPr="005725A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725AB">
        <w:rPr>
          <w:rFonts w:ascii="Times New Roman" w:hAnsi="Times New Roman"/>
          <w:sz w:val="24"/>
          <w:szCs w:val="24"/>
        </w:rPr>
        <w:t xml:space="preserve">A10.   </w:t>
      </w:r>
      <w:r w:rsidRPr="005725AB">
        <w:rPr>
          <w:rFonts w:ascii="Times New Roman" w:hAnsi="Times New Roman"/>
          <w:sz w:val="24"/>
          <w:szCs w:val="24"/>
        </w:rPr>
        <w:tab/>
      </w:r>
      <w:r w:rsidRPr="00143295">
        <w:rPr>
          <w:rFonts w:ascii="Times New Roman" w:hAnsi="Times New Roman"/>
          <w:sz w:val="24"/>
          <w:szCs w:val="24"/>
        </w:rPr>
        <w:t>Sürekli envanter sisteminin kullanılması durumunda yönetim, işletmenin sürekli envanter kayıtlarında yer alan stok miktarı bilgilerinin</w:t>
      </w:r>
      <w:r w:rsidRPr="005725AB">
        <w:rPr>
          <w:rFonts w:ascii="Times New Roman" w:hAnsi="Times New Roman"/>
          <w:sz w:val="24"/>
          <w:szCs w:val="24"/>
        </w:rPr>
        <w:t xml:space="preserve"> güvenilirliğini </w:t>
      </w:r>
      <w:r w:rsidRPr="00E148C9">
        <w:rPr>
          <w:rFonts w:ascii="Times New Roman" w:hAnsi="Times New Roman"/>
          <w:sz w:val="24"/>
          <w:szCs w:val="24"/>
        </w:rPr>
        <w:t xml:space="preserve">tespit etmek için fiziki </w:t>
      </w:r>
      <w:r w:rsidRPr="00143295">
        <w:rPr>
          <w:rFonts w:ascii="Times New Roman" w:hAnsi="Times New Roman"/>
          <w:sz w:val="24"/>
          <w:szCs w:val="24"/>
        </w:rPr>
        <w:t>sayım veya başka testler uygulayabilir. Bazı durumlarda yönetim veya denetçi, sürekli envanter kayıtları ile mevcut</w:t>
      </w:r>
      <w:r w:rsidRPr="005725AB">
        <w:rPr>
          <w:rFonts w:ascii="Times New Roman" w:hAnsi="Times New Roman"/>
          <w:sz w:val="24"/>
          <w:szCs w:val="24"/>
        </w:rPr>
        <w:t xml:space="preserve"> fiziki stok miktarları arasında farklılıklar belirleyebilir; bu </w:t>
      </w:r>
      <w:r>
        <w:rPr>
          <w:rFonts w:ascii="Times New Roman" w:hAnsi="Times New Roman"/>
          <w:sz w:val="24"/>
          <w:szCs w:val="24"/>
        </w:rPr>
        <w:t xml:space="preserve">durum </w:t>
      </w:r>
      <w:r w:rsidRPr="005725AB">
        <w:rPr>
          <w:rFonts w:ascii="Times New Roman" w:hAnsi="Times New Roman"/>
          <w:sz w:val="24"/>
          <w:szCs w:val="24"/>
        </w:rPr>
        <w:t>stok değişimlerine ilişkin kontrollerin etkin bir şekilde işlemediğin</w:t>
      </w:r>
      <w:r>
        <w:rPr>
          <w:rFonts w:ascii="Times New Roman" w:hAnsi="Times New Roman"/>
          <w:sz w:val="24"/>
          <w:szCs w:val="24"/>
        </w:rPr>
        <w:t>e işaret edebilir</w:t>
      </w:r>
      <w:r w:rsidRPr="005725AB">
        <w:rPr>
          <w:rFonts w:ascii="Times New Roman" w:hAnsi="Times New Roman"/>
          <w:sz w:val="24"/>
          <w:szCs w:val="24"/>
        </w:rPr>
        <w:t>.</w:t>
      </w:r>
    </w:p>
    <w:p w:rsidR="009A39F6" w:rsidRPr="005725A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5725AB">
        <w:rPr>
          <w:rFonts w:ascii="Times New Roman" w:hAnsi="Times New Roman"/>
          <w:sz w:val="24"/>
          <w:szCs w:val="24"/>
        </w:rPr>
        <w:t xml:space="preserve">A11.   </w:t>
      </w:r>
      <w:r w:rsidRPr="005725AB">
        <w:rPr>
          <w:rFonts w:ascii="Times New Roman" w:hAnsi="Times New Roman"/>
          <w:sz w:val="24"/>
          <w:szCs w:val="24"/>
        </w:rPr>
        <w:tab/>
        <w:t xml:space="preserve">Sayım tarihi veya tarihleri </w:t>
      </w:r>
      <w:r>
        <w:rPr>
          <w:rFonts w:ascii="Times New Roman" w:hAnsi="Times New Roman"/>
          <w:sz w:val="24"/>
          <w:szCs w:val="24"/>
        </w:rPr>
        <w:t>ile</w:t>
      </w:r>
      <w:r w:rsidRPr="005725AB">
        <w:rPr>
          <w:rFonts w:ascii="Times New Roman" w:hAnsi="Times New Roman"/>
          <w:sz w:val="24"/>
          <w:szCs w:val="24"/>
        </w:rPr>
        <w:t xml:space="preserve"> nihai stok kayıtları</w:t>
      </w:r>
      <w:r>
        <w:rPr>
          <w:rFonts w:ascii="Times New Roman" w:hAnsi="Times New Roman"/>
          <w:sz w:val="24"/>
          <w:szCs w:val="24"/>
        </w:rPr>
        <w:t xml:space="preserve"> arasında</w:t>
      </w:r>
      <w:r w:rsidRPr="005725AB">
        <w:rPr>
          <w:rFonts w:ascii="Times New Roman" w:hAnsi="Times New Roman"/>
          <w:sz w:val="24"/>
          <w:szCs w:val="24"/>
        </w:rPr>
        <w:t xml:space="preserve"> stok tutarlarında meydana gelen değişikliklerin </w:t>
      </w:r>
      <w:r>
        <w:rPr>
          <w:rFonts w:ascii="Times New Roman" w:hAnsi="Times New Roman"/>
          <w:sz w:val="24"/>
          <w:szCs w:val="24"/>
        </w:rPr>
        <w:t>uygun</w:t>
      </w:r>
      <w:r w:rsidRPr="005725AB">
        <w:rPr>
          <w:rFonts w:ascii="Times New Roman" w:hAnsi="Times New Roman"/>
          <w:sz w:val="24"/>
          <w:szCs w:val="24"/>
        </w:rPr>
        <w:t xml:space="preserve"> bir şekilde kaydedilip kaydedilmediğine ilişkin denetim kanıtı elde e</w:t>
      </w:r>
      <w:r>
        <w:rPr>
          <w:rFonts w:ascii="Times New Roman" w:hAnsi="Times New Roman"/>
          <w:sz w:val="24"/>
          <w:szCs w:val="24"/>
        </w:rPr>
        <w:t>tmek</w:t>
      </w:r>
      <w:r w:rsidRPr="005725AB">
        <w:rPr>
          <w:rFonts w:ascii="Times New Roman" w:hAnsi="Times New Roman"/>
          <w:sz w:val="24"/>
          <w:szCs w:val="24"/>
        </w:rPr>
        <w:t xml:space="preserve"> amacıyla uygulanacak denetim prosedürlerinin tasarlanmasında dikkate alınacak hususlar aşağıdakileri içerir:</w:t>
      </w:r>
    </w:p>
    <w:p w:rsidR="009A39F6" w:rsidRPr="00143295" w:rsidRDefault="009A39F6" w:rsidP="00143295">
      <w:pPr>
        <w:pStyle w:val="ListParagraph"/>
        <w:numPr>
          <w:ilvl w:val="0"/>
          <w:numId w:val="11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Sürekli envanter kayıtlarının doğru bir şekilde düzeltilip düzeltilmediği.</w:t>
      </w:r>
    </w:p>
    <w:p w:rsidR="009A39F6" w:rsidRPr="00143295" w:rsidRDefault="009A39F6" w:rsidP="00143295">
      <w:pPr>
        <w:pStyle w:val="ListParagraph"/>
        <w:numPr>
          <w:ilvl w:val="0"/>
          <w:numId w:val="11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İşletmenin sürekli envanter kayıtlarının güvenilirliği.</w:t>
      </w:r>
    </w:p>
    <w:p w:rsidR="009A39F6" w:rsidRPr="00143295" w:rsidRDefault="009A39F6" w:rsidP="00143295">
      <w:pPr>
        <w:pStyle w:val="ListParagraph"/>
        <w:numPr>
          <w:ilvl w:val="0"/>
          <w:numId w:val="11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Fiziki sayım sırasında elde edilen bilgiler ile </w:t>
      </w:r>
      <w:r w:rsidRPr="00143295">
        <w:rPr>
          <w:rFonts w:ascii="Times New Roman" w:hAnsi="Times New Roman"/>
          <w:sz w:val="24"/>
          <w:szCs w:val="24"/>
        </w:rPr>
        <w:t>sürekli envanter kayıtları arasındaki önemli farklılıkların sebepleri.</w:t>
      </w:r>
    </w:p>
    <w:p w:rsidR="009A39F6" w:rsidRPr="0077035B" w:rsidRDefault="009A39F6" w:rsidP="00143295">
      <w:pPr>
        <w:keepNext/>
        <w:spacing w:before="120" w:after="120"/>
        <w:rPr>
          <w:rFonts w:ascii="Times New Roman" w:hAnsi="Times New Roman"/>
          <w:sz w:val="24"/>
          <w:szCs w:val="24"/>
        </w:rPr>
      </w:pPr>
      <w:r w:rsidRPr="00932405">
        <w:rPr>
          <w:rFonts w:ascii="Times New Roman" w:hAnsi="Times New Roman"/>
          <w:i/>
          <w:sz w:val="24"/>
          <w:szCs w:val="24"/>
        </w:rPr>
        <w:t>Fiziki Stok Sayımına Katılımın Mümkün Olmaması</w:t>
      </w:r>
      <w:r>
        <w:rPr>
          <w:rFonts w:ascii="Times New Roman" w:hAnsi="Times New Roman"/>
          <w:sz w:val="24"/>
          <w:szCs w:val="24"/>
        </w:rPr>
        <w:t xml:space="preserve"> (Bakınız:</w:t>
      </w:r>
      <w:r w:rsidRPr="0077035B">
        <w:rPr>
          <w:rFonts w:ascii="Times New Roman" w:hAnsi="Times New Roman"/>
          <w:sz w:val="24"/>
          <w:szCs w:val="24"/>
        </w:rPr>
        <w:t xml:space="preserve"> 7 nci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 xml:space="preserve">aragraf) 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A12.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Bazı durumlarda, fiziki stok sayımına katılım mümkün olmayabilir. Bu durum stokların niteliği ve </w:t>
      </w:r>
      <w:r>
        <w:rPr>
          <w:rFonts w:ascii="Times New Roman" w:hAnsi="Times New Roman"/>
          <w:sz w:val="24"/>
          <w:szCs w:val="24"/>
        </w:rPr>
        <w:t>bulunduğu yer gibi faktörlerden kaynaklanır,</w:t>
      </w:r>
      <w:r w:rsidRPr="0077035B">
        <w:rPr>
          <w:rFonts w:ascii="Times New Roman" w:hAnsi="Times New Roman"/>
          <w:sz w:val="24"/>
          <w:szCs w:val="24"/>
        </w:rPr>
        <w:t xml:space="preserve"> örneğin stoklar denetçinin güvenliği için tehdit oluşturabilecek bir </w:t>
      </w:r>
      <w:r>
        <w:rPr>
          <w:rFonts w:ascii="Times New Roman" w:hAnsi="Times New Roman"/>
          <w:sz w:val="24"/>
          <w:szCs w:val="24"/>
        </w:rPr>
        <w:t>yerde</w:t>
      </w:r>
      <w:r w:rsidRPr="0077035B">
        <w:rPr>
          <w:rFonts w:ascii="Times New Roman" w:hAnsi="Times New Roman"/>
          <w:sz w:val="24"/>
          <w:szCs w:val="24"/>
        </w:rPr>
        <w:t xml:space="preserve"> bulunuyor olabilir. Ancak, </w:t>
      </w:r>
      <w:r w:rsidRPr="008F620D">
        <w:rPr>
          <w:rFonts w:ascii="Times New Roman" w:hAnsi="Times New Roman"/>
          <w:sz w:val="24"/>
          <w:szCs w:val="24"/>
        </w:rPr>
        <w:t>denetçi açısından genel bir elverişsizlik durumu,</w:t>
      </w:r>
      <w:r w:rsidRPr="00901056">
        <w:rPr>
          <w:rFonts w:ascii="Times New Roman" w:hAnsi="Times New Roman"/>
          <w:sz w:val="24"/>
          <w:szCs w:val="24"/>
        </w:rPr>
        <w:t xml:space="preserve"> denetçinin </w:t>
      </w:r>
      <w:r w:rsidRPr="008F620D">
        <w:rPr>
          <w:rFonts w:ascii="Times New Roman" w:hAnsi="Times New Roman"/>
          <w:sz w:val="24"/>
          <w:szCs w:val="24"/>
        </w:rPr>
        <w:t>katılımının</w:t>
      </w:r>
      <w:r w:rsidRPr="00901056">
        <w:rPr>
          <w:rFonts w:ascii="Times New Roman" w:hAnsi="Times New Roman"/>
          <w:sz w:val="24"/>
          <w:szCs w:val="24"/>
        </w:rPr>
        <w:t xml:space="preserve"> mümkün olmadığı </w:t>
      </w:r>
      <w:r w:rsidRPr="008F620D">
        <w:rPr>
          <w:rFonts w:ascii="Times New Roman" w:hAnsi="Times New Roman"/>
          <w:sz w:val="24"/>
          <w:szCs w:val="24"/>
        </w:rPr>
        <w:t>yönündeki kararını desteklemek için yeterli değildir. Ayrıca</w:t>
      </w:r>
      <w:r w:rsidRPr="0077035B">
        <w:rPr>
          <w:rFonts w:ascii="Times New Roman" w:hAnsi="Times New Roman"/>
          <w:sz w:val="24"/>
          <w:szCs w:val="24"/>
        </w:rPr>
        <w:t xml:space="preserve"> BDS 200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>’</w:t>
      </w:r>
      <w:r w:rsidRPr="0077035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>açıklandığı gibi, alternatifi bulunmayan bir denetim prosedürünün zorluğu, süresi veya maliyeti kendi başına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denetçinin o prosedürü ihmal etmesi veya ikna edici</w:t>
      </w:r>
      <w:r>
        <w:rPr>
          <w:rFonts w:ascii="Times New Roman" w:hAnsi="Times New Roman"/>
          <w:sz w:val="24"/>
          <w:szCs w:val="24"/>
        </w:rPr>
        <w:t>likten uzak</w:t>
      </w:r>
      <w:r w:rsidRPr="0077035B">
        <w:rPr>
          <w:rFonts w:ascii="Times New Roman" w:hAnsi="Times New Roman"/>
          <w:sz w:val="24"/>
          <w:szCs w:val="24"/>
        </w:rPr>
        <w:t xml:space="preserve"> denetim kanıt</w:t>
      </w:r>
      <w:r>
        <w:rPr>
          <w:rFonts w:ascii="Times New Roman" w:hAnsi="Times New Roman"/>
          <w:sz w:val="24"/>
          <w:szCs w:val="24"/>
        </w:rPr>
        <w:t>lar</w:t>
      </w:r>
      <w:r w:rsidRPr="0077035B">
        <w:rPr>
          <w:rFonts w:ascii="Times New Roman" w:hAnsi="Times New Roman"/>
          <w:sz w:val="24"/>
          <w:szCs w:val="24"/>
        </w:rPr>
        <w:t xml:space="preserve">ıyla yetinmesi için geçerli bir </w:t>
      </w:r>
      <w:r>
        <w:rPr>
          <w:rFonts w:ascii="Times New Roman" w:hAnsi="Times New Roman"/>
          <w:sz w:val="24"/>
          <w:szCs w:val="24"/>
        </w:rPr>
        <w:t>sebep oluşturmaz</w:t>
      </w:r>
      <w:r w:rsidRPr="007703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A13.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Katılımın mümkün olmadığı bazı durumlarda,  alternatif denetim prosedürleri (örneğin fiziki stok sayımından önce edinilmiş veya satın alınmış belirli stok kalemlerinin daha so</w:t>
      </w:r>
      <w:r>
        <w:rPr>
          <w:rFonts w:ascii="Times New Roman" w:hAnsi="Times New Roman"/>
          <w:sz w:val="24"/>
          <w:szCs w:val="24"/>
        </w:rPr>
        <w:t xml:space="preserve">nra satışına </w:t>
      </w:r>
      <w:r w:rsidRPr="0077035B">
        <w:rPr>
          <w:rFonts w:ascii="Times New Roman" w:hAnsi="Times New Roman"/>
          <w:sz w:val="24"/>
          <w:szCs w:val="24"/>
        </w:rPr>
        <w:t>ilişkin belgelerin tetkik edilmesi)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stokların mevcudiyeti ve durumu</w:t>
      </w:r>
      <w:r>
        <w:rPr>
          <w:rFonts w:ascii="Times New Roman" w:hAnsi="Times New Roman"/>
          <w:sz w:val="24"/>
          <w:szCs w:val="24"/>
        </w:rPr>
        <w:t>yla</w:t>
      </w:r>
      <w:r w:rsidRPr="0077035B">
        <w:rPr>
          <w:rFonts w:ascii="Times New Roman" w:hAnsi="Times New Roman"/>
          <w:sz w:val="24"/>
          <w:szCs w:val="24"/>
        </w:rPr>
        <w:t xml:space="preserve"> ilgili yeterli ve uygun denetim kanıtı s</w:t>
      </w:r>
      <w:r>
        <w:rPr>
          <w:rFonts w:ascii="Times New Roman" w:hAnsi="Times New Roman"/>
          <w:sz w:val="24"/>
          <w:szCs w:val="24"/>
        </w:rPr>
        <w:t>ağlayabili</w:t>
      </w:r>
      <w:r w:rsidRPr="0077035B">
        <w:rPr>
          <w:rFonts w:ascii="Times New Roman" w:hAnsi="Times New Roman"/>
          <w:sz w:val="24"/>
          <w:szCs w:val="24"/>
        </w:rPr>
        <w:t>r.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A14.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Ancak </w:t>
      </w:r>
      <w:r>
        <w:rPr>
          <w:rFonts w:ascii="Times New Roman" w:hAnsi="Times New Roman"/>
          <w:sz w:val="24"/>
          <w:szCs w:val="24"/>
        </w:rPr>
        <w:t xml:space="preserve">diğer </w:t>
      </w:r>
      <w:r w:rsidRPr="0077035B">
        <w:rPr>
          <w:rFonts w:ascii="Times New Roman" w:hAnsi="Times New Roman"/>
          <w:sz w:val="24"/>
          <w:szCs w:val="24"/>
        </w:rPr>
        <w:t>bazı durumlarda, alternatif denetim prosedürleri</w:t>
      </w:r>
      <w:r>
        <w:rPr>
          <w:rFonts w:ascii="Times New Roman" w:hAnsi="Times New Roman"/>
          <w:sz w:val="24"/>
          <w:szCs w:val="24"/>
        </w:rPr>
        <w:t>ni</w:t>
      </w:r>
      <w:r w:rsidRPr="0077035B">
        <w:rPr>
          <w:rFonts w:ascii="Times New Roman" w:hAnsi="Times New Roman"/>
          <w:sz w:val="24"/>
          <w:szCs w:val="24"/>
        </w:rPr>
        <w:t xml:space="preserve"> uygula</w:t>
      </w:r>
      <w:r>
        <w:rPr>
          <w:rFonts w:ascii="Times New Roman" w:hAnsi="Times New Roman"/>
          <w:sz w:val="24"/>
          <w:szCs w:val="24"/>
        </w:rPr>
        <w:t xml:space="preserve">yarak </w:t>
      </w:r>
      <w:r w:rsidRPr="0077035B">
        <w:rPr>
          <w:rFonts w:ascii="Times New Roman" w:hAnsi="Times New Roman"/>
          <w:sz w:val="24"/>
          <w:szCs w:val="24"/>
        </w:rPr>
        <w:t>stokların mevcudiyeti ve durumu</w:t>
      </w:r>
      <w:r>
        <w:rPr>
          <w:rFonts w:ascii="Times New Roman" w:hAnsi="Times New Roman"/>
          <w:sz w:val="24"/>
          <w:szCs w:val="24"/>
        </w:rPr>
        <w:t>yla</w:t>
      </w:r>
      <w:r w:rsidRPr="0077035B">
        <w:rPr>
          <w:rFonts w:ascii="Times New Roman" w:hAnsi="Times New Roman"/>
          <w:sz w:val="24"/>
          <w:szCs w:val="24"/>
        </w:rPr>
        <w:t xml:space="preserve"> ilgili yeterli ve uygun denetim kanıtı elde etmek mümkün olmayabilir. Bu tür durumlarda BDS 705, </w:t>
      </w:r>
      <w:r w:rsidRPr="00EC78B0">
        <w:rPr>
          <w:rFonts w:ascii="Times New Roman" w:hAnsi="Times New Roman"/>
          <w:sz w:val="24"/>
          <w:szCs w:val="24"/>
        </w:rPr>
        <w:t>denetimin kapsamının sınırlandığı</w:t>
      </w:r>
      <w:r w:rsidRPr="0077035B">
        <w:rPr>
          <w:rFonts w:ascii="Times New Roman" w:hAnsi="Times New Roman"/>
          <w:sz w:val="24"/>
          <w:szCs w:val="24"/>
        </w:rPr>
        <w:t xml:space="preserve"> gerekçesiyle denetçinin raporunda olumlu </w:t>
      </w:r>
      <w:r>
        <w:rPr>
          <w:rFonts w:ascii="Times New Roman" w:hAnsi="Times New Roman"/>
          <w:sz w:val="24"/>
          <w:szCs w:val="24"/>
        </w:rPr>
        <w:t xml:space="preserve">görüş </w:t>
      </w:r>
      <w:r w:rsidRPr="0077035B">
        <w:rPr>
          <w:rFonts w:ascii="Times New Roman" w:hAnsi="Times New Roman"/>
          <w:sz w:val="24"/>
          <w:szCs w:val="24"/>
        </w:rPr>
        <w:t xml:space="preserve">dışında </w:t>
      </w:r>
      <w:r>
        <w:rPr>
          <w:rFonts w:ascii="Times New Roman" w:hAnsi="Times New Roman"/>
          <w:sz w:val="24"/>
          <w:szCs w:val="24"/>
        </w:rPr>
        <w:t xml:space="preserve">bir </w:t>
      </w:r>
      <w:r w:rsidRPr="0077035B">
        <w:rPr>
          <w:rFonts w:ascii="Times New Roman" w:hAnsi="Times New Roman"/>
          <w:sz w:val="24"/>
          <w:szCs w:val="24"/>
        </w:rPr>
        <w:t xml:space="preserve">görüş vermesini </w:t>
      </w:r>
      <w:r>
        <w:rPr>
          <w:rFonts w:ascii="Times New Roman" w:hAnsi="Times New Roman"/>
          <w:sz w:val="24"/>
          <w:szCs w:val="24"/>
        </w:rPr>
        <w:t>zorunlu kılar</w:t>
      </w:r>
      <w:r w:rsidRPr="0077035B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8"/>
      </w:r>
    </w:p>
    <w:p w:rsidR="009A39F6" w:rsidRPr="0066335A" w:rsidRDefault="009A39F6" w:rsidP="00143295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3A20CE">
        <w:rPr>
          <w:rFonts w:ascii="Times New Roman" w:hAnsi="Times New Roman"/>
          <w:i/>
          <w:sz w:val="24"/>
          <w:szCs w:val="24"/>
        </w:rPr>
        <w:t xml:space="preserve">Üçüncü Tarafın </w:t>
      </w:r>
      <w:r>
        <w:rPr>
          <w:rFonts w:ascii="Times New Roman" w:hAnsi="Times New Roman"/>
          <w:i/>
          <w:sz w:val="24"/>
          <w:szCs w:val="24"/>
        </w:rPr>
        <w:t>Saklama</w:t>
      </w:r>
      <w:r w:rsidRPr="003A20CE">
        <w:rPr>
          <w:rFonts w:ascii="Times New Roman" w:hAnsi="Times New Roman"/>
          <w:i/>
          <w:sz w:val="24"/>
          <w:szCs w:val="24"/>
        </w:rPr>
        <w:t xml:space="preserve"> ve Kontrolü Altında Bulunan Stoklar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Teyit (Bakınız: 8(a)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 xml:space="preserve">aragrafı) 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A15.   BDS 505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 xml:space="preserve">dış teyit prosedürlerinin uygulanmasına ilişkin </w:t>
      </w:r>
      <w:r>
        <w:rPr>
          <w:rFonts w:ascii="Times New Roman" w:hAnsi="Times New Roman"/>
          <w:sz w:val="24"/>
          <w:szCs w:val="24"/>
        </w:rPr>
        <w:t>hüküm ve açıklamalar içerir</w:t>
      </w:r>
      <w:r w:rsidRPr="0077035B">
        <w:rPr>
          <w:rFonts w:ascii="Times New Roman" w:hAnsi="Times New Roman"/>
          <w:sz w:val="24"/>
          <w:szCs w:val="24"/>
        </w:rPr>
        <w:t>.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Diğer Denetim Prosedürleri (Bakınız: 8(b)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A16. </w:t>
      </w:r>
      <w:r>
        <w:rPr>
          <w:rFonts w:ascii="Times New Roman" w:hAnsi="Times New Roman"/>
          <w:sz w:val="24"/>
          <w:szCs w:val="24"/>
        </w:rPr>
        <w:tab/>
      </w:r>
      <w:r w:rsidRPr="00C73D3B">
        <w:rPr>
          <w:rFonts w:ascii="Times New Roman" w:hAnsi="Times New Roman"/>
          <w:sz w:val="24"/>
          <w:szCs w:val="24"/>
        </w:rPr>
        <w:t>Denetçi, örneğin üçüncü tarafın d</w:t>
      </w:r>
      <w:r>
        <w:rPr>
          <w:rFonts w:ascii="Times New Roman" w:hAnsi="Times New Roman"/>
          <w:sz w:val="24"/>
          <w:szCs w:val="24"/>
        </w:rPr>
        <w:t>ürüstlüğü</w:t>
      </w:r>
      <w:r w:rsidRPr="00C73D3B">
        <w:rPr>
          <w:rFonts w:ascii="Times New Roman" w:hAnsi="Times New Roman"/>
          <w:sz w:val="24"/>
          <w:szCs w:val="24"/>
        </w:rPr>
        <w:t xml:space="preserve"> ve tarafsızlığıyla ilgili şüphe uyandıran bilgilerin nereden elde edildiği gibi şartlara bağlı olarak, üçüncü tarafın teyidi yerine veya buna ek diğer denetim prosedürlerini uygulamanın uygun olacağını d</w:t>
      </w:r>
      <w:r>
        <w:rPr>
          <w:rFonts w:ascii="Times New Roman" w:hAnsi="Times New Roman"/>
          <w:sz w:val="24"/>
          <w:szCs w:val="24"/>
        </w:rPr>
        <w:t>üşünebilir</w:t>
      </w:r>
      <w:r w:rsidRPr="00C73D3B">
        <w:rPr>
          <w:rFonts w:ascii="Times New Roman" w:hAnsi="Times New Roman"/>
          <w:sz w:val="24"/>
          <w:szCs w:val="24"/>
        </w:rPr>
        <w:t>.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77035B">
        <w:rPr>
          <w:rFonts w:ascii="Times New Roman" w:hAnsi="Times New Roman"/>
          <w:sz w:val="24"/>
          <w:szCs w:val="24"/>
        </w:rPr>
        <w:t>iğer denetim prosedürlerine</w:t>
      </w:r>
      <w:r>
        <w:rPr>
          <w:rFonts w:ascii="Times New Roman" w:hAnsi="Times New Roman"/>
          <w:sz w:val="24"/>
          <w:szCs w:val="24"/>
        </w:rPr>
        <w:t xml:space="preserve"> ilişkin örnekler aşağıdakileri içerir:</w:t>
      </w:r>
      <w:r w:rsidRPr="0077035B">
        <w:rPr>
          <w:rFonts w:ascii="Times New Roman" w:hAnsi="Times New Roman"/>
          <w:sz w:val="24"/>
          <w:szCs w:val="24"/>
        </w:rPr>
        <w:t xml:space="preserve"> </w:t>
      </w:r>
    </w:p>
    <w:p w:rsidR="009A39F6" w:rsidRPr="00143295" w:rsidRDefault="009A39F6" w:rsidP="00143295">
      <w:pPr>
        <w:pStyle w:val="ListParagraph"/>
        <w:numPr>
          <w:ilvl w:val="0"/>
          <w:numId w:val="12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Mümkün olması durumunda</w:t>
      </w:r>
      <w:r>
        <w:rPr>
          <w:rFonts w:ascii="Times New Roman" w:hAnsi="Times New Roman"/>
          <w:sz w:val="24"/>
          <w:szCs w:val="24"/>
        </w:rPr>
        <w:t>,</w:t>
      </w:r>
      <w:r w:rsidRPr="00143295">
        <w:rPr>
          <w:rFonts w:ascii="Times New Roman" w:hAnsi="Times New Roman"/>
          <w:sz w:val="24"/>
          <w:szCs w:val="24"/>
        </w:rPr>
        <w:t xml:space="preserve"> üçüncü tarafın yapacağı fiziki stok sayımına katılım veya başka bir denetçinin katılımının sağlanması.</w:t>
      </w:r>
    </w:p>
    <w:p w:rsidR="009A39F6" w:rsidRPr="00143295" w:rsidRDefault="009A39F6" w:rsidP="00143295">
      <w:pPr>
        <w:pStyle w:val="ListParagraph"/>
        <w:numPr>
          <w:ilvl w:val="0"/>
          <w:numId w:val="12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Üçüncü tarafın</w:t>
      </w:r>
      <w:r>
        <w:rPr>
          <w:rFonts w:ascii="Times New Roman" w:hAnsi="Times New Roman"/>
          <w:sz w:val="24"/>
          <w:szCs w:val="24"/>
        </w:rPr>
        <w:t>,</w:t>
      </w:r>
      <w:r w:rsidRPr="00143295">
        <w:rPr>
          <w:rFonts w:ascii="Times New Roman" w:hAnsi="Times New Roman"/>
          <w:sz w:val="24"/>
          <w:szCs w:val="24"/>
        </w:rPr>
        <w:t xml:space="preserve"> stokların doğru bir şekilde sayılmasını ve yeterli şekilde korunmasını sağlamak için oluşturduğu iç kontrol</w:t>
      </w:r>
      <w:r>
        <w:rPr>
          <w:rFonts w:ascii="Times New Roman" w:hAnsi="Times New Roman"/>
          <w:sz w:val="24"/>
          <w:szCs w:val="24"/>
        </w:rPr>
        <w:t>ün</w:t>
      </w:r>
      <w:r w:rsidRPr="00143295">
        <w:rPr>
          <w:rFonts w:ascii="Times New Roman" w:hAnsi="Times New Roman"/>
          <w:sz w:val="24"/>
          <w:szCs w:val="24"/>
        </w:rPr>
        <w:t xml:space="preserve"> yeterliliği konusunda bir başka denetçi raporunun veya hizmet </w:t>
      </w:r>
      <w:r>
        <w:rPr>
          <w:rFonts w:ascii="Times New Roman" w:hAnsi="Times New Roman"/>
          <w:sz w:val="24"/>
          <w:szCs w:val="24"/>
        </w:rPr>
        <w:t xml:space="preserve">kuruluşu </w:t>
      </w:r>
      <w:r w:rsidRPr="00143295">
        <w:rPr>
          <w:rFonts w:ascii="Times New Roman" w:hAnsi="Times New Roman"/>
          <w:sz w:val="24"/>
          <w:szCs w:val="24"/>
        </w:rPr>
        <w:t>denetçisi raporunun elde edilmesi.</w:t>
      </w:r>
    </w:p>
    <w:p w:rsidR="009A39F6" w:rsidRPr="00143295" w:rsidRDefault="009A39F6" w:rsidP="00143295">
      <w:pPr>
        <w:pStyle w:val="ListParagraph"/>
        <w:numPr>
          <w:ilvl w:val="0"/>
          <w:numId w:val="12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Üçüncü tarafların elinde bulundurduğu stoklarla ilgili ambar fişleri gibi belgelerin tetkik edilmesi.</w:t>
      </w:r>
    </w:p>
    <w:p w:rsidR="009A39F6" w:rsidRPr="00143295" w:rsidRDefault="009A39F6" w:rsidP="00143295">
      <w:pPr>
        <w:pStyle w:val="ListParagraph"/>
        <w:numPr>
          <w:ilvl w:val="0"/>
          <w:numId w:val="12"/>
        </w:numPr>
        <w:spacing w:before="120" w:after="120"/>
        <w:ind w:hanging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Stokların teminat olarak verilmesi durumunda diğer taraflardan teyit tale</w:t>
      </w:r>
      <w:r>
        <w:rPr>
          <w:rFonts w:ascii="Times New Roman" w:hAnsi="Times New Roman"/>
          <w:sz w:val="24"/>
          <w:szCs w:val="24"/>
        </w:rPr>
        <w:t>p edilmesi.</w:t>
      </w:r>
    </w:p>
    <w:p w:rsidR="009A39F6" w:rsidRPr="0066335A" w:rsidRDefault="009A39F6" w:rsidP="0014329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66335A">
        <w:rPr>
          <w:rFonts w:ascii="Times New Roman" w:hAnsi="Times New Roman"/>
          <w:b/>
          <w:sz w:val="24"/>
          <w:szCs w:val="24"/>
        </w:rPr>
        <w:t>Dava ve İddialar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66335A">
        <w:rPr>
          <w:rFonts w:ascii="Times New Roman" w:hAnsi="Times New Roman"/>
          <w:i/>
          <w:sz w:val="24"/>
          <w:szCs w:val="24"/>
        </w:rPr>
        <w:t xml:space="preserve">Dava ve İddiaların </w:t>
      </w:r>
      <w:r>
        <w:rPr>
          <w:rFonts w:ascii="Times New Roman" w:hAnsi="Times New Roman"/>
          <w:i/>
          <w:sz w:val="24"/>
          <w:szCs w:val="24"/>
        </w:rPr>
        <w:t>Tamlığı</w:t>
      </w:r>
      <w:r w:rsidRPr="0077035B">
        <w:rPr>
          <w:rFonts w:ascii="Times New Roman" w:hAnsi="Times New Roman"/>
          <w:sz w:val="24"/>
          <w:szCs w:val="24"/>
        </w:rPr>
        <w:t xml:space="preserve"> (Bakınız: 9 uncu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 xml:space="preserve">aragraf)  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A17.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İşletmenin dâhil olduğu dava ve iddialar finansal tablolar üzerinde önemli bir etki</w:t>
      </w:r>
      <w:r>
        <w:rPr>
          <w:rFonts w:ascii="Times New Roman" w:hAnsi="Times New Roman"/>
          <w:sz w:val="24"/>
          <w:szCs w:val="24"/>
        </w:rPr>
        <w:t>ye sahip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 w:rsidRPr="00F376FE">
        <w:rPr>
          <w:rFonts w:ascii="Times New Roman" w:hAnsi="Times New Roman"/>
          <w:sz w:val="24"/>
          <w:szCs w:val="24"/>
        </w:rPr>
        <w:t>olabilir, dolayısıyla</w:t>
      </w:r>
      <w:r w:rsidRPr="0077035B">
        <w:rPr>
          <w:rFonts w:ascii="Times New Roman" w:hAnsi="Times New Roman"/>
          <w:sz w:val="24"/>
          <w:szCs w:val="24"/>
        </w:rPr>
        <w:t xml:space="preserve"> bunların finansal tablolarda açıklanması veya muhasebeleştirilmesi gerekebilir.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A18.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9 uncu paragrafta belirtilen prosedürlere ek olarak diğer ilgili prosedürler</w:t>
      </w:r>
      <w:r>
        <w:rPr>
          <w:rFonts w:ascii="Times New Roman" w:hAnsi="Times New Roman"/>
          <w:sz w:val="24"/>
          <w:szCs w:val="24"/>
        </w:rPr>
        <w:t>;</w:t>
      </w:r>
      <w:r w:rsidRPr="0077035B">
        <w:rPr>
          <w:rFonts w:ascii="Times New Roman" w:hAnsi="Times New Roman"/>
          <w:sz w:val="24"/>
          <w:szCs w:val="24"/>
        </w:rPr>
        <w:t xml:space="preserve"> denetçinin işletme hakkındaki dava ve iddialardan haberdar olmasına yardımcı olması için</w:t>
      </w:r>
      <w:r>
        <w:rPr>
          <w:rFonts w:ascii="Times New Roman" w:hAnsi="Times New Roman"/>
          <w:sz w:val="24"/>
          <w:szCs w:val="24"/>
        </w:rPr>
        <w:t>, örneğin</w:t>
      </w:r>
      <w:r w:rsidRPr="0077035B">
        <w:rPr>
          <w:rFonts w:ascii="Times New Roman" w:hAnsi="Times New Roman"/>
          <w:sz w:val="24"/>
          <w:szCs w:val="24"/>
        </w:rPr>
        <w:t xml:space="preserve"> işletme ve çevresi</w:t>
      </w:r>
      <w:r>
        <w:rPr>
          <w:rFonts w:ascii="Times New Roman" w:hAnsi="Times New Roman"/>
          <w:sz w:val="24"/>
          <w:szCs w:val="24"/>
        </w:rPr>
        <w:t>nin tanınmasının</w:t>
      </w:r>
      <w:r w:rsidRPr="0077035B">
        <w:rPr>
          <w:rFonts w:ascii="Times New Roman" w:hAnsi="Times New Roman"/>
          <w:sz w:val="24"/>
          <w:szCs w:val="24"/>
        </w:rPr>
        <w:t xml:space="preserve"> bir parçası olarak uygulanan risk değerlendirme prosedürleri vasıtasıyla elde edilen bilgilerin kullanılmasını içerebilir.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A19. </w:t>
      </w:r>
      <w:r>
        <w:rPr>
          <w:rFonts w:ascii="Times New Roman" w:hAnsi="Times New Roman"/>
          <w:sz w:val="24"/>
          <w:szCs w:val="24"/>
        </w:rPr>
        <w:tab/>
        <w:t>“</w:t>
      </w:r>
      <w:r w:rsidRPr="0077035B">
        <w:rPr>
          <w:rFonts w:ascii="Times New Roman" w:hAnsi="Times New Roman"/>
          <w:sz w:val="24"/>
          <w:szCs w:val="24"/>
        </w:rPr>
        <w:t>Önemli yanlışlık</w:t>
      </w:r>
      <w:r>
        <w:rPr>
          <w:rFonts w:ascii="Times New Roman" w:hAnsi="Times New Roman"/>
          <w:sz w:val="24"/>
          <w:szCs w:val="24"/>
        </w:rPr>
        <w:t>”</w:t>
      </w:r>
      <w:r w:rsidRPr="0077035B">
        <w:rPr>
          <w:rFonts w:ascii="Times New Roman" w:hAnsi="Times New Roman"/>
          <w:sz w:val="24"/>
          <w:szCs w:val="24"/>
        </w:rPr>
        <w:t xml:space="preserve"> riskine sebep olabilecek dava ve iddiaların belirlenmesi amacıyla elde </w:t>
      </w:r>
      <w:r w:rsidRPr="00F376FE">
        <w:rPr>
          <w:rFonts w:ascii="Times New Roman" w:hAnsi="Times New Roman"/>
          <w:sz w:val="24"/>
          <w:szCs w:val="24"/>
        </w:rPr>
        <w:t>edilen denetim kanıtları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aynı zamanda</w:t>
      </w:r>
      <w:r>
        <w:rPr>
          <w:rFonts w:ascii="Times New Roman" w:hAnsi="Times New Roman"/>
          <w:sz w:val="24"/>
          <w:szCs w:val="24"/>
        </w:rPr>
        <w:t xml:space="preserve"> dava ve iddialar</w:t>
      </w:r>
      <w:r w:rsidRPr="0077035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ilişkin</w:t>
      </w:r>
      <w:r w:rsidRPr="0077035B">
        <w:rPr>
          <w:rFonts w:ascii="Times New Roman" w:hAnsi="Times New Roman"/>
          <w:sz w:val="24"/>
          <w:szCs w:val="24"/>
        </w:rPr>
        <w:t xml:space="preserve"> diğer ilgili hususlar </w:t>
      </w:r>
      <w:r>
        <w:rPr>
          <w:rFonts w:ascii="Times New Roman" w:hAnsi="Times New Roman"/>
          <w:sz w:val="24"/>
          <w:szCs w:val="24"/>
        </w:rPr>
        <w:t>(</w:t>
      </w:r>
      <w:r w:rsidRPr="0077035B">
        <w:rPr>
          <w:rFonts w:ascii="Times New Roman" w:hAnsi="Times New Roman"/>
          <w:sz w:val="24"/>
          <w:szCs w:val="24"/>
        </w:rPr>
        <w:t>değerleme veya ölçüm gibi</w:t>
      </w:r>
      <w:r>
        <w:rPr>
          <w:rFonts w:ascii="Times New Roman" w:hAnsi="Times New Roman"/>
          <w:sz w:val="24"/>
          <w:szCs w:val="24"/>
        </w:rPr>
        <w:t>)</w:t>
      </w:r>
      <w:r w:rsidRPr="0077035B">
        <w:rPr>
          <w:rFonts w:ascii="Times New Roman" w:hAnsi="Times New Roman"/>
          <w:sz w:val="24"/>
          <w:szCs w:val="24"/>
        </w:rPr>
        <w:t xml:space="preserve"> hakkında </w:t>
      </w:r>
      <w:r>
        <w:rPr>
          <w:rFonts w:ascii="Times New Roman" w:hAnsi="Times New Roman"/>
          <w:sz w:val="24"/>
          <w:szCs w:val="24"/>
        </w:rPr>
        <w:t xml:space="preserve">da </w:t>
      </w:r>
      <w:r w:rsidRPr="0077035B">
        <w:rPr>
          <w:rFonts w:ascii="Times New Roman" w:hAnsi="Times New Roman"/>
          <w:sz w:val="24"/>
          <w:szCs w:val="24"/>
        </w:rPr>
        <w:t xml:space="preserve">denetim kanıtı </w:t>
      </w:r>
      <w:r>
        <w:rPr>
          <w:rFonts w:ascii="Times New Roman" w:hAnsi="Times New Roman"/>
          <w:sz w:val="24"/>
          <w:szCs w:val="24"/>
        </w:rPr>
        <w:t>sağlayabilir</w:t>
      </w:r>
      <w:r w:rsidRPr="0077035B">
        <w:rPr>
          <w:rFonts w:ascii="Times New Roman" w:hAnsi="Times New Roman"/>
          <w:sz w:val="24"/>
          <w:szCs w:val="24"/>
        </w:rPr>
        <w:t>. BDS 540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, finansal tablolarda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 açıklamalar yapılmasını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77035B">
        <w:rPr>
          <w:rFonts w:ascii="Times New Roman" w:hAnsi="Times New Roman"/>
          <w:sz w:val="24"/>
          <w:szCs w:val="24"/>
        </w:rPr>
        <w:t>muhasebe tah</w:t>
      </w:r>
      <w:r>
        <w:rPr>
          <w:rFonts w:ascii="Times New Roman" w:hAnsi="Times New Roman"/>
          <w:sz w:val="24"/>
          <w:szCs w:val="24"/>
        </w:rPr>
        <w:t xml:space="preserve">minlerini </w:t>
      </w:r>
      <w:r w:rsidRPr="0077035B">
        <w:rPr>
          <w:rFonts w:ascii="Times New Roman" w:hAnsi="Times New Roman"/>
          <w:sz w:val="24"/>
          <w:szCs w:val="24"/>
        </w:rPr>
        <w:t>gerektiren dava ve iddiaları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denetçinin nasıl ele alacağına ilişkin </w:t>
      </w:r>
      <w:r>
        <w:rPr>
          <w:rFonts w:ascii="Times New Roman" w:hAnsi="Times New Roman"/>
          <w:sz w:val="24"/>
          <w:szCs w:val="24"/>
        </w:rPr>
        <w:t>hüküm ve açıklamalar içerir.</w:t>
      </w:r>
    </w:p>
    <w:p w:rsidR="009A39F6" w:rsidRPr="0077035B" w:rsidRDefault="009A39F6" w:rsidP="00143295">
      <w:pPr>
        <w:keepNext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 Giderlerine İlişkin Hesapların Gözden Geçirilmesi</w:t>
      </w:r>
      <w:r w:rsidRPr="0077035B">
        <w:rPr>
          <w:rFonts w:ascii="Times New Roman" w:hAnsi="Times New Roman"/>
          <w:sz w:val="24"/>
          <w:szCs w:val="24"/>
        </w:rPr>
        <w:t xml:space="preserve"> (Bakınız: 9(c)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A20.  </w:t>
      </w:r>
      <w:r>
        <w:rPr>
          <w:rFonts w:ascii="Times New Roman" w:hAnsi="Times New Roman"/>
          <w:sz w:val="24"/>
          <w:szCs w:val="24"/>
        </w:rPr>
        <w:tab/>
        <w:t>Şartlara bağlı olarak denetçi</w:t>
      </w:r>
      <w:r w:rsidRPr="00F376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dava giderlerine ilişkin hesapların</w:t>
      </w:r>
      <w:r w:rsidRPr="0077035B">
        <w:rPr>
          <w:rFonts w:ascii="Times New Roman" w:hAnsi="Times New Roman"/>
          <w:sz w:val="24"/>
          <w:szCs w:val="24"/>
        </w:rPr>
        <w:t xml:space="preserve"> gözden geçirilmesinin bir </w:t>
      </w:r>
      <w:r w:rsidRPr="008D64B6">
        <w:rPr>
          <w:rFonts w:ascii="Times New Roman" w:hAnsi="Times New Roman"/>
          <w:sz w:val="24"/>
          <w:szCs w:val="24"/>
        </w:rPr>
        <w:t>parçası olarak,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</w:t>
      </w:r>
      <w:r w:rsidRPr="0077035B">
        <w:rPr>
          <w:rFonts w:ascii="Times New Roman" w:hAnsi="Times New Roman"/>
          <w:sz w:val="24"/>
          <w:szCs w:val="24"/>
        </w:rPr>
        <w:t xml:space="preserve"> giderlerine ait faturalar gibi ilgili </w:t>
      </w:r>
      <w:r>
        <w:rPr>
          <w:rFonts w:ascii="Times New Roman" w:hAnsi="Times New Roman"/>
          <w:sz w:val="24"/>
          <w:szCs w:val="24"/>
        </w:rPr>
        <w:t xml:space="preserve">kaynak </w:t>
      </w:r>
      <w:r w:rsidRPr="0077035B">
        <w:rPr>
          <w:rFonts w:ascii="Times New Roman" w:hAnsi="Times New Roman"/>
          <w:sz w:val="24"/>
          <w:szCs w:val="24"/>
        </w:rPr>
        <w:t>belgelerin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 xml:space="preserve">incelenmesinin uygun olacağı </w:t>
      </w:r>
      <w:r>
        <w:rPr>
          <w:rFonts w:ascii="Times New Roman" w:hAnsi="Times New Roman"/>
          <w:sz w:val="24"/>
          <w:szCs w:val="24"/>
        </w:rPr>
        <w:t>yargısına</w:t>
      </w:r>
      <w:r w:rsidRPr="0077035B">
        <w:rPr>
          <w:rFonts w:ascii="Times New Roman" w:hAnsi="Times New Roman"/>
          <w:sz w:val="24"/>
          <w:szCs w:val="24"/>
        </w:rPr>
        <w:t xml:space="preserve"> varabilir.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66335A">
        <w:rPr>
          <w:rFonts w:ascii="Times New Roman" w:hAnsi="Times New Roman"/>
          <w:i/>
          <w:sz w:val="24"/>
          <w:szCs w:val="24"/>
        </w:rPr>
        <w:t>İşletme</w:t>
      </w:r>
      <w:r>
        <w:rPr>
          <w:rFonts w:ascii="Times New Roman" w:hAnsi="Times New Roman"/>
          <w:i/>
          <w:sz w:val="24"/>
          <w:szCs w:val="24"/>
        </w:rPr>
        <w:t>nin</w:t>
      </w:r>
      <w:r w:rsidRPr="0066335A">
        <w:rPr>
          <w:rFonts w:ascii="Times New Roman" w:hAnsi="Times New Roman"/>
          <w:i/>
          <w:sz w:val="24"/>
          <w:szCs w:val="24"/>
        </w:rPr>
        <w:t xml:space="preserve"> Dış Hukuk </w:t>
      </w:r>
      <w:r>
        <w:rPr>
          <w:rFonts w:ascii="Times New Roman" w:hAnsi="Times New Roman"/>
          <w:i/>
          <w:sz w:val="24"/>
          <w:szCs w:val="24"/>
        </w:rPr>
        <w:t>Müşaviriyle Kurulacak</w:t>
      </w:r>
      <w:r w:rsidRPr="0066335A">
        <w:rPr>
          <w:rFonts w:ascii="Times New Roman" w:hAnsi="Times New Roman"/>
          <w:i/>
          <w:sz w:val="24"/>
          <w:szCs w:val="24"/>
        </w:rPr>
        <w:t xml:space="preserve"> İletişim</w:t>
      </w:r>
      <w:r w:rsidRPr="0077035B">
        <w:rPr>
          <w:rFonts w:ascii="Times New Roman" w:hAnsi="Times New Roman"/>
          <w:sz w:val="24"/>
          <w:szCs w:val="24"/>
        </w:rPr>
        <w:t xml:space="preserve"> (Bakınız: 1</w:t>
      </w:r>
      <w:r>
        <w:rPr>
          <w:rFonts w:ascii="Times New Roman" w:hAnsi="Times New Roman"/>
          <w:sz w:val="24"/>
          <w:szCs w:val="24"/>
        </w:rPr>
        <w:t>0-</w:t>
      </w:r>
      <w:r w:rsidRPr="0077035B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 xml:space="preserve">aragraflar)  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A21.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İşletme</w:t>
      </w:r>
      <w:r>
        <w:rPr>
          <w:rFonts w:ascii="Times New Roman" w:hAnsi="Times New Roman"/>
          <w:sz w:val="24"/>
          <w:szCs w:val="24"/>
        </w:rPr>
        <w:t>nin</w:t>
      </w:r>
      <w:r w:rsidRPr="0077035B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 xml:space="preserve">müşaviriyle </w:t>
      </w:r>
      <w:r w:rsidRPr="0077035B">
        <w:rPr>
          <w:rFonts w:ascii="Times New Roman" w:hAnsi="Times New Roman"/>
          <w:sz w:val="24"/>
          <w:szCs w:val="24"/>
        </w:rPr>
        <w:t xml:space="preserve">doğrudan iletişim kurulması; </w:t>
      </w:r>
      <w:r>
        <w:rPr>
          <w:rFonts w:ascii="Times New Roman" w:hAnsi="Times New Roman"/>
          <w:sz w:val="24"/>
          <w:szCs w:val="24"/>
        </w:rPr>
        <w:t>müşavirin</w:t>
      </w:r>
      <w:r w:rsidRPr="0077035B">
        <w:rPr>
          <w:rFonts w:ascii="Times New Roman" w:hAnsi="Times New Roman"/>
          <w:sz w:val="24"/>
          <w:szCs w:val="24"/>
        </w:rPr>
        <w:t xml:space="preserve"> önemli </w:t>
      </w:r>
      <w:r>
        <w:rPr>
          <w:rFonts w:ascii="Times New Roman" w:hAnsi="Times New Roman"/>
          <w:sz w:val="24"/>
          <w:szCs w:val="24"/>
        </w:rPr>
        <w:t>muhtemel</w:t>
      </w:r>
      <w:r w:rsidRPr="0077035B">
        <w:rPr>
          <w:rFonts w:ascii="Times New Roman" w:hAnsi="Times New Roman"/>
          <w:sz w:val="24"/>
          <w:szCs w:val="24"/>
        </w:rPr>
        <w:t xml:space="preserve"> dava ve iddialardan haberdar olup olmadığı ve yönetimin</w:t>
      </w:r>
      <w:r>
        <w:rPr>
          <w:rFonts w:ascii="Times New Roman" w:hAnsi="Times New Roman"/>
          <w:sz w:val="24"/>
          <w:szCs w:val="24"/>
        </w:rPr>
        <w:t>, bunların</w:t>
      </w:r>
      <w:r w:rsidRPr="0077035B">
        <w:rPr>
          <w:rFonts w:ascii="Times New Roman" w:hAnsi="Times New Roman"/>
          <w:sz w:val="24"/>
          <w:szCs w:val="24"/>
        </w:rPr>
        <w:t xml:space="preserve"> muhtemel finansal sonuçlar</w:t>
      </w:r>
      <w:r>
        <w:rPr>
          <w:rFonts w:ascii="Times New Roman" w:hAnsi="Times New Roman"/>
          <w:sz w:val="24"/>
          <w:szCs w:val="24"/>
        </w:rPr>
        <w:t>ın</w:t>
      </w:r>
      <w:r w:rsidRPr="0077035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(</w:t>
      </w:r>
      <w:r w:rsidRPr="0077035B">
        <w:rPr>
          <w:rFonts w:ascii="Times New Roman" w:hAnsi="Times New Roman"/>
          <w:sz w:val="24"/>
          <w:szCs w:val="24"/>
        </w:rPr>
        <w:t>maliyet</w:t>
      </w:r>
      <w:r>
        <w:rPr>
          <w:rFonts w:ascii="Times New Roman" w:hAnsi="Times New Roman"/>
          <w:sz w:val="24"/>
          <w:szCs w:val="24"/>
        </w:rPr>
        <w:t>ler</w:t>
      </w:r>
      <w:r w:rsidRPr="0077035B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dâhil)</w:t>
      </w:r>
      <w:r w:rsidRPr="0077035B">
        <w:rPr>
          <w:rFonts w:ascii="Times New Roman" w:hAnsi="Times New Roman"/>
          <w:sz w:val="24"/>
          <w:szCs w:val="24"/>
        </w:rPr>
        <w:t xml:space="preserve"> ilişkin yaptığı tahminlerin </w:t>
      </w:r>
      <w:r>
        <w:rPr>
          <w:rFonts w:ascii="Times New Roman" w:hAnsi="Times New Roman"/>
          <w:sz w:val="24"/>
          <w:szCs w:val="24"/>
        </w:rPr>
        <w:t>makul</w:t>
      </w:r>
      <w:r w:rsidRPr="0077035B">
        <w:rPr>
          <w:rFonts w:ascii="Times New Roman" w:hAnsi="Times New Roman"/>
          <w:sz w:val="24"/>
          <w:szCs w:val="24"/>
        </w:rPr>
        <w:t xml:space="preserve"> olup olmadığı konusunda denetçinin yeterli ve uygun denetim kanıtı elde etmesine yardımcı olur.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A22.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 xml:space="preserve">Bazı durumlarda denetçi, genel </w:t>
      </w:r>
      <w:r w:rsidRPr="00BF7DEA">
        <w:rPr>
          <w:rFonts w:ascii="Times New Roman" w:hAnsi="Times New Roman"/>
          <w:sz w:val="24"/>
          <w:szCs w:val="24"/>
        </w:rPr>
        <w:t>bir sorgulama mektubu yoluyla</w:t>
      </w:r>
      <w:r w:rsidRPr="0077035B">
        <w:rPr>
          <w:rFonts w:ascii="Times New Roman" w:hAnsi="Times New Roman"/>
          <w:sz w:val="24"/>
          <w:szCs w:val="24"/>
        </w:rPr>
        <w:t xml:space="preserve"> işletme</w:t>
      </w:r>
      <w:r>
        <w:rPr>
          <w:rFonts w:ascii="Times New Roman" w:hAnsi="Times New Roman"/>
          <w:sz w:val="24"/>
          <w:szCs w:val="24"/>
        </w:rPr>
        <w:t>nin</w:t>
      </w:r>
      <w:r w:rsidRPr="0077035B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>müşaviriyle</w:t>
      </w:r>
      <w:r w:rsidRPr="0077035B">
        <w:rPr>
          <w:rFonts w:ascii="Times New Roman" w:hAnsi="Times New Roman"/>
          <w:sz w:val="24"/>
          <w:szCs w:val="24"/>
        </w:rPr>
        <w:t xml:space="preserve"> doğrudan iletişime geçebilir. </w:t>
      </w:r>
      <w:r w:rsidRPr="002A191E">
        <w:rPr>
          <w:rFonts w:ascii="Times New Roman" w:hAnsi="Times New Roman"/>
          <w:sz w:val="24"/>
          <w:szCs w:val="24"/>
        </w:rPr>
        <w:t>Bu amaçla, genel bir sorgulama mektubu</w:t>
      </w:r>
      <w:r>
        <w:rPr>
          <w:rFonts w:ascii="Times New Roman" w:hAnsi="Times New Roman"/>
          <w:sz w:val="24"/>
          <w:szCs w:val="24"/>
        </w:rPr>
        <w:t>yla</w:t>
      </w:r>
      <w:r w:rsidRPr="002A191E">
        <w:rPr>
          <w:rFonts w:ascii="Times New Roman" w:hAnsi="Times New Roman"/>
          <w:sz w:val="24"/>
          <w:szCs w:val="24"/>
        </w:rPr>
        <w:t xml:space="preserve"> işletme</w:t>
      </w:r>
      <w:r>
        <w:rPr>
          <w:rFonts w:ascii="Times New Roman" w:hAnsi="Times New Roman"/>
          <w:sz w:val="24"/>
          <w:szCs w:val="24"/>
        </w:rPr>
        <w:t>nin</w:t>
      </w:r>
      <w:r w:rsidRPr="002A191E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>müşavirinden</w:t>
      </w:r>
      <w:r w:rsidRPr="002A191E">
        <w:rPr>
          <w:rFonts w:ascii="Times New Roman" w:hAnsi="Times New Roman"/>
          <w:sz w:val="24"/>
          <w:szCs w:val="24"/>
        </w:rPr>
        <w:t xml:space="preserve">, dava ve iddiaların sonucuna ilişkin bir değerlendirme ve </w:t>
      </w:r>
      <w:r>
        <w:rPr>
          <w:rFonts w:ascii="Times New Roman" w:hAnsi="Times New Roman"/>
          <w:sz w:val="24"/>
          <w:szCs w:val="24"/>
        </w:rPr>
        <w:t xml:space="preserve">maliyetler dâhil </w:t>
      </w:r>
      <w:r w:rsidRPr="002A191E">
        <w:rPr>
          <w:rFonts w:ascii="Times New Roman" w:hAnsi="Times New Roman"/>
          <w:sz w:val="24"/>
          <w:szCs w:val="24"/>
        </w:rPr>
        <w:t>muhtemel finansal sonuçların tahmini</w:t>
      </w:r>
      <w:r>
        <w:rPr>
          <w:rFonts w:ascii="Times New Roman" w:hAnsi="Times New Roman"/>
          <w:sz w:val="24"/>
          <w:szCs w:val="24"/>
        </w:rPr>
        <w:t>yle birlikte</w:t>
      </w:r>
      <w:r w:rsidRPr="002A19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hukuk müşavirinin </w:t>
      </w:r>
      <w:r w:rsidRPr="002A191E">
        <w:rPr>
          <w:rFonts w:ascii="Times New Roman" w:hAnsi="Times New Roman"/>
          <w:sz w:val="24"/>
          <w:szCs w:val="24"/>
        </w:rPr>
        <w:t>haberdar ol</w:t>
      </w:r>
      <w:r>
        <w:rPr>
          <w:rFonts w:ascii="Times New Roman" w:hAnsi="Times New Roman"/>
          <w:sz w:val="24"/>
          <w:szCs w:val="24"/>
        </w:rPr>
        <w:t>duğu</w:t>
      </w:r>
      <w:r w:rsidRPr="002A191E">
        <w:rPr>
          <w:rFonts w:ascii="Times New Roman" w:hAnsi="Times New Roman"/>
          <w:sz w:val="24"/>
          <w:szCs w:val="24"/>
        </w:rPr>
        <w:t xml:space="preserve"> her tür dava ve iddia hakkında denetçiyi bilgilendirmesi talep edilebilir.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9F6" w:rsidRPr="0077035B" w:rsidRDefault="009A39F6" w:rsidP="00143295">
      <w:pPr>
        <w:spacing w:before="120"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25AB">
        <w:rPr>
          <w:rFonts w:ascii="Times New Roman" w:hAnsi="Times New Roman"/>
          <w:sz w:val="24"/>
          <w:szCs w:val="24"/>
        </w:rPr>
        <w:t xml:space="preserve">A23. </w:t>
      </w:r>
      <w:r w:rsidRPr="005725AB">
        <w:rPr>
          <w:rFonts w:ascii="Times New Roman" w:hAnsi="Times New Roman"/>
          <w:sz w:val="24"/>
          <w:szCs w:val="24"/>
        </w:rPr>
        <w:tab/>
        <w:t>İşletme</w:t>
      </w:r>
      <w:r>
        <w:rPr>
          <w:rFonts w:ascii="Times New Roman" w:hAnsi="Times New Roman"/>
          <w:sz w:val="24"/>
          <w:szCs w:val="24"/>
        </w:rPr>
        <w:t>nin</w:t>
      </w:r>
      <w:r w:rsidRPr="005725AB">
        <w:rPr>
          <w:rFonts w:ascii="Times New Roman" w:hAnsi="Times New Roman"/>
          <w:sz w:val="24"/>
          <w:szCs w:val="24"/>
        </w:rPr>
        <w:t xml:space="preserve"> dış hukuk </w:t>
      </w:r>
      <w:r w:rsidRPr="00BE2572">
        <w:rPr>
          <w:rFonts w:ascii="Times New Roman" w:hAnsi="Times New Roman"/>
          <w:sz w:val="24"/>
          <w:szCs w:val="24"/>
        </w:rPr>
        <w:t xml:space="preserve">müşavirinin, </w:t>
      </w:r>
      <w:r w:rsidRPr="00143295">
        <w:rPr>
          <w:rFonts w:ascii="Times New Roman" w:hAnsi="Times New Roman"/>
          <w:sz w:val="24"/>
          <w:szCs w:val="24"/>
        </w:rPr>
        <w:t>mevzuatın</w:t>
      </w:r>
      <w:r w:rsidRPr="00BE2572">
        <w:rPr>
          <w:rFonts w:ascii="Times New Roman" w:hAnsi="Times New Roman"/>
          <w:sz w:val="24"/>
          <w:szCs w:val="24"/>
        </w:rPr>
        <w:t xml:space="preserve"> genel sorgulama</w:t>
      </w:r>
      <w:r w:rsidRPr="005725AB">
        <w:rPr>
          <w:rFonts w:ascii="Times New Roman" w:hAnsi="Times New Roman"/>
          <w:sz w:val="24"/>
          <w:szCs w:val="24"/>
        </w:rPr>
        <w:t xml:space="preserve"> mektuplarına yanıt vermesini yasaklaması gibi </w:t>
      </w:r>
      <w:r>
        <w:rPr>
          <w:rFonts w:ascii="Times New Roman" w:hAnsi="Times New Roman"/>
          <w:sz w:val="24"/>
          <w:szCs w:val="24"/>
        </w:rPr>
        <w:t>sebeplerden dolayı</w:t>
      </w:r>
      <w:r w:rsidRPr="005725AB">
        <w:rPr>
          <w:rFonts w:ascii="Times New Roman" w:hAnsi="Times New Roman"/>
          <w:sz w:val="24"/>
          <w:szCs w:val="24"/>
        </w:rPr>
        <w:t xml:space="preserve"> bu mektuplara uygun</w:t>
      </w:r>
      <w:r>
        <w:rPr>
          <w:rFonts w:ascii="Times New Roman" w:hAnsi="Times New Roman"/>
          <w:sz w:val="24"/>
          <w:szCs w:val="24"/>
        </w:rPr>
        <w:t xml:space="preserve"> bir şekilde</w:t>
      </w:r>
      <w:r w:rsidRPr="005725AB">
        <w:rPr>
          <w:rFonts w:ascii="Times New Roman" w:hAnsi="Times New Roman"/>
          <w:sz w:val="24"/>
          <w:szCs w:val="24"/>
        </w:rPr>
        <w:t xml:space="preserve"> yanıt veremeyebil</w:t>
      </w:r>
      <w:r>
        <w:rPr>
          <w:rFonts w:ascii="Times New Roman" w:hAnsi="Times New Roman"/>
          <w:sz w:val="24"/>
          <w:szCs w:val="24"/>
        </w:rPr>
        <w:t>eceğinin düşünülmesi</w:t>
      </w:r>
      <w:r w:rsidRPr="005725AB">
        <w:rPr>
          <w:rFonts w:ascii="Times New Roman" w:hAnsi="Times New Roman"/>
          <w:sz w:val="24"/>
          <w:szCs w:val="24"/>
        </w:rPr>
        <w:t xml:space="preserve"> durum</w:t>
      </w:r>
      <w:r>
        <w:rPr>
          <w:rFonts w:ascii="Times New Roman" w:hAnsi="Times New Roman"/>
          <w:sz w:val="24"/>
          <w:szCs w:val="24"/>
        </w:rPr>
        <w:t>un</w:t>
      </w:r>
      <w:r w:rsidRPr="005725AB">
        <w:rPr>
          <w:rFonts w:ascii="Times New Roman" w:hAnsi="Times New Roman"/>
          <w:sz w:val="24"/>
          <w:szCs w:val="24"/>
        </w:rPr>
        <w:t>da denetçi</w:t>
      </w:r>
      <w:r>
        <w:rPr>
          <w:rFonts w:ascii="Times New Roman" w:hAnsi="Times New Roman"/>
          <w:sz w:val="24"/>
          <w:szCs w:val="24"/>
        </w:rPr>
        <w:t>,</w:t>
      </w:r>
      <w:r w:rsidRPr="005725AB">
        <w:rPr>
          <w:rFonts w:ascii="Times New Roman" w:hAnsi="Times New Roman"/>
          <w:sz w:val="24"/>
          <w:szCs w:val="24"/>
        </w:rPr>
        <w:t xml:space="preserve"> özel bir sorgulama mektubu yoluyla doğrudan iletişime geçebilir. Bu</w:t>
      </w:r>
      <w:r w:rsidRPr="0077035B">
        <w:rPr>
          <w:rFonts w:ascii="Times New Roman" w:hAnsi="Times New Roman"/>
          <w:sz w:val="24"/>
          <w:szCs w:val="24"/>
        </w:rPr>
        <w:t xml:space="preserve"> amaçla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özel sorgulama</w:t>
      </w:r>
      <w:r w:rsidRPr="0077035B">
        <w:rPr>
          <w:rFonts w:ascii="Times New Roman" w:hAnsi="Times New Roman"/>
          <w:sz w:val="24"/>
          <w:szCs w:val="24"/>
        </w:rPr>
        <w:t xml:space="preserve"> mektu</w:t>
      </w:r>
      <w:r>
        <w:rPr>
          <w:rFonts w:ascii="Times New Roman" w:hAnsi="Times New Roman"/>
          <w:sz w:val="24"/>
          <w:szCs w:val="24"/>
        </w:rPr>
        <w:t>bunda</w:t>
      </w:r>
      <w:r w:rsidRPr="0077035B">
        <w:rPr>
          <w:rFonts w:ascii="Times New Roman" w:hAnsi="Times New Roman"/>
          <w:sz w:val="24"/>
          <w:szCs w:val="24"/>
        </w:rPr>
        <w:t xml:space="preserve"> aşağıdaki hususlar yer alır: </w:t>
      </w:r>
    </w:p>
    <w:p w:rsidR="009A39F6" w:rsidRPr="00143295" w:rsidRDefault="009A39F6" w:rsidP="00143295">
      <w:pPr>
        <w:pStyle w:val="ListParagraph"/>
        <w:numPr>
          <w:ilvl w:val="0"/>
          <w:numId w:val="14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Dava ve iddiaların bir listesi,</w:t>
      </w:r>
    </w:p>
    <w:p w:rsidR="009A39F6" w:rsidRPr="00BB53FB" w:rsidRDefault="009A39F6" w:rsidP="00143295">
      <w:pPr>
        <w:pStyle w:val="ListParagraph"/>
        <w:numPr>
          <w:ilvl w:val="0"/>
          <w:numId w:val="14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Pr="00BB53FB">
        <w:rPr>
          <w:rFonts w:ascii="Times New Roman" w:hAnsi="Times New Roman"/>
          <w:sz w:val="24"/>
          <w:szCs w:val="24"/>
        </w:rPr>
        <w:t xml:space="preserve">önetimin belirlenmiş dava ve iddialardan her birinin sonucuna ilişkin </w:t>
      </w:r>
      <w:r>
        <w:rPr>
          <w:rFonts w:ascii="Times New Roman" w:hAnsi="Times New Roman"/>
          <w:sz w:val="24"/>
          <w:szCs w:val="24"/>
        </w:rPr>
        <w:t xml:space="preserve">-varsa- </w:t>
      </w:r>
      <w:r w:rsidRPr="00BB53FB">
        <w:rPr>
          <w:rFonts w:ascii="Times New Roman" w:hAnsi="Times New Roman"/>
          <w:sz w:val="24"/>
          <w:szCs w:val="24"/>
        </w:rPr>
        <w:t xml:space="preserve">değerlendirmesi ve maliyetler de dâhil </w:t>
      </w:r>
      <w:r>
        <w:rPr>
          <w:rFonts w:ascii="Times New Roman" w:hAnsi="Times New Roman"/>
          <w:sz w:val="24"/>
          <w:szCs w:val="24"/>
        </w:rPr>
        <w:t xml:space="preserve">olmak üzere </w:t>
      </w:r>
      <w:r w:rsidRPr="00BB53FB">
        <w:rPr>
          <w:rFonts w:ascii="Times New Roman" w:hAnsi="Times New Roman"/>
          <w:sz w:val="24"/>
          <w:szCs w:val="24"/>
        </w:rPr>
        <w:t xml:space="preserve">yönetimin dava ve iddiaların muhtemel finansal sonuçlarına ilişkin tahmini, </w:t>
      </w:r>
    </w:p>
    <w:p w:rsidR="009A39F6" w:rsidRPr="0077035B" w:rsidRDefault="009A39F6" w:rsidP="00143295">
      <w:pPr>
        <w:pStyle w:val="ListParagraph"/>
        <w:numPr>
          <w:ilvl w:val="0"/>
          <w:numId w:val="14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25AB">
        <w:rPr>
          <w:rFonts w:ascii="Times New Roman" w:hAnsi="Times New Roman"/>
          <w:sz w:val="24"/>
          <w:szCs w:val="24"/>
        </w:rPr>
        <w:t>İşletme</w:t>
      </w:r>
      <w:r>
        <w:rPr>
          <w:rFonts w:ascii="Times New Roman" w:hAnsi="Times New Roman"/>
          <w:sz w:val="24"/>
          <w:szCs w:val="24"/>
        </w:rPr>
        <w:t>nin</w:t>
      </w:r>
      <w:r w:rsidRPr="005725AB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>müşavirinin</w:t>
      </w:r>
      <w:r w:rsidRPr="005725AB">
        <w:rPr>
          <w:rFonts w:ascii="Times New Roman" w:hAnsi="Times New Roman"/>
          <w:sz w:val="24"/>
          <w:szCs w:val="24"/>
        </w:rPr>
        <w:t xml:space="preserve"> yönetimin değerlendirmelerinin </w:t>
      </w:r>
      <w:r>
        <w:rPr>
          <w:rFonts w:ascii="Times New Roman" w:hAnsi="Times New Roman"/>
          <w:sz w:val="24"/>
          <w:szCs w:val="24"/>
        </w:rPr>
        <w:t xml:space="preserve">makullüğünü teyit etmesine </w:t>
      </w:r>
      <w:r w:rsidRPr="005725AB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dava ve iddia</w:t>
      </w:r>
      <w:r w:rsidRPr="005725AB">
        <w:rPr>
          <w:rFonts w:ascii="Times New Roman" w:hAnsi="Times New Roman"/>
          <w:sz w:val="24"/>
          <w:szCs w:val="24"/>
        </w:rPr>
        <w:t xml:space="preserve"> liste</w:t>
      </w:r>
      <w:r>
        <w:rPr>
          <w:rFonts w:ascii="Times New Roman" w:hAnsi="Times New Roman"/>
          <w:sz w:val="24"/>
          <w:szCs w:val="24"/>
        </w:rPr>
        <w:t>si</w:t>
      </w:r>
      <w:r w:rsidRPr="005725AB">
        <w:rPr>
          <w:rFonts w:ascii="Times New Roman" w:hAnsi="Times New Roman"/>
          <w:sz w:val="24"/>
          <w:szCs w:val="24"/>
        </w:rPr>
        <w:t xml:space="preserve">nin, eksik veya hatalı olduğunu düşünmesi durumunda denetçiye daha fazla bilgi </w:t>
      </w:r>
      <w:r>
        <w:rPr>
          <w:rFonts w:ascii="Times New Roman" w:hAnsi="Times New Roman"/>
          <w:sz w:val="24"/>
          <w:szCs w:val="24"/>
        </w:rPr>
        <w:t xml:space="preserve">sağlamasına </w:t>
      </w:r>
      <w:r w:rsidRPr="005725AB">
        <w:rPr>
          <w:rFonts w:ascii="Times New Roman" w:hAnsi="Times New Roman"/>
          <w:sz w:val="24"/>
          <w:szCs w:val="24"/>
        </w:rPr>
        <w:t>ilişkin bir talep</w:t>
      </w:r>
      <w:r>
        <w:rPr>
          <w:rFonts w:ascii="Times New Roman" w:hAnsi="Times New Roman"/>
          <w:sz w:val="24"/>
          <w:szCs w:val="24"/>
        </w:rPr>
        <w:t>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A24.   </w:t>
      </w:r>
      <w:r>
        <w:rPr>
          <w:rFonts w:ascii="Times New Roman" w:hAnsi="Times New Roman"/>
          <w:sz w:val="24"/>
          <w:szCs w:val="24"/>
        </w:rPr>
        <w:tab/>
      </w:r>
      <w:r w:rsidRPr="0077035B">
        <w:rPr>
          <w:rFonts w:ascii="Times New Roman" w:hAnsi="Times New Roman"/>
          <w:sz w:val="24"/>
          <w:szCs w:val="24"/>
        </w:rPr>
        <w:t>Belirli durumlarda denetçi, dava ve iddiaların muhtemel sonuçları</w:t>
      </w:r>
      <w:r>
        <w:rPr>
          <w:rFonts w:ascii="Times New Roman" w:hAnsi="Times New Roman"/>
          <w:sz w:val="24"/>
          <w:szCs w:val="24"/>
        </w:rPr>
        <w:t>nı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müzakere etmek için işletmenin dış hukuk müşaviriyle görüşmesi</w:t>
      </w:r>
      <w:r w:rsidRPr="0077035B">
        <w:rPr>
          <w:rFonts w:ascii="Times New Roman" w:hAnsi="Times New Roman"/>
          <w:sz w:val="24"/>
          <w:szCs w:val="24"/>
        </w:rPr>
        <w:t xml:space="preserve"> gerektiği </w:t>
      </w:r>
      <w:r>
        <w:rPr>
          <w:rFonts w:ascii="Times New Roman" w:hAnsi="Times New Roman"/>
          <w:sz w:val="24"/>
          <w:szCs w:val="24"/>
        </w:rPr>
        <w:t>yargısına</w:t>
      </w:r>
      <w:r w:rsidRPr="0077035B">
        <w:rPr>
          <w:rFonts w:ascii="Times New Roman" w:hAnsi="Times New Roman"/>
          <w:sz w:val="24"/>
          <w:szCs w:val="24"/>
        </w:rPr>
        <w:t xml:space="preserve"> vara</w:t>
      </w:r>
      <w:r w:rsidRPr="002A191E">
        <w:rPr>
          <w:rFonts w:ascii="Times New Roman" w:hAnsi="Times New Roman"/>
          <w:sz w:val="24"/>
          <w:szCs w:val="24"/>
        </w:rPr>
        <w:t xml:space="preserve">bilir. </w:t>
      </w:r>
      <w:r>
        <w:rPr>
          <w:rFonts w:ascii="Times New Roman" w:hAnsi="Times New Roman"/>
          <w:sz w:val="24"/>
          <w:szCs w:val="24"/>
        </w:rPr>
        <w:t xml:space="preserve">Denetçi, aşağıdaki gibi durumlarda bu yargıya varabilir: </w:t>
      </w:r>
    </w:p>
    <w:p w:rsidR="009A39F6" w:rsidRPr="00143295" w:rsidRDefault="009A39F6" w:rsidP="00143295">
      <w:pPr>
        <w:pStyle w:val="ListParagraph"/>
        <w:numPr>
          <w:ilvl w:val="0"/>
          <w:numId w:val="15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Denetçinin</w:t>
      </w:r>
      <w:r>
        <w:rPr>
          <w:rFonts w:ascii="Times New Roman" w:hAnsi="Times New Roman"/>
          <w:sz w:val="24"/>
          <w:szCs w:val="24"/>
        </w:rPr>
        <w:t>,</w:t>
      </w:r>
      <w:r w:rsidRPr="00143295">
        <w:rPr>
          <w:rFonts w:ascii="Times New Roman" w:hAnsi="Times New Roman"/>
          <w:sz w:val="24"/>
          <w:szCs w:val="24"/>
        </w:rPr>
        <w:t xml:space="preserve"> konunun </w:t>
      </w:r>
      <w:r>
        <w:rPr>
          <w:rFonts w:ascii="Times New Roman" w:hAnsi="Times New Roman"/>
          <w:sz w:val="24"/>
          <w:szCs w:val="24"/>
        </w:rPr>
        <w:t>ciddi</w:t>
      </w:r>
      <w:r w:rsidRPr="00143295">
        <w:rPr>
          <w:rFonts w:ascii="Times New Roman" w:hAnsi="Times New Roman"/>
          <w:sz w:val="24"/>
          <w:szCs w:val="24"/>
        </w:rPr>
        <w:t xml:space="preserve"> bir risk olduğun</w:t>
      </w:r>
      <w:r>
        <w:rPr>
          <w:rFonts w:ascii="Times New Roman" w:hAnsi="Times New Roman"/>
          <w:sz w:val="24"/>
          <w:szCs w:val="24"/>
        </w:rPr>
        <w:t>a karar vermesi.</w:t>
      </w:r>
    </w:p>
    <w:p w:rsidR="009A39F6" w:rsidRPr="00143295" w:rsidRDefault="009A39F6" w:rsidP="00143295">
      <w:pPr>
        <w:pStyle w:val="ListParagraph"/>
        <w:numPr>
          <w:ilvl w:val="0"/>
          <w:numId w:val="15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Konunun karmaşık olması.</w:t>
      </w:r>
    </w:p>
    <w:p w:rsidR="009A39F6" w:rsidRPr="00143295" w:rsidRDefault="009A39F6" w:rsidP="00143295">
      <w:pPr>
        <w:pStyle w:val="ListParagraph"/>
        <w:numPr>
          <w:ilvl w:val="0"/>
          <w:numId w:val="15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Yönetimle işletme</w:t>
      </w:r>
      <w:r>
        <w:rPr>
          <w:rFonts w:ascii="Times New Roman" w:hAnsi="Times New Roman"/>
          <w:sz w:val="24"/>
          <w:szCs w:val="24"/>
        </w:rPr>
        <w:t>nin</w:t>
      </w:r>
      <w:r w:rsidRPr="00143295">
        <w:rPr>
          <w:rFonts w:ascii="Times New Roman" w:hAnsi="Times New Roman"/>
          <w:sz w:val="24"/>
          <w:szCs w:val="24"/>
        </w:rPr>
        <w:t xml:space="preserve"> dış hukuk </w:t>
      </w:r>
      <w:r>
        <w:rPr>
          <w:rFonts w:ascii="Times New Roman" w:hAnsi="Times New Roman"/>
          <w:sz w:val="24"/>
          <w:szCs w:val="24"/>
        </w:rPr>
        <w:t>müşaviri</w:t>
      </w:r>
      <w:r w:rsidRPr="00143295">
        <w:rPr>
          <w:rFonts w:ascii="Times New Roman" w:hAnsi="Times New Roman"/>
          <w:sz w:val="24"/>
          <w:szCs w:val="24"/>
        </w:rPr>
        <w:t xml:space="preserve"> arasında bir anlaşmazlık olması.</w:t>
      </w:r>
    </w:p>
    <w:p w:rsidR="009A39F6" w:rsidRPr="0077035B" w:rsidRDefault="009A39F6" w:rsidP="00143295">
      <w:pPr>
        <w:spacing w:before="120" w:after="120"/>
        <w:ind w:left="705"/>
        <w:jc w:val="both"/>
        <w:rPr>
          <w:rFonts w:ascii="Times New Roman" w:hAnsi="Times New Roman"/>
          <w:sz w:val="24"/>
          <w:szCs w:val="24"/>
        </w:rPr>
      </w:pPr>
      <w:r w:rsidRPr="0077035B">
        <w:rPr>
          <w:rFonts w:ascii="Times New Roman" w:hAnsi="Times New Roman"/>
          <w:sz w:val="24"/>
          <w:szCs w:val="24"/>
        </w:rPr>
        <w:t xml:space="preserve">Bu </w:t>
      </w:r>
      <w:r w:rsidRPr="002A191E">
        <w:rPr>
          <w:rFonts w:ascii="Times New Roman" w:hAnsi="Times New Roman"/>
          <w:sz w:val="24"/>
          <w:szCs w:val="24"/>
        </w:rPr>
        <w:t>görüşmeler</w:t>
      </w:r>
      <w:r>
        <w:rPr>
          <w:rFonts w:ascii="Times New Roman" w:hAnsi="Times New Roman"/>
          <w:sz w:val="24"/>
          <w:szCs w:val="24"/>
        </w:rPr>
        <w:t>,</w:t>
      </w:r>
      <w:r w:rsidRPr="0077035B">
        <w:rPr>
          <w:rFonts w:ascii="Times New Roman" w:hAnsi="Times New Roman"/>
          <w:sz w:val="24"/>
          <w:szCs w:val="24"/>
        </w:rPr>
        <w:t xml:space="preserve"> genellikle yönetimin iznini gerektirir ve yönetimden bir temsilcinin katılımıyla gerçekleştirilir.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D4E2D">
        <w:rPr>
          <w:rFonts w:ascii="Times New Roman" w:hAnsi="Times New Roman"/>
          <w:sz w:val="24"/>
          <w:szCs w:val="24"/>
        </w:rPr>
        <w:t xml:space="preserve">A25.  </w:t>
      </w:r>
      <w:r w:rsidRPr="00ED4E2D">
        <w:rPr>
          <w:rFonts w:ascii="Times New Roman" w:hAnsi="Times New Roman"/>
          <w:sz w:val="24"/>
          <w:szCs w:val="24"/>
        </w:rPr>
        <w:tab/>
        <w:t>BDS 700</w:t>
      </w:r>
      <w:r w:rsidRPr="00ED4E2D"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 w:rsidRPr="00ED4E2D">
        <w:rPr>
          <w:rFonts w:ascii="Times New Roman" w:hAnsi="Times New Roman"/>
          <w:sz w:val="24"/>
          <w:szCs w:val="24"/>
        </w:rPr>
        <w:t>’de zorunlu kılındığı üzere denetçi, denetçi raporuna, finansal tablolar hakkındaki denetçi görüşüne dayanak oluşturacak yeterli ve uygun denetim kanıtı elde ettiği tarihten daha önce tarih veremez.</w:t>
      </w:r>
      <w:r w:rsidRPr="0077035B">
        <w:rPr>
          <w:rFonts w:ascii="Times New Roman" w:hAnsi="Times New Roman"/>
          <w:sz w:val="24"/>
          <w:szCs w:val="24"/>
        </w:rPr>
        <w:t xml:space="preserve"> Denetçi raporu tarihine kadar olan dava ve iddiaların durumu</w:t>
      </w:r>
      <w:r>
        <w:rPr>
          <w:rFonts w:ascii="Times New Roman" w:hAnsi="Times New Roman"/>
          <w:sz w:val="24"/>
          <w:szCs w:val="24"/>
        </w:rPr>
        <w:t>yla</w:t>
      </w:r>
      <w:r w:rsidRPr="0077035B">
        <w:rPr>
          <w:rFonts w:ascii="Times New Roman" w:hAnsi="Times New Roman"/>
          <w:sz w:val="24"/>
          <w:szCs w:val="24"/>
        </w:rPr>
        <w:t xml:space="preserve"> ilgili denetim kanıtı, ilgili konuları ele almaktan sorumlu işletme</w:t>
      </w:r>
      <w:r>
        <w:rPr>
          <w:rFonts w:ascii="Times New Roman" w:hAnsi="Times New Roman"/>
          <w:sz w:val="24"/>
          <w:szCs w:val="24"/>
        </w:rPr>
        <w:t>nin</w:t>
      </w:r>
      <w:r w:rsidRPr="0077035B">
        <w:rPr>
          <w:rFonts w:ascii="Times New Roman" w:hAnsi="Times New Roman"/>
          <w:sz w:val="24"/>
          <w:szCs w:val="24"/>
        </w:rPr>
        <w:t xml:space="preserve"> iç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5B">
        <w:rPr>
          <w:rFonts w:ascii="Times New Roman" w:hAnsi="Times New Roman"/>
          <w:sz w:val="24"/>
          <w:szCs w:val="24"/>
        </w:rPr>
        <w:t xml:space="preserve">hukuk müşaviri de </w:t>
      </w:r>
      <w:r>
        <w:rPr>
          <w:rFonts w:ascii="Times New Roman" w:hAnsi="Times New Roman"/>
          <w:sz w:val="24"/>
          <w:szCs w:val="24"/>
        </w:rPr>
        <w:t>dâhil,</w:t>
      </w:r>
      <w:r w:rsidRPr="0077035B">
        <w:rPr>
          <w:rFonts w:ascii="Times New Roman" w:hAnsi="Times New Roman"/>
          <w:sz w:val="24"/>
          <w:szCs w:val="24"/>
        </w:rPr>
        <w:t xml:space="preserve"> yönetimin sorgula</w:t>
      </w:r>
      <w:r>
        <w:rPr>
          <w:rFonts w:ascii="Times New Roman" w:hAnsi="Times New Roman"/>
          <w:sz w:val="24"/>
          <w:szCs w:val="24"/>
        </w:rPr>
        <w:t xml:space="preserve">nması yoluyla elde edilebilir. </w:t>
      </w:r>
      <w:r w:rsidRPr="0077035B">
        <w:rPr>
          <w:rFonts w:ascii="Times New Roman" w:hAnsi="Times New Roman"/>
          <w:sz w:val="24"/>
          <w:szCs w:val="24"/>
        </w:rPr>
        <w:t>Bazı durumlarda denetçi, güncel bilgileri i</w:t>
      </w:r>
      <w:r>
        <w:rPr>
          <w:rFonts w:ascii="Times New Roman" w:hAnsi="Times New Roman"/>
          <w:sz w:val="24"/>
          <w:szCs w:val="24"/>
        </w:rPr>
        <w:t>şletmenin dış hukuk müşavirinden</w:t>
      </w:r>
      <w:r w:rsidRPr="0077035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lde etme</w:t>
      </w:r>
      <w:r w:rsidRPr="0077035B">
        <w:rPr>
          <w:rFonts w:ascii="Times New Roman" w:hAnsi="Times New Roman"/>
          <w:sz w:val="24"/>
          <w:szCs w:val="24"/>
        </w:rPr>
        <w:t xml:space="preserve"> ihtiyacı duyabilir.</w:t>
      </w:r>
    </w:p>
    <w:p w:rsidR="009A39F6" w:rsidRPr="0077035B" w:rsidRDefault="009A39F6" w:rsidP="00143295">
      <w:pPr>
        <w:spacing w:before="120" w:after="120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b/>
          <w:sz w:val="24"/>
          <w:szCs w:val="24"/>
        </w:rPr>
        <w:t>Faaliyet Bölümü Bilgileri</w:t>
      </w:r>
      <w:r w:rsidRPr="00F41886">
        <w:rPr>
          <w:rFonts w:ascii="Times New Roman" w:hAnsi="Times New Roman"/>
          <w:sz w:val="24"/>
          <w:szCs w:val="24"/>
        </w:rPr>
        <w:t xml:space="preserve"> (B</w:t>
      </w:r>
      <w:r>
        <w:rPr>
          <w:rFonts w:ascii="Times New Roman" w:hAnsi="Times New Roman"/>
          <w:sz w:val="24"/>
          <w:szCs w:val="24"/>
        </w:rPr>
        <w:t xml:space="preserve">akınız: </w:t>
      </w:r>
      <w:r w:rsidRPr="00F41886">
        <w:rPr>
          <w:rFonts w:ascii="Times New Roman" w:hAnsi="Times New Roman"/>
          <w:sz w:val="24"/>
          <w:szCs w:val="24"/>
        </w:rPr>
        <w:t xml:space="preserve">13 üncü </w:t>
      </w:r>
      <w:r>
        <w:rPr>
          <w:rFonts w:ascii="Times New Roman" w:hAnsi="Times New Roman"/>
          <w:sz w:val="24"/>
          <w:szCs w:val="24"/>
        </w:rPr>
        <w:t>p</w:t>
      </w:r>
      <w:r w:rsidRPr="00F41886">
        <w:rPr>
          <w:rFonts w:ascii="Times New Roman" w:hAnsi="Times New Roman"/>
          <w:sz w:val="24"/>
          <w:szCs w:val="24"/>
        </w:rPr>
        <w:t>aragraf)</w:t>
      </w:r>
      <w:r w:rsidRPr="0077035B">
        <w:rPr>
          <w:rFonts w:ascii="Times New Roman" w:hAnsi="Times New Roman"/>
          <w:sz w:val="24"/>
          <w:szCs w:val="24"/>
        </w:rPr>
        <w:t xml:space="preserve">  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A26.  </w:t>
      </w:r>
      <w:r>
        <w:rPr>
          <w:rFonts w:ascii="Times New Roman" w:hAnsi="Times New Roman"/>
          <w:sz w:val="24"/>
          <w:szCs w:val="24"/>
        </w:rPr>
        <w:tab/>
        <w:t>Geçerli finansal raporlama çerçevesine</w:t>
      </w:r>
      <w:r w:rsidRPr="0077035B">
        <w:rPr>
          <w:rFonts w:ascii="Times New Roman" w:hAnsi="Times New Roman"/>
          <w:sz w:val="24"/>
          <w:szCs w:val="24"/>
        </w:rPr>
        <w:t xml:space="preserve"> bağlı olarak, işletmenin finansal tablolarda </w:t>
      </w:r>
      <w:r w:rsidRPr="00143295">
        <w:rPr>
          <w:rFonts w:ascii="Times New Roman" w:hAnsi="Times New Roman"/>
          <w:sz w:val="24"/>
          <w:szCs w:val="24"/>
        </w:rPr>
        <w:t>bölüm bilgilerini</w:t>
      </w:r>
      <w:r w:rsidRPr="00BB53FB">
        <w:rPr>
          <w:rFonts w:ascii="Times New Roman" w:hAnsi="Times New Roman"/>
          <w:sz w:val="24"/>
          <w:szCs w:val="24"/>
        </w:rPr>
        <w:t xml:space="preserve"> açıklaması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zorunlu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olabilir</w:t>
      </w:r>
      <w:r w:rsidRPr="0077035B">
        <w:rPr>
          <w:rFonts w:ascii="Times New Roman" w:hAnsi="Times New Roman"/>
          <w:sz w:val="24"/>
          <w:szCs w:val="24"/>
        </w:rPr>
        <w:t xml:space="preserve"> veya buna izin verilebilir.</w:t>
      </w:r>
      <w:r w:rsidRPr="0077035B">
        <w:rPr>
          <w:rFonts w:ascii="Times New Roman" w:hAnsi="Times New Roman"/>
          <w:sz w:val="24"/>
          <w:szCs w:val="24"/>
        </w:rPr>
        <w:br/>
      </w:r>
      <w:r w:rsidRPr="009F08D2">
        <w:rPr>
          <w:rFonts w:ascii="Times New Roman" w:hAnsi="Times New Roman"/>
          <w:sz w:val="24"/>
          <w:szCs w:val="24"/>
        </w:rPr>
        <w:t xml:space="preserve">Denetçinin bölüm bilgilerinin sunumu ve açıklanmasına ilişkin sorumluluğu, </w:t>
      </w:r>
      <w:r w:rsidRPr="008F620D">
        <w:rPr>
          <w:rFonts w:ascii="Times New Roman" w:hAnsi="Times New Roman"/>
          <w:sz w:val="24"/>
          <w:szCs w:val="24"/>
        </w:rPr>
        <w:t xml:space="preserve">bir bütün olarak finansal tablolarla ilgilidir. Dolayısıyla denetçinin, tek başına </w:t>
      </w:r>
      <w:r w:rsidRPr="009F08D2">
        <w:rPr>
          <w:rFonts w:ascii="Times New Roman" w:hAnsi="Times New Roman"/>
          <w:sz w:val="24"/>
          <w:szCs w:val="24"/>
        </w:rPr>
        <w:t xml:space="preserve">ayrı </w:t>
      </w:r>
      <w:r w:rsidRPr="008F620D">
        <w:rPr>
          <w:rFonts w:ascii="Times New Roman" w:hAnsi="Times New Roman"/>
          <w:sz w:val="24"/>
          <w:szCs w:val="24"/>
        </w:rPr>
        <w:t>olarak sunulan bölüm bilgilerine ilişkin görüş vermek</w:t>
      </w:r>
      <w:r w:rsidRPr="009F08D2">
        <w:rPr>
          <w:rFonts w:ascii="Times New Roman" w:hAnsi="Times New Roman"/>
          <w:sz w:val="24"/>
          <w:szCs w:val="24"/>
        </w:rPr>
        <w:t xml:space="preserve"> </w:t>
      </w:r>
      <w:r w:rsidRPr="008F620D">
        <w:rPr>
          <w:rFonts w:ascii="Times New Roman" w:hAnsi="Times New Roman"/>
          <w:sz w:val="24"/>
          <w:szCs w:val="24"/>
        </w:rPr>
        <w:t>için gerekli olan denetim prosedürlerini uygulaması zorunlu değildir.</w:t>
      </w:r>
    </w:p>
    <w:p w:rsidR="009A39F6" w:rsidRPr="0077035B" w:rsidRDefault="009A39F6" w:rsidP="00143295">
      <w:pPr>
        <w:keepNext/>
        <w:spacing w:before="120" w:after="120"/>
        <w:rPr>
          <w:rFonts w:ascii="Times New Roman" w:hAnsi="Times New Roman"/>
          <w:sz w:val="24"/>
          <w:szCs w:val="24"/>
        </w:rPr>
      </w:pPr>
      <w:r w:rsidRPr="0066335A">
        <w:rPr>
          <w:rFonts w:ascii="Times New Roman" w:hAnsi="Times New Roman"/>
          <w:i/>
          <w:sz w:val="24"/>
          <w:szCs w:val="24"/>
        </w:rPr>
        <w:t>Yönetim Tarafından Kullanılan Yöntemlerin Anlaşılması</w:t>
      </w:r>
      <w:r w:rsidRPr="0077035B">
        <w:rPr>
          <w:rFonts w:ascii="Times New Roman" w:hAnsi="Times New Roman"/>
          <w:sz w:val="24"/>
          <w:szCs w:val="24"/>
        </w:rPr>
        <w:t xml:space="preserve"> (Bakınız: 13(a) </w:t>
      </w:r>
      <w:r>
        <w:rPr>
          <w:rFonts w:ascii="Times New Roman" w:hAnsi="Times New Roman"/>
          <w:sz w:val="24"/>
          <w:szCs w:val="24"/>
        </w:rPr>
        <w:t>p</w:t>
      </w:r>
      <w:r w:rsidRPr="0077035B">
        <w:rPr>
          <w:rFonts w:ascii="Times New Roman" w:hAnsi="Times New Roman"/>
          <w:sz w:val="24"/>
          <w:szCs w:val="24"/>
        </w:rPr>
        <w:t>aragrafı)</w:t>
      </w:r>
    </w:p>
    <w:p w:rsidR="009A39F6" w:rsidRPr="0077035B" w:rsidRDefault="009A39F6" w:rsidP="00143295">
      <w:pPr>
        <w:spacing w:before="120"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A27. </w:t>
      </w:r>
      <w:r>
        <w:rPr>
          <w:rFonts w:ascii="Times New Roman" w:hAnsi="Times New Roman"/>
          <w:sz w:val="24"/>
          <w:szCs w:val="24"/>
        </w:rPr>
        <w:tab/>
        <w:t>Şartlara bağlı olarak denetçi,</w:t>
      </w:r>
      <w:r w:rsidRPr="0077035B">
        <w:rPr>
          <w:rFonts w:ascii="Times New Roman" w:hAnsi="Times New Roman"/>
          <w:sz w:val="24"/>
          <w:szCs w:val="24"/>
        </w:rPr>
        <w:t xml:space="preserve"> bölüm bilgi</w:t>
      </w:r>
      <w:r>
        <w:rPr>
          <w:rFonts w:ascii="Times New Roman" w:hAnsi="Times New Roman"/>
          <w:sz w:val="24"/>
          <w:szCs w:val="24"/>
        </w:rPr>
        <w:t>lerine karar verilirken yönetim tarafından</w:t>
      </w:r>
      <w:r w:rsidRPr="0077035B">
        <w:rPr>
          <w:rFonts w:ascii="Times New Roman" w:hAnsi="Times New Roman"/>
          <w:sz w:val="24"/>
          <w:szCs w:val="24"/>
        </w:rPr>
        <w:t xml:space="preserve"> kullanılan yöntemler ve bu yöntemlerin </w:t>
      </w:r>
      <w:r>
        <w:rPr>
          <w:rFonts w:ascii="Times New Roman" w:hAnsi="Times New Roman"/>
          <w:sz w:val="24"/>
          <w:szCs w:val="24"/>
        </w:rPr>
        <w:t xml:space="preserve">geçerli finansal raporlama çerçevesi </w:t>
      </w:r>
      <w:r w:rsidRPr="0077035B">
        <w:rPr>
          <w:rFonts w:ascii="Times New Roman" w:hAnsi="Times New Roman"/>
          <w:sz w:val="24"/>
          <w:szCs w:val="24"/>
        </w:rPr>
        <w:t xml:space="preserve">uyarınca </w:t>
      </w:r>
      <w:r w:rsidRPr="00763689">
        <w:rPr>
          <w:rFonts w:ascii="Times New Roman" w:hAnsi="Times New Roman"/>
          <w:sz w:val="24"/>
          <w:szCs w:val="24"/>
        </w:rPr>
        <w:t>açıklama</w:t>
      </w:r>
      <w:r>
        <w:rPr>
          <w:rFonts w:ascii="Times New Roman" w:hAnsi="Times New Roman"/>
          <w:sz w:val="24"/>
          <w:szCs w:val="24"/>
        </w:rPr>
        <w:t xml:space="preserve"> yapılmasına sebep olma ihtimalinin bulunup bulunmadığı</w:t>
      </w:r>
      <w:r w:rsidRPr="00763689">
        <w:rPr>
          <w:rFonts w:ascii="Times New Roman" w:hAnsi="Times New Roman"/>
          <w:sz w:val="24"/>
          <w:szCs w:val="24"/>
        </w:rPr>
        <w:t xml:space="preserve"> hakkında</w:t>
      </w:r>
      <w:r w:rsidRPr="0077035B">
        <w:rPr>
          <w:rFonts w:ascii="Times New Roman" w:hAnsi="Times New Roman"/>
          <w:sz w:val="24"/>
          <w:szCs w:val="24"/>
        </w:rPr>
        <w:t xml:space="preserve"> bilgi </w:t>
      </w:r>
      <w:r>
        <w:rPr>
          <w:rFonts w:ascii="Times New Roman" w:hAnsi="Times New Roman"/>
          <w:sz w:val="24"/>
          <w:szCs w:val="24"/>
        </w:rPr>
        <w:t>edinirken, örneğin</w:t>
      </w:r>
      <w:r w:rsidRPr="0077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aşağıdaki hususları dikkate alır:</w:t>
      </w:r>
      <w:r w:rsidRPr="0077035B">
        <w:rPr>
          <w:rFonts w:ascii="Times New Roman" w:hAnsi="Times New Roman"/>
          <w:sz w:val="24"/>
          <w:szCs w:val="24"/>
        </w:rPr>
        <w:t xml:space="preserve"> </w:t>
      </w:r>
    </w:p>
    <w:p w:rsidR="009A39F6" w:rsidRDefault="009A39F6" w:rsidP="00143295">
      <w:pPr>
        <w:pStyle w:val="ListParagraph"/>
        <w:numPr>
          <w:ilvl w:val="0"/>
          <w:numId w:val="17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Bölümler arası</w:t>
      </w:r>
      <w:r w:rsidRPr="006808D0">
        <w:rPr>
          <w:rFonts w:ascii="Times New Roman" w:hAnsi="Times New Roman"/>
          <w:sz w:val="24"/>
          <w:szCs w:val="24"/>
        </w:rPr>
        <w:t xml:space="preserve"> tutarların elimine edilmesi</w:t>
      </w:r>
      <w:r w:rsidRPr="00BB53FB" w:rsidDel="00CE1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b</w:t>
      </w:r>
      <w:r w:rsidRPr="00143295">
        <w:rPr>
          <w:rFonts w:ascii="Times New Roman" w:hAnsi="Times New Roman"/>
          <w:sz w:val="24"/>
          <w:szCs w:val="24"/>
        </w:rPr>
        <w:t>ölümler arası satış, transfer ve giderler</w:t>
      </w:r>
      <w:r>
        <w:rPr>
          <w:rFonts w:ascii="Times New Roman" w:hAnsi="Times New Roman"/>
          <w:sz w:val="24"/>
          <w:szCs w:val="24"/>
        </w:rPr>
        <w:t>.</w:t>
      </w:r>
    </w:p>
    <w:p w:rsidR="009A39F6" w:rsidRDefault="009A39F6" w:rsidP="00143295">
      <w:pPr>
        <w:pStyle w:val="ListParagraph"/>
        <w:numPr>
          <w:ilvl w:val="0"/>
          <w:numId w:val="17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 xml:space="preserve">Bütçeler ile diğer beklenen sonuçların </w:t>
      </w:r>
      <w:r w:rsidRPr="003F554B">
        <w:rPr>
          <w:rFonts w:ascii="Times New Roman" w:hAnsi="Times New Roman"/>
          <w:sz w:val="24"/>
          <w:szCs w:val="24"/>
        </w:rPr>
        <w:t>(örneğin satış</w:t>
      </w:r>
      <w:r>
        <w:rPr>
          <w:rFonts w:ascii="Times New Roman" w:hAnsi="Times New Roman"/>
          <w:sz w:val="24"/>
          <w:szCs w:val="24"/>
        </w:rPr>
        <w:t>ların</w:t>
      </w:r>
      <w:r w:rsidRPr="003F554B">
        <w:rPr>
          <w:rFonts w:ascii="Times New Roman" w:hAnsi="Times New Roman"/>
          <w:sz w:val="24"/>
          <w:szCs w:val="24"/>
        </w:rPr>
        <w:t xml:space="preserve"> yüzdesi olarak faaliyet kârı</w:t>
      </w:r>
      <w:r>
        <w:rPr>
          <w:rFonts w:ascii="Times New Roman" w:hAnsi="Times New Roman"/>
          <w:sz w:val="24"/>
          <w:szCs w:val="24"/>
        </w:rPr>
        <w:t>nın</w:t>
      </w:r>
      <w:r w:rsidRPr="003F55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295">
        <w:rPr>
          <w:rFonts w:ascii="Times New Roman" w:hAnsi="Times New Roman"/>
          <w:sz w:val="24"/>
          <w:szCs w:val="24"/>
        </w:rPr>
        <w:t>karşılaştırılması.</w:t>
      </w:r>
    </w:p>
    <w:p w:rsidR="009A39F6" w:rsidRDefault="009A39F6" w:rsidP="00143295">
      <w:pPr>
        <w:pStyle w:val="ListParagraph"/>
        <w:numPr>
          <w:ilvl w:val="0"/>
          <w:numId w:val="17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295">
        <w:rPr>
          <w:rFonts w:ascii="Times New Roman" w:hAnsi="Times New Roman"/>
          <w:sz w:val="24"/>
          <w:szCs w:val="24"/>
        </w:rPr>
        <w:t>Varlık ve maliyetlerin bölümler arasında dağıtımı.</w:t>
      </w:r>
    </w:p>
    <w:p w:rsidR="009A39F6" w:rsidRPr="00143295" w:rsidRDefault="009A39F6" w:rsidP="00143295">
      <w:pPr>
        <w:pStyle w:val="ListParagraph"/>
        <w:numPr>
          <w:ilvl w:val="0"/>
          <w:numId w:val="17"/>
        </w:numPr>
        <w:spacing w:before="120" w:after="120"/>
        <w:ind w:left="1423" w:hanging="7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Önceki dönemlerle tutarlılık; t</w:t>
      </w:r>
      <w:r w:rsidRPr="004408E6">
        <w:rPr>
          <w:rFonts w:ascii="Times New Roman" w:hAnsi="Times New Roman"/>
          <w:sz w:val="24"/>
          <w:szCs w:val="24"/>
        </w:rPr>
        <w:t>utarsızlıklarla ilgili açıklamaların yeterliliği</w:t>
      </w:r>
      <w:r>
        <w:rPr>
          <w:rFonts w:ascii="Times New Roman" w:hAnsi="Times New Roman"/>
          <w:sz w:val="24"/>
          <w:szCs w:val="24"/>
        </w:rPr>
        <w:t>.</w:t>
      </w:r>
    </w:p>
    <w:sectPr w:rsidR="009A39F6" w:rsidRPr="00143295" w:rsidSect="00396359"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F6" w:rsidRDefault="009A39F6" w:rsidP="008B5002">
      <w:pPr>
        <w:spacing w:after="0" w:line="240" w:lineRule="auto"/>
      </w:pPr>
      <w:r>
        <w:separator/>
      </w:r>
    </w:p>
  </w:endnote>
  <w:endnote w:type="continuationSeparator" w:id="0">
    <w:p w:rsidR="009A39F6" w:rsidRDefault="009A39F6" w:rsidP="008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F6" w:rsidRDefault="009A39F6" w:rsidP="008B5002">
      <w:pPr>
        <w:spacing w:after="0" w:line="240" w:lineRule="auto"/>
      </w:pPr>
      <w:r>
        <w:separator/>
      </w:r>
    </w:p>
  </w:footnote>
  <w:footnote w:type="continuationSeparator" w:id="0">
    <w:p w:rsidR="009A39F6" w:rsidRDefault="009A39F6" w:rsidP="008B5002">
      <w:pPr>
        <w:spacing w:after="0" w:line="240" w:lineRule="auto"/>
      </w:pPr>
      <w:r>
        <w:continuationSeparator/>
      </w:r>
    </w:p>
  </w:footnote>
  <w:footnote w:id="1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rFonts w:ascii="Times New Roman" w:hAnsi="Times New Roman"/>
          <w:sz w:val="18"/>
          <w:szCs w:val="18"/>
        </w:rPr>
        <w:t xml:space="preserve"> BDS 330, “Bağımsız Denetçinin Değerlendirilmiş Risklere Karşı Yapacağı İşler”</w:t>
      </w:r>
    </w:p>
  </w:footnote>
  <w:footnote w:id="2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rFonts w:ascii="Times New Roman" w:hAnsi="Times New Roman"/>
          <w:sz w:val="18"/>
          <w:szCs w:val="18"/>
        </w:rPr>
        <w:t xml:space="preserve"> BDS 500, “Bağımsız Denetim Kanıtları”</w:t>
      </w:r>
    </w:p>
  </w:footnote>
  <w:footnote w:id="3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sz w:val="18"/>
          <w:szCs w:val="18"/>
        </w:rPr>
        <w:t xml:space="preserve"> </w:t>
      </w:r>
      <w:r w:rsidRPr="00143295">
        <w:rPr>
          <w:rFonts w:ascii="Times New Roman" w:hAnsi="Times New Roman"/>
          <w:sz w:val="18"/>
          <w:szCs w:val="18"/>
        </w:rPr>
        <w:t>BDS 705, “Bağımsız Denetçi Raporunda Olumlu Görüş Dışında Bir Görüş Verilmesi”</w:t>
      </w:r>
    </w:p>
  </w:footnote>
  <w:footnote w:id="4">
    <w:p w:rsidR="009A39F6" w:rsidRDefault="009A39F6" w:rsidP="002A06EE">
      <w:pPr>
        <w:pStyle w:val="FootnoteText"/>
        <w:jc w:val="both"/>
      </w:pPr>
      <w:r w:rsidRPr="004A7A8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A7A87">
        <w:rPr>
          <w:rFonts w:ascii="Times New Roman" w:hAnsi="Times New Roman"/>
          <w:sz w:val="18"/>
          <w:szCs w:val="18"/>
        </w:rPr>
        <w:t xml:space="preserve"> BDS 600, “Özel Hususlar</w:t>
      </w:r>
      <w:r>
        <w:rPr>
          <w:rFonts w:ascii="Times New Roman" w:hAnsi="Times New Roman"/>
          <w:sz w:val="18"/>
          <w:szCs w:val="18"/>
        </w:rPr>
        <w:t>-</w:t>
      </w:r>
      <w:r w:rsidRPr="004A7A87">
        <w:rPr>
          <w:rFonts w:ascii="Times New Roman" w:hAnsi="Times New Roman"/>
          <w:sz w:val="18"/>
          <w:szCs w:val="18"/>
        </w:rPr>
        <w:t>Topluluk Finansal Tablolarının Bağımsız Denetimi (Topluluğa Bağlı Birim Denetçilerinin Çalışmaları Dâhil)”</w:t>
      </w:r>
    </w:p>
  </w:footnote>
  <w:footnote w:id="5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rFonts w:ascii="Times New Roman" w:hAnsi="Times New Roman"/>
          <w:sz w:val="18"/>
          <w:szCs w:val="18"/>
        </w:rPr>
        <w:t xml:space="preserve"> BDS 620, “Uzman Çalışmalarının Kullanılması”</w:t>
      </w:r>
    </w:p>
  </w:footnote>
  <w:footnote w:id="6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rFonts w:ascii="Times New Roman" w:hAnsi="Times New Roman"/>
          <w:sz w:val="18"/>
          <w:szCs w:val="18"/>
        </w:rPr>
        <w:t xml:space="preserve"> BDS 330, 22-23 üncü paragraflar </w:t>
      </w:r>
    </w:p>
  </w:footnote>
  <w:footnote w:id="7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rFonts w:ascii="Times New Roman" w:hAnsi="Times New Roman"/>
          <w:sz w:val="18"/>
          <w:szCs w:val="18"/>
        </w:rPr>
        <w:t xml:space="preserve"> BDS 200, “Bağımsız Denetçinin Genel Amaçları ve Bağımsız Denetimin Bağımsız Denetim Standartlarına Uygun Olarak Yürütülmesi”</w:t>
      </w:r>
      <w:r>
        <w:rPr>
          <w:rFonts w:ascii="Times New Roman" w:hAnsi="Times New Roman"/>
          <w:sz w:val="18"/>
          <w:szCs w:val="18"/>
        </w:rPr>
        <w:t>, A48 paragrafı</w:t>
      </w:r>
    </w:p>
  </w:footnote>
  <w:footnote w:id="8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rFonts w:ascii="Times New Roman" w:hAnsi="Times New Roman"/>
          <w:sz w:val="18"/>
          <w:szCs w:val="18"/>
        </w:rPr>
        <w:t xml:space="preserve"> BDS 705,</w:t>
      </w:r>
      <w:r>
        <w:rPr>
          <w:rFonts w:ascii="Times New Roman" w:hAnsi="Times New Roman"/>
          <w:sz w:val="18"/>
          <w:szCs w:val="18"/>
        </w:rPr>
        <w:t xml:space="preserve"> </w:t>
      </w:r>
      <w:r w:rsidRPr="00143295">
        <w:rPr>
          <w:rFonts w:ascii="Times New Roman" w:hAnsi="Times New Roman"/>
          <w:sz w:val="18"/>
          <w:szCs w:val="18"/>
        </w:rPr>
        <w:t>13 üncü paragraf</w:t>
      </w:r>
    </w:p>
  </w:footnote>
  <w:footnote w:id="9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143295">
        <w:rPr>
          <w:rFonts w:ascii="Times New Roman" w:hAnsi="Times New Roman"/>
          <w:sz w:val="18"/>
          <w:szCs w:val="18"/>
        </w:rPr>
        <w:t>BDS 505, “Dış Teyitler”</w:t>
      </w:r>
    </w:p>
  </w:footnote>
  <w:footnote w:id="10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rFonts w:ascii="Times New Roman" w:hAnsi="Times New Roman"/>
          <w:sz w:val="18"/>
          <w:szCs w:val="18"/>
        </w:rPr>
        <w:t>BDS 540, “Gerçeğe Uygun Değere İlişkin Olanlar Dâhil Muhasebe Tahminlerinin ve İlgili Açıklamaların Bağımsız Denetimi”</w:t>
      </w:r>
    </w:p>
  </w:footnote>
  <w:footnote w:id="11">
    <w:p w:rsidR="009A39F6" w:rsidRDefault="009A39F6" w:rsidP="002A06EE">
      <w:pPr>
        <w:pStyle w:val="FootnoteText"/>
        <w:jc w:val="both"/>
      </w:pPr>
      <w:r w:rsidRPr="0014329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43295">
        <w:rPr>
          <w:rFonts w:ascii="Times New Roman" w:hAnsi="Times New Roman"/>
          <w:sz w:val="18"/>
          <w:szCs w:val="18"/>
        </w:rPr>
        <w:t xml:space="preserve"> BDS 700, “Finansal Tablolara İlişkin Görüş Oluşturma ve Raporlama”</w:t>
      </w:r>
      <w:r>
        <w:rPr>
          <w:rFonts w:ascii="Times New Roman" w:hAnsi="Times New Roman"/>
          <w:sz w:val="18"/>
          <w:szCs w:val="18"/>
        </w:rPr>
        <w:t>, 41 inci paragraf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3CF"/>
    <w:multiLevelType w:val="hybridMultilevel"/>
    <w:tmpl w:val="3BE05D2A"/>
    <w:lvl w:ilvl="0" w:tplc="0CC2AD52">
      <w:start w:val="1"/>
      <w:numFmt w:val="low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16143E1A"/>
    <w:multiLevelType w:val="hybridMultilevel"/>
    <w:tmpl w:val="5BFA0B32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8AE0ABB"/>
    <w:multiLevelType w:val="hybridMultilevel"/>
    <w:tmpl w:val="C97C22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CE8286F"/>
    <w:multiLevelType w:val="hybridMultilevel"/>
    <w:tmpl w:val="D0D4FDE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4B904D1"/>
    <w:multiLevelType w:val="hybridMultilevel"/>
    <w:tmpl w:val="F5E02D96"/>
    <w:lvl w:ilvl="0" w:tplc="8F66CCC0">
      <w:start w:val="1"/>
      <w:numFmt w:val="low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30543CC2"/>
    <w:multiLevelType w:val="hybridMultilevel"/>
    <w:tmpl w:val="4AF032FA"/>
    <w:lvl w:ilvl="0" w:tplc="0CC2AD52">
      <w:start w:val="1"/>
      <w:numFmt w:val="low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7894868"/>
    <w:multiLevelType w:val="hybridMultilevel"/>
    <w:tmpl w:val="F5E02D96"/>
    <w:lvl w:ilvl="0" w:tplc="8F66CCC0">
      <w:start w:val="1"/>
      <w:numFmt w:val="low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38887244"/>
    <w:multiLevelType w:val="hybridMultilevel"/>
    <w:tmpl w:val="C35C31E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B777509"/>
    <w:multiLevelType w:val="hybridMultilevel"/>
    <w:tmpl w:val="356CF21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CCE587D"/>
    <w:multiLevelType w:val="hybridMultilevel"/>
    <w:tmpl w:val="E0A6E424"/>
    <w:lvl w:ilvl="0" w:tplc="15F47026">
      <w:numFmt w:val="bullet"/>
      <w:lvlText w:val="•"/>
      <w:lvlJc w:val="left"/>
      <w:pPr>
        <w:ind w:left="1275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0386841"/>
    <w:multiLevelType w:val="hybridMultilevel"/>
    <w:tmpl w:val="86166BF0"/>
    <w:lvl w:ilvl="0" w:tplc="0CC2AD5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F443BE"/>
    <w:multiLevelType w:val="hybridMultilevel"/>
    <w:tmpl w:val="C88645C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78616D7"/>
    <w:multiLevelType w:val="hybridMultilevel"/>
    <w:tmpl w:val="E21265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E671036"/>
    <w:multiLevelType w:val="hybridMultilevel"/>
    <w:tmpl w:val="176AA0F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4862D9F"/>
    <w:multiLevelType w:val="hybridMultilevel"/>
    <w:tmpl w:val="4AF032FA"/>
    <w:lvl w:ilvl="0" w:tplc="0CC2AD52">
      <w:start w:val="1"/>
      <w:numFmt w:val="low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77D739D3"/>
    <w:multiLevelType w:val="hybridMultilevel"/>
    <w:tmpl w:val="72E2AFCC"/>
    <w:lvl w:ilvl="0" w:tplc="E7207950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FB91E83"/>
    <w:multiLevelType w:val="hybridMultilevel"/>
    <w:tmpl w:val="3BE05D2A"/>
    <w:lvl w:ilvl="0" w:tplc="0CC2AD52">
      <w:start w:val="1"/>
      <w:numFmt w:val="low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6B5"/>
    <w:rsid w:val="0000592A"/>
    <w:rsid w:val="000338F2"/>
    <w:rsid w:val="00040FE3"/>
    <w:rsid w:val="000439F1"/>
    <w:rsid w:val="0006362A"/>
    <w:rsid w:val="00081C8A"/>
    <w:rsid w:val="000A0C1D"/>
    <w:rsid w:val="000A6395"/>
    <w:rsid w:val="000C70FC"/>
    <w:rsid w:val="000D060A"/>
    <w:rsid w:val="000D5EF1"/>
    <w:rsid w:val="000F7ED9"/>
    <w:rsid w:val="00103944"/>
    <w:rsid w:val="0012109B"/>
    <w:rsid w:val="00127E22"/>
    <w:rsid w:val="0013142B"/>
    <w:rsid w:val="00136E04"/>
    <w:rsid w:val="00143295"/>
    <w:rsid w:val="00167C54"/>
    <w:rsid w:val="0017100A"/>
    <w:rsid w:val="00183CA5"/>
    <w:rsid w:val="001B0F38"/>
    <w:rsid w:val="001B6B23"/>
    <w:rsid w:val="001E1043"/>
    <w:rsid w:val="001E1490"/>
    <w:rsid w:val="001E2E1E"/>
    <w:rsid w:val="001E52EF"/>
    <w:rsid w:val="001E5AF2"/>
    <w:rsid w:val="001F1092"/>
    <w:rsid w:val="001F2C6B"/>
    <w:rsid w:val="001F42D0"/>
    <w:rsid w:val="001F6386"/>
    <w:rsid w:val="00210A94"/>
    <w:rsid w:val="002129D5"/>
    <w:rsid w:val="002244D8"/>
    <w:rsid w:val="002550BF"/>
    <w:rsid w:val="00257318"/>
    <w:rsid w:val="00271FB5"/>
    <w:rsid w:val="00273AFA"/>
    <w:rsid w:val="002A06EE"/>
    <w:rsid w:val="002A117D"/>
    <w:rsid w:val="002A1835"/>
    <w:rsid w:val="002A191E"/>
    <w:rsid w:val="002A640B"/>
    <w:rsid w:val="002B7B00"/>
    <w:rsid w:val="002C4009"/>
    <w:rsid w:val="002C7FE3"/>
    <w:rsid w:val="002D0288"/>
    <w:rsid w:val="002D0BA8"/>
    <w:rsid w:val="002D74F5"/>
    <w:rsid w:val="00302B5C"/>
    <w:rsid w:val="00303897"/>
    <w:rsid w:val="00313CF3"/>
    <w:rsid w:val="003255F6"/>
    <w:rsid w:val="0034472B"/>
    <w:rsid w:val="00366485"/>
    <w:rsid w:val="00396359"/>
    <w:rsid w:val="003A20CE"/>
    <w:rsid w:val="003B53F0"/>
    <w:rsid w:val="003F554B"/>
    <w:rsid w:val="00431A31"/>
    <w:rsid w:val="004408E6"/>
    <w:rsid w:val="0045134A"/>
    <w:rsid w:val="0045324A"/>
    <w:rsid w:val="004606E0"/>
    <w:rsid w:val="00463C83"/>
    <w:rsid w:val="00496BAA"/>
    <w:rsid w:val="004A25C7"/>
    <w:rsid w:val="004A7A87"/>
    <w:rsid w:val="004C5B9E"/>
    <w:rsid w:val="004F723F"/>
    <w:rsid w:val="005103E1"/>
    <w:rsid w:val="00511845"/>
    <w:rsid w:val="00523CE0"/>
    <w:rsid w:val="005570DC"/>
    <w:rsid w:val="005725AB"/>
    <w:rsid w:val="00577415"/>
    <w:rsid w:val="005853A2"/>
    <w:rsid w:val="005E0110"/>
    <w:rsid w:val="00603597"/>
    <w:rsid w:val="006158DD"/>
    <w:rsid w:val="00615EAA"/>
    <w:rsid w:val="00616FB3"/>
    <w:rsid w:val="006270C4"/>
    <w:rsid w:val="00627947"/>
    <w:rsid w:val="00634E82"/>
    <w:rsid w:val="00644943"/>
    <w:rsid w:val="0066335A"/>
    <w:rsid w:val="006808D0"/>
    <w:rsid w:val="006A5822"/>
    <w:rsid w:val="006D7948"/>
    <w:rsid w:val="006F40C7"/>
    <w:rsid w:val="00707D74"/>
    <w:rsid w:val="00714EF7"/>
    <w:rsid w:val="00716229"/>
    <w:rsid w:val="00723EE6"/>
    <w:rsid w:val="00752532"/>
    <w:rsid w:val="00763689"/>
    <w:rsid w:val="0077035B"/>
    <w:rsid w:val="007D1CB4"/>
    <w:rsid w:val="007F7CD7"/>
    <w:rsid w:val="00840C7E"/>
    <w:rsid w:val="008415E9"/>
    <w:rsid w:val="00855AD4"/>
    <w:rsid w:val="0085603F"/>
    <w:rsid w:val="008667C8"/>
    <w:rsid w:val="00870DD1"/>
    <w:rsid w:val="008849F8"/>
    <w:rsid w:val="0088738F"/>
    <w:rsid w:val="008B5002"/>
    <w:rsid w:val="008C7BBB"/>
    <w:rsid w:val="008D64B6"/>
    <w:rsid w:val="008F3255"/>
    <w:rsid w:val="008F620D"/>
    <w:rsid w:val="008F7B3B"/>
    <w:rsid w:val="00901056"/>
    <w:rsid w:val="00932405"/>
    <w:rsid w:val="0094034D"/>
    <w:rsid w:val="009416A9"/>
    <w:rsid w:val="00942EF7"/>
    <w:rsid w:val="0095533D"/>
    <w:rsid w:val="00976CF9"/>
    <w:rsid w:val="009858F2"/>
    <w:rsid w:val="00986A90"/>
    <w:rsid w:val="00992C57"/>
    <w:rsid w:val="009A39F6"/>
    <w:rsid w:val="009C3AB1"/>
    <w:rsid w:val="009E68E1"/>
    <w:rsid w:val="009F08D2"/>
    <w:rsid w:val="00A345C0"/>
    <w:rsid w:val="00A95D63"/>
    <w:rsid w:val="00AB5429"/>
    <w:rsid w:val="00AC6B02"/>
    <w:rsid w:val="00B04F05"/>
    <w:rsid w:val="00B05CE8"/>
    <w:rsid w:val="00B111CA"/>
    <w:rsid w:val="00B267CA"/>
    <w:rsid w:val="00BB539C"/>
    <w:rsid w:val="00BB53FB"/>
    <w:rsid w:val="00BB72AA"/>
    <w:rsid w:val="00BD70AC"/>
    <w:rsid w:val="00BE2572"/>
    <w:rsid w:val="00BF15DC"/>
    <w:rsid w:val="00BF1E28"/>
    <w:rsid w:val="00BF7DEA"/>
    <w:rsid w:val="00C60011"/>
    <w:rsid w:val="00C65419"/>
    <w:rsid w:val="00C714F8"/>
    <w:rsid w:val="00C73D3B"/>
    <w:rsid w:val="00C937FB"/>
    <w:rsid w:val="00CA5333"/>
    <w:rsid w:val="00CB5C46"/>
    <w:rsid w:val="00CC1414"/>
    <w:rsid w:val="00CC42B4"/>
    <w:rsid w:val="00CC46B5"/>
    <w:rsid w:val="00CD0E0B"/>
    <w:rsid w:val="00CD2A50"/>
    <w:rsid w:val="00CE10AD"/>
    <w:rsid w:val="00D42C69"/>
    <w:rsid w:val="00D4408B"/>
    <w:rsid w:val="00D52DEE"/>
    <w:rsid w:val="00D67C57"/>
    <w:rsid w:val="00D73C63"/>
    <w:rsid w:val="00D81FF9"/>
    <w:rsid w:val="00D84FD3"/>
    <w:rsid w:val="00D95D88"/>
    <w:rsid w:val="00DB1A50"/>
    <w:rsid w:val="00DB678B"/>
    <w:rsid w:val="00DC14B2"/>
    <w:rsid w:val="00DC36AD"/>
    <w:rsid w:val="00E148C9"/>
    <w:rsid w:val="00E15D83"/>
    <w:rsid w:val="00E44E08"/>
    <w:rsid w:val="00E4642C"/>
    <w:rsid w:val="00E71B9D"/>
    <w:rsid w:val="00E933D7"/>
    <w:rsid w:val="00E94962"/>
    <w:rsid w:val="00EA20F8"/>
    <w:rsid w:val="00EA7FA2"/>
    <w:rsid w:val="00EC16F9"/>
    <w:rsid w:val="00EC3859"/>
    <w:rsid w:val="00EC4567"/>
    <w:rsid w:val="00EC62CA"/>
    <w:rsid w:val="00EC78B0"/>
    <w:rsid w:val="00ED4E2D"/>
    <w:rsid w:val="00F05E6F"/>
    <w:rsid w:val="00F14642"/>
    <w:rsid w:val="00F1633E"/>
    <w:rsid w:val="00F179FD"/>
    <w:rsid w:val="00F2419D"/>
    <w:rsid w:val="00F376FE"/>
    <w:rsid w:val="00F41886"/>
    <w:rsid w:val="00F555F2"/>
    <w:rsid w:val="00F66EEC"/>
    <w:rsid w:val="00F8080F"/>
    <w:rsid w:val="00F83FE8"/>
    <w:rsid w:val="00F8732F"/>
    <w:rsid w:val="00FA3A82"/>
    <w:rsid w:val="00FC1A49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3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324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2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24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2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2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3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40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B50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500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500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D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C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CB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D79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255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4">
    <w:name w:val="CM24"/>
    <w:basedOn w:val="Normal"/>
    <w:next w:val="Normal"/>
    <w:uiPriority w:val="99"/>
    <w:rsid w:val="003255F6"/>
    <w:pPr>
      <w:widowControl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3170</Words>
  <Characters>18071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DENETİM STANDARTLARI</dc:title>
  <dc:subject/>
  <dc:creator>Ali Utku DOĞANOĞLU</dc:creator>
  <cp:keywords/>
  <dc:description/>
  <cp:lastModifiedBy>AHMET</cp:lastModifiedBy>
  <cp:revision>2</cp:revision>
  <cp:lastPrinted>2013-12-16T08:44:00Z</cp:lastPrinted>
  <dcterms:created xsi:type="dcterms:W3CDTF">2014-01-09T17:53:00Z</dcterms:created>
  <dcterms:modified xsi:type="dcterms:W3CDTF">2014-01-09T17:53:00Z</dcterms:modified>
</cp:coreProperties>
</file>