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EF" w:rsidRPr="003E6FFF" w:rsidRDefault="007403EF" w:rsidP="006346EF">
      <w:pPr>
        <w:autoSpaceDE w:val="0"/>
        <w:autoSpaceDN w:val="0"/>
        <w:adjustRightInd w:val="0"/>
        <w:spacing w:before="120" w:after="360"/>
        <w:jc w:val="both"/>
        <w:rPr>
          <w:rFonts w:ascii="Times New Roman" w:hAnsi="Times New Roman"/>
          <w:b/>
          <w:bCs/>
          <w:sz w:val="19"/>
          <w:szCs w:val="19"/>
        </w:rPr>
      </w:pPr>
      <w:r w:rsidRPr="003E6FFF">
        <w:rPr>
          <w:rFonts w:ascii="Times New Roman" w:hAnsi="Times New Roman"/>
          <w:b/>
          <w:bCs/>
          <w:sz w:val="19"/>
          <w:szCs w:val="19"/>
        </w:rPr>
        <w:t>Ek 1</w:t>
      </w:r>
    </w:p>
    <w:p w:rsidR="007403EF" w:rsidRPr="003E6FFF" w:rsidRDefault="007403EF" w:rsidP="006346EF">
      <w:pPr>
        <w:spacing w:before="120" w:after="120"/>
        <w:jc w:val="both"/>
        <w:rPr>
          <w:rFonts w:ascii="Times New Roman" w:hAnsi="Times New Roman"/>
          <w:b/>
          <w:bCs/>
          <w:sz w:val="19"/>
          <w:szCs w:val="19"/>
        </w:rPr>
      </w:pPr>
      <w:r w:rsidRPr="003E6FFF">
        <w:rPr>
          <w:rFonts w:ascii="Times New Roman" w:hAnsi="Times New Roman"/>
          <w:b/>
          <w:bCs/>
          <w:sz w:val="19"/>
          <w:szCs w:val="19"/>
        </w:rPr>
        <w:t>TFRS Yorum 21</w:t>
      </w:r>
    </w:p>
    <w:p w:rsidR="007403EF" w:rsidRPr="003E6FFF" w:rsidRDefault="007403EF" w:rsidP="006346EF">
      <w:pPr>
        <w:spacing w:before="120" w:after="120"/>
        <w:jc w:val="both"/>
        <w:rPr>
          <w:rFonts w:ascii="Times New Roman" w:hAnsi="Times New Roman"/>
          <w:b/>
          <w:bCs/>
          <w:i/>
          <w:iCs/>
          <w:sz w:val="19"/>
          <w:szCs w:val="19"/>
        </w:rPr>
      </w:pPr>
      <w:r>
        <w:rPr>
          <w:rFonts w:ascii="Times New Roman" w:hAnsi="Times New Roman"/>
          <w:b/>
          <w:bCs/>
          <w:i/>
          <w:iCs/>
          <w:sz w:val="19"/>
          <w:szCs w:val="19"/>
        </w:rPr>
        <w:t>Vergi ve Vergi Benzer</w:t>
      </w:r>
      <w:r w:rsidRPr="003E6FFF">
        <w:rPr>
          <w:rFonts w:ascii="Times New Roman" w:hAnsi="Times New Roman"/>
          <w:b/>
          <w:bCs/>
          <w:i/>
          <w:iCs/>
          <w:sz w:val="19"/>
          <w:szCs w:val="19"/>
        </w:rPr>
        <w:t>i</w:t>
      </w:r>
      <w:r>
        <w:rPr>
          <w:rFonts w:ascii="Times New Roman" w:hAnsi="Times New Roman"/>
          <w:b/>
          <w:bCs/>
          <w:i/>
          <w:iCs/>
          <w:sz w:val="19"/>
          <w:szCs w:val="19"/>
        </w:rPr>
        <w:t xml:space="preserve"> Yükümlülükler</w:t>
      </w:r>
    </w:p>
    <w:p w:rsidR="007403EF" w:rsidRPr="003E6FFF" w:rsidRDefault="007403EF" w:rsidP="006346EF">
      <w:pPr>
        <w:pStyle w:val="cizgiliiiiiiiiiii"/>
        <w:spacing w:before="240" w:after="120" w:line="240" w:lineRule="auto"/>
        <w:jc w:val="both"/>
        <w:rPr>
          <w:rFonts w:ascii="Times New Roman" w:hAnsi="Times New Roman" w:cs="Times New Roman"/>
          <w:color w:val="auto"/>
          <w:sz w:val="19"/>
          <w:szCs w:val="19"/>
        </w:rPr>
      </w:pPr>
      <w:r w:rsidRPr="003E6FFF">
        <w:rPr>
          <w:rFonts w:ascii="Times New Roman" w:hAnsi="Times New Roman" w:cs="Times New Roman"/>
          <w:color w:val="auto"/>
          <w:sz w:val="19"/>
          <w:szCs w:val="19"/>
        </w:rPr>
        <w:t>İlgili düzenlemeler</w:t>
      </w:r>
    </w:p>
    <w:p w:rsidR="007403EF" w:rsidRPr="003E6FFF" w:rsidRDefault="007403EF" w:rsidP="006346EF">
      <w:pPr>
        <w:autoSpaceDE w:val="0"/>
        <w:autoSpaceDN w:val="0"/>
        <w:adjustRightInd w:val="0"/>
        <w:spacing w:before="120" w:after="120"/>
        <w:ind w:left="426" w:hanging="426"/>
        <w:jc w:val="both"/>
        <w:rPr>
          <w:rFonts w:ascii="Times New Roman" w:hAnsi="Times New Roman"/>
          <w:i/>
          <w:iCs/>
          <w:sz w:val="19"/>
          <w:szCs w:val="19"/>
        </w:rPr>
      </w:pPr>
      <w:r w:rsidRPr="003E6FFF">
        <w:rPr>
          <w:rFonts w:ascii="Times New Roman" w:hAnsi="Times New Roman"/>
          <w:sz w:val="19"/>
          <w:szCs w:val="19"/>
        </w:rPr>
        <w:t xml:space="preserve">• </w:t>
      </w:r>
      <w:r w:rsidRPr="003E6FFF">
        <w:rPr>
          <w:rFonts w:ascii="Times New Roman" w:hAnsi="Times New Roman"/>
          <w:sz w:val="19"/>
          <w:szCs w:val="19"/>
        </w:rPr>
        <w:tab/>
        <w:t xml:space="preserve">TMS 1 </w:t>
      </w:r>
      <w:r w:rsidRPr="003E6FFF">
        <w:rPr>
          <w:rFonts w:ascii="Times New Roman" w:hAnsi="Times New Roman"/>
          <w:i/>
          <w:iCs/>
          <w:sz w:val="19"/>
          <w:szCs w:val="19"/>
        </w:rPr>
        <w:t>Finansal Tabloların Sunuluşu</w:t>
      </w:r>
    </w:p>
    <w:p w:rsidR="007403EF" w:rsidRPr="003E6FFF" w:rsidRDefault="007403EF" w:rsidP="002E40AE">
      <w:pPr>
        <w:autoSpaceDE w:val="0"/>
        <w:autoSpaceDN w:val="0"/>
        <w:adjustRightInd w:val="0"/>
        <w:spacing w:before="120" w:after="120"/>
        <w:ind w:left="426" w:hanging="426"/>
        <w:jc w:val="both"/>
        <w:rPr>
          <w:rFonts w:ascii="Times New Roman" w:hAnsi="Times New Roman"/>
          <w:sz w:val="19"/>
          <w:szCs w:val="19"/>
        </w:rPr>
      </w:pPr>
      <w:r w:rsidRPr="003E6FFF">
        <w:rPr>
          <w:rFonts w:ascii="Times New Roman" w:hAnsi="Times New Roman"/>
          <w:sz w:val="19"/>
          <w:szCs w:val="19"/>
        </w:rPr>
        <w:t xml:space="preserve">• </w:t>
      </w:r>
      <w:r w:rsidRPr="003E6FFF">
        <w:rPr>
          <w:rFonts w:ascii="Times New Roman" w:hAnsi="Times New Roman"/>
          <w:sz w:val="19"/>
          <w:szCs w:val="19"/>
        </w:rPr>
        <w:tab/>
        <w:t xml:space="preserve">TMS 8 </w:t>
      </w:r>
      <w:r w:rsidRPr="003E6FFF">
        <w:rPr>
          <w:rFonts w:ascii="Times New Roman" w:hAnsi="Times New Roman"/>
          <w:i/>
          <w:sz w:val="19"/>
          <w:szCs w:val="19"/>
        </w:rPr>
        <w:t>Muhasebe Politikaları, Muhasebe Tahminlerinde Değişiklikler ve Hatalar</w:t>
      </w:r>
    </w:p>
    <w:p w:rsidR="007403EF" w:rsidRPr="003E6FFF" w:rsidRDefault="007403EF" w:rsidP="006346EF">
      <w:pPr>
        <w:autoSpaceDE w:val="0"/>
        <w:autoSpaceDN w:val="0"/>
        <w:adjustRightInd w:val="0"/>
        <w:spacing w:before="120" w:after="120"/>
        <w:ind w:left="426" w:hanging="426"/>
        <w:jc w:val="both"/>
        <w:rPr>
          <w:rFonts w:ascii="Times New Roman" w:hAnsi="Times New Roman"/>
          <w:i/>
          <w:iCs/>
          <w:sz w:val="19"/>
          <w:szCs w:val="19"/>
        </w:rPr>
      </w:pPr>
      <w:r w:rsidRPr="003E6FFF">
        <w:rPr>
          <w:rFonts w:ascii="Times New Roman" w:hAnsi="Times New Roman"/>
          <w:sz w:val="19"/>
          <w:szCs w:val="19"/>
        </w:rPr>
        <w:t xml:space="preserve">• </w:t>
      </w:r>
      <w:r w:rsidRPr="003E6FFF">
        <w:rPr>
          <w:rFonts w:ascii="Times New Roman" w:hAnsi="Times New Roman"/>
          <w:sz w:val="19"/>
          <w:szCs w:val="19"/>
        </w:rPr>
        <w:tab/>
        <w:t xml:space="preserve">TMS 12 </w:t>
      </w:r>
      <w:r w:rsidRPr="003E6FFF">
        <w:rPr>
          <w:rFonts w:ascii="Times New Roman" w:hAnsi="Times New Roman"/>
          <w:i/>
          <w:sz w:val="19"/>
          <w:szCs w:val="19"/>
        </w:rPr>
        <w:t>Gelir Vergileri</w:t>
      </w:r>
    </w:p>
    <w:p w:rsidR="007403EF" w:rsidRPr="003E6FFF" w:rsidRDefault="007403EF" w:rsidP="002E40AE">
      <w:pPr>
        <w:widowControl w:val="0"/>
        <w:autoSpaceDE w:val="0"/>
        <w:autoSpaceDN w:val="0"/>
        <w:adjustRightInd w:val="0"/>
        <w:spacing w:before="4" w:line="190" w:lineRule="exact"/>
        <w:jc w:val="left"/>
        <w:rPr>
          <w:rFonts w:ascii="Times New Roman" w:hAnsi="Times New Roman"/>
          <w:sz w:val="19"/>
          <w:szCs w:val="19"/>
        </w:rPr>
      </w:pPr>
      <w:r w:rsidRPr="003E6FFF">
        <w:rPr>
          <w:rFonts w:ascii="Times New Roman" w:hAnsi="Times New Roman"/>
          <w:sz w:val="19"/>
          <w:szCs w:val="19"/>
        </w:rPr>
        <w:t xml:space="preserve">•        TMS 20 </w:t>
      </w:r>
      <w:r w:rsidRPr="003E6FFF">
        <w:rPr>
          <w:rFonts w:ascii="Times New Roman" w:hAnsi="Times New Roman"/>
          <w:i/>
          <w:sz w:val="19"/>
          <w:szCs w:val="19"/>
        </w:rPr>
        <w:t>Devlet Teşviklerinin Muhasebeleştirilmesi ve Devlet Yardımlarının Açıklanması</w:t>
      </w:r>
    </w:p>
    <w:p w:rsidR="007403EF" w:rsidRPr="003E6FFF" w:rsidRDefault="007403EF" w:rsidP="002E40AE">
      <w:pPr>
        <w:autoSpaceDE w:val="0"/>
        <w:autoSpaceDN w:val="0"/>
        <w:adjustRightInd w:val="0"/>
        <w:spacing w:before="120" w:after="120"/>
        <w:ind w:left="426" w:hanging="426"/>
        <w:jc w:val="both"/>
        <w:rPr>
          <w:rFonts w:ascii="Times New Roman" w:hAnsi="Times New Roman"/>
          <w:sz w:val="19"/>
          <w:szCs w:val="19"/>
        </w:rPr>
      </w:pPr>
      <w:r w:rsidRPr="003E6FFF">
        <w:rPr>
          <w:rFonts w:ascii="Times New Roman" w:hAnsi="Times New Roman"/>
          <w:sz w:val="19"/>
          <w:szCs w:val="19"/>
        </w:rPr>
        <w:t>•</w:t>
      </w:r>
      <w:r w:rsidRPr="003E6FFF">
        <w:rPr>
          <w:rFonts w:ascii="Times New Roman" w:hAnsi="Times New Roman"/>
          <w:sz w:val="19"/>
          <w:szCs w:val="19"/>
        </w:rPr>
        <w:tab/>
        <w:t xml:space="preserve">TMS 24 </w:t>
      </w:r>
      <w:r w:rsidRPr="003E6FFF">
        <w:rPr>
          <w:rFonts w:ascii="Times New Roman" w:hAnsi="Times New Roman"/>
          <w:i/>
          <w:sz w:val="19"/>
          <w:szCs w:val="19"/>
        </w:rPr>
        <w:t>İlişkili Taraf Açıklamaları</w:t>
      </w:r>
    </w:p>
    <w:p w:rsidR="007403EF" w:rsidRPr="003E6FFF" w:rsidRDefault="007403EF" w:rsidP="002E40AE">
      <w:pPr>
        <w:autoSpaceDE w:val="0"/>
        <w:autoSpaceDN w:val="0"/>
        <w:adjustRightInd w:val="0"/>
        <w:spacing w:before="120" w:after="120"/>
        <w:ind w:left="426" w:hanging="426"/>
        <w:jc w:val="both"/>
        <w:rPr>
          <w:rFonts w:ascii="Times New Roman" w:hAnsi="Times New Roman"/>
          <w:sz w:val="19"/>
          <w:szCs w:val="19"/>
        </w:rPr>
      </w:pPr>
      <w:r w:rsidRPr="003E6FFF">
        <w:rPr>
          <w:rFonts w:ascii="Times New Roman" w:hAnsi="Times New Roman"/>
          <w:sz w:val="19"/>
          <w:szCs w:val="19"/>
        </w:rPr>
        <w:t>•</w:t>
      </w:r>
      <w:r w:rsidRPr="003E6FFF">
        <w:rPr>
          <w:rFonts w:ascii="Times New Roman" w:hAnsi="Times New Roman"/>
          <w:sz w:val="19"/>
          <w:szCs w:val="19"/>
        </w:rPr>
        <w:tab/>
        <w:t xml:space="preserve">TMS 34 </w:t>
      </w:r>
      <w:r w:rsidRPr="003E6FFF">
        <w:rPr>
          <w:rFonts w:ascii="Times New Roman" w:hAnsi="Times New Roman"/>
          <w:i/>
          <w:sz w:val="19"/>
          <w:szCs w:val="19"/>
        </w:rPr>
        <w:t>Ara Dönem Finansal Raporlama</w:t>
      </w:r>
    </w:p>
    <w:p w:rsidR="007403EF" w:rsidRPr="003E6FFF" w:rsidRDefault="007403EF" w:rsidP="002E40AE">
      <w:pPr>
        <w:autoSpaceDE w:val="0"/>
        <w:autoSpaceDN w:val="0"/>
        <w:adjustRightInd w:val="0"/>
        <w:spacing w:before="120" w:after="120"/>
        <w:ind w:left="426" w:hanging="426"/>
        <w:jc w:val="both"/>
        <w:rPr>
          <w:rFonts w:ascii="Times New Roman" w:hAnsi="Times New Roman"/>
          <w:i/>
          <w:sz w:val="19"/>
          <w:szCs w:val="19"/>
        </w:rPr>
      </w:pPr>
      <w:r w:rsidRPr="003E6FFF">
        <w:rPr>
          <w:rFonts w:ascii="Times New Roman" w:hAnsi="Times New Roman"/>
          <w:sz w:val="19"/>
          <w:szCs w:val="19"/>
        </w:rPr>
        <w:t>•</w:t>
      </w:r>
      <w:r w:rsidRPr="003E6FFF">
        <w:rPr>
          <w:rFonts w:ascii="Times New Roman" w:hAnsi="Times New Roman"/>
          <w:sz w:val="19"/>
          <w:szCs w:val="19"/>
        </w:rPr>
        <w:tab/>
        <w:t xml:space="preserve">TMS 37 </w:t>
      </w:r>
      <w:r w:rsidRPr="003E6FFF">
        <w:rPr>
          <w:rFonts w:ascii="Times New Roman" w:hAnsi="Times New Roman"/>
          <w:i/>
          <w:sz w:val="19"/>
          <w:szCs w:val="19"/>
        </w:rPr>
        <w:t>Karşılıklar, Koşullu Borçlar ve Koşullu Varlıklar</w:t>
      </w:r>
    </w:p>
    <w:p w:rsidR="007403EF" w:rsidRPr="003E6FFF" w:rsidRDefault="007403EF" w:rsidP="002E40AE">
      <w:pPr>
        <w:autoSpaceDE w:val="0"/>
        <w:autoSpaceDN w:val="0"/>
        <w:adjustRightInd w:val="0"/>
        <w:spacing w:before="120" w:after="120"/>
        <w:ind w:left="426" w:hanging="426"/>
        <w:jc w:val="both"/>
        <w:rPr>
          <w:rFonts w:ascii="Times New Roman" w:hAnsi="Times New Roman"/>
          <w:i/>
          <w:sz w:val="19"/>
          <w:szCs w:val="19"/>
        </w:rPr>
      </w:pPr>
      <w:r w:rsidRPr="003E6FFF">
        <w:rPr>
          <w:rFonts w:ascii="Times New Roman" w:hAnsi="Times New Roman"/>
          <w:sz w:val="19"/>
          <w:szCs w:val="19"/>
        </w:rPr>
        <w:t>•</w:t>
      </w:r>
      <w:r w:rsidRPr="003E6FFF">
        <w:rPr>
          <w:rFonts w:ascii="Times New Roman" w:hAnsi="Times New Roman"/>
          <w:sz w:val="19"/>
          <w:szCs w:val="19"/>
        </w:rPr>
        <w:tab/>
        <w:t xml:space="preserve">TFRS Yorum 6 </w:t>
      </w:r>
      <w:r w:rsidRPr="003E6FFF">
        <w:rPr>
          <w:rFonts w:ascii="Times New Roman" w:hAnsi="Times New Roman"/>
          <w:i/>
          <w:sz w:val="19"/>
          <w:szCs w:val="19"/>
        </w:rPr>
        <w:t>Özel Bir Piyasaya Katılımdan Doğan Yükümlülükler - Atık Elektrikli ve                                                            Elektronik Aletler</w:t>
      </w:r>
    </w:p>
    <w:p w:rsidR="007403EF" w:rsidRPr="003E6FFF" w:rsidRDefault="007403EF" w:rsidP="006346EF">
      <w:pPr>
        <w:pStyle w:val="cizgiliiiiiiiiiii"/>
        <w:spacing w:before="240" w:after="120" w:line="240" w:lineRule="auto"/>
        <w:jc w:val="both"/>
        <w:rPr>
          <w:rFonts w:ascii="Times New Roman" w:hAnsi="Times New Roman" w:cs="Times New Roman"/>
          <w:color w:val="auto"/>
          <w:sz w:val="19"/>
          <w:szCs w:val="19"/>
        </w:rPr>
      </w:pPr>
      <w:r>
        <w:rPr>
          <w:rFonts w:ascii="Times New Roman" w:hAnsi="Times New Roman" w:cs="Times New Roman"/>
          <w:color w:val="auto"/>
          <w:sz w:val="19"/>
          <w:szCs w:val="19"/>
        </w:rPr>
        <w:t>Ön b</w:t>
      </w:r>
      <w:r w:rsidRPr="003E6FFF">
        <w:rPr>
          <w:rFonts w:ascii="Times New Roman" w:hAnsi="Times New Roman" w:cs="Times New Roman"/>
          <w:color w:val="auto"/>
          <w:sz w:val="19"/>
          <w:szCs w:val="19"/>
        </w:rPr>
        <w:t>ilgi</w:t>
      </w:r>
    </w:p>
    <w:p w:rsidR="007403EF" w:rsidRPr="003E6FFF" w:rsidRDefault="007403EF" w:rsidP="004B3A3C">
      <w:pPr>
        <w:autoSpaceDE w:val="0"/>
        <w:autoSpaceDN w:val="0"/>
        <w:adjustRightInd w:val="0"/>
        <w:spacing w:before="120" w:after="120"/>
        <w:ind w:left="709" w:hanging="709"/>
        <w:jc w:val="both"/>
        <w:rPr>
          <w:rFonts w:ascii="Times New Roman" w:hAnsi="Times New Roman"/>
          <w:sz w:val="19"/>
          <w:szCs w:val="19"/>
        </w:rPr>
      </w:pPr>
      <w:r w:rsidRPr="003E6FFF">
        <w:rPr>
          <w:rFonts w:ascii="Times New Roman" w:hAnsi="Times New Roman"/>
          <w:sz w:val="19"/>
          <w:szCs w:val="19"/>
        </w:rPr>
        <w:t>1</w:t>
      </w:r>
      <w:r w:rsidRPr="003E6FFF">
        <w:rPr>
          <w:rFonts w:ascii="Times New Roman" w:hAnsi="Times New Roman"/>
          <w:sz w:val="19"/>
          <w:szCs w:val="19"/>
        </w:rPr>
        <w:tab/>
        <w:t xml:space="preserve">Kamu idareleri işletmelere vergiye benzer </w:t>
      </w:r>
      <w:r>
        <w:rPr>
          <w:rFonts w:ascii="Times New Roman" w:hAnsi="Times New Roman"/>
          <w:sz w:val="19"/>
          <w:szCs w:val="19"/>
        </w:rPr>
        <w:t xml:space="preserve">şekillerde </w:t>
      </w:r>
      <w:r w:rsidRPr="003E6FFF">
        <w:rPr>
          <w:rFonts w:ascii="Times New Roman" w:hAnsi="Times New Roman"/>
          <w:sz w:val="19"/>
          <w:szCs w:val="19"/>
        </w:rPr>
        <w:t>yükümlülükler getirebilir. Uluslararası Finansal Raporlama Standartları Yorum Komitesi</w:t>
      </w:r>
      <w:r>
        <w:rPr>
          <w:rStyle w:val="FootnoteReference"/>
          <w:rFonts w:ascii="Times New Roman" w:hAnsi="Times New Roman"/>
          <w:sz w:val="19"/>
          <w:szCs w:val="19"/>
        </w:rPr>
        <w:footnoteReference w:id="1"/>
      </w:r>
      <w:r w:rsidRPr="003E6FFF">
        <w:rPr>
          <w:rFonts w:ascii="Times New Roman" w:hAnsi="Times New Roman"/>
          <w:sz w:val="19"/>
          <w:szCs w:val="19"/>
        </w:rPr>
        <w:t xml:space="preserve"> bu türden</w:t>
      </w:r>
      <w:r>
        <w:rPr>
          <w:rFonts w:ascii="Times New Roman" w:hAnsi="Times New Roman"/>
          <w:sz w:val="19"/>
          <w:szCs w:val="19"/>
        </w:rPr>
        <w:t xml:space="preserve"> vergi ve vergi benzeri yükümlülükleri</w:t>
      </w:r>
      <w:r w:rsidRPr="003E6FFF">
        <w:rPr>
          <w:rFonts w:ascii="Times New Roman" w:hAnsi="Times New Roman"/>
          <w:sz w:val="19"/>
          <w:szCs w:val="19"/>
        </w:rPr>
        <w:t xml:space="preserve"> ödeyen işletmelerin finansal tablolarında söz konusu </w:t>
      </w:r>
      <w:r>
        <w:rPr>
          <w:rFonts w:ascii="Times New Roman" w:hAnsi="Times New Roman"/>
          <w:sz w:val="19"/>
          <w:szCs w:val="19"/>
        </w:rPr>
        <w:t xml:space="preserve">vergi ve </w:t>
      </w:r>
      <w:r w:rsidRPr="003E6FFF">
        <w:rPr>
          <w:rFonts w:ascii="Times New Roman" w:hAnsi="Times New Roman"/>
          <w:sz w:val="19"/>
          <w:szCs w:val="19"/>
        </w:rPr>
        <w:t>vergi benzer</w:t>
      </w:r>
      <w:r>
        <w:rPr>
          <w:rFonts w:ascii="Times New Roman" w:hAnsi="Times New Roman"/>
          <w:sz w:val="19"/>
          <w:szCs w:val="19"/>
        </w:rPr>
        <w:t>i yükümlülüklerin</w:t>
      </w:r>
      <w:r w:rsidRPr="003E6FFF">
        <w:rPr>
          <w:rFonts w:ascii="Times New Roman" w:hAnsi="Times New Roman"/>
          <w:sz w:val="19"/>
          <w:szCs w:val="19"/>
        </w:rPr>
        <w:t xml:space="preserve"> muhasebeleştirilmesine ilişkin rehberlik sağlaması konusunda talepler almıştır. Bu konudaki sorular, bu türden </w:t>
      </w:r>
      <w:r>
        <w:rPr>
          <w:rFonts w:ascii="Times New Roman" w:hAnsi="Times New Roman"/>
          <w:sz w:val="19"/>
          <w:szCs w:val="19"/>
        </w:rPr>
        <w:t xml:space="preserve">vergi ve </w:t>
      </w:r>
      <w:r w:rsidRPr="003E6FFF">
        <w:rPr>
          <w:rFonts w:ascii="Times New Roman" w:hAnsi="Times New Roman"/>
          <w:sz w:val="19"/>
          <w:szCs w:val="19"/>
        </w:rPr>
        <w:t>vergi benzeri</w:t>
      </w:r>
      <w:r>
        <w:rPr>
          <w:rFonts w:ascii="Times New Roman" w:hAnsi="Times New Roman"/>
          <w:sz w:val="19"/>
          <w:szCs w:val="19"/>
        </w:rPr>
        <w:t xml:space="preserve"> yükümlülüğün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 xml:space="preserve">mesine ilişkin borcun TMS 37 </w:t>
      </w:r>
      <w:r w:rsidRPr="003E6FFF">
        <w:rPr>
          <w:rFonts w:ascii="Times New Roman" w:hAnsi="Times New Roman"/>
          <w:i/>
          <w:sz w:val="19"/>
          <w:szCs w:val="19"/>
        </w:rPr>
        <w:t>Karşılıklar, Koşullu Borçlar ve Koşullu Varlıklar’</w:t>
      </w:r>
      <w:r w:rsidRPr="003E6FFF">
        <w:rPr>
          <w:rFonts w:ascii="Times New Roman" w:hAnsi="Times New Roman"/>
          <w:sz w:val="19"/>
          <w:szCs w:val="19"/>
        </w:rPr>
        <w:t>a uygun olarak ne zaman muhasebeleştirileceği ile ilgilidir.</w:t>
      </w:r>
    </w:p>
    <w:p w:rsidR="007403EF" w:rsidRPr="003E6FFF" w:rsidRDefault="007403EF" w:rsidP="006346EF">
      <w:pPr>
        <w:pBdr>
          <w:bottom w:val="single" w:sz="4" w:space="1" w:color="auto"/>
        </w:pBdr>
        <w:autoSpaceDE w:val="0"/>
        <w:autoSpaceDN w:val="0"/>
        <w:adjustRightInd w:val="0"/>
        <w:spacing w:before="240" w:after="120"/>
        <w:jc w:val="both"/>
        <w:rPr>
          <w:rFonts w:ascii="Times New Roman" w:hAnsi="Times New Roman"/>
          <w:b/>
          <w:bCs/>
          <w:sz w:val="19"/>
          <w:szCs w:val="19"/>
        </w:rPr>
      </w:pPr>
      <w:r w:rsidRPr="003E6FFF">
        <w:rPr>
          <w:rFonts w:ascii="Times New Roman" w:hAnsi="Times New Roman"/>
          <w:b/>
          <w:bCs/>
          <w:sz w:val="19"/>
          <w:szCs w:val="19"/>
        </w:rPr>
        <w:t>Kapsam</w:t>
      </w:r>
    </w:p>
    <w:p w:rsidR="007403EF" w:rsidRPr="003E6FFF" w:rsidRDefault="007403EF" w:rsidP="00B6684D">
      <w:pPr>
        <w:autoSpaceDE w:val="0"/>
        <w:autoSpaceDN w:val="0"/>
        <w:adjustRightInd w:val="0"/>
        <w:spacing w:before="120" w:after="120"/>
        <w:ind w:left="709" w:hanging="709"/>
        <w:jc w:val="both"/>
        <w:rPr>
          <w:rFonts w:ascii="Times New Roman" w:hAnsi="Times New Roman"/>
          <w:sz w:val="19"/>
          <w:szCs w:val="19"/>
        </w:rPr>
      </w:pPr>
      <w:r w:rsidRPr="003E6FFF">
        <w:rPr>
          <w:rFonts w:ascii="Times New Roman" w:hAnsi="Times New Roman"/>
          <w:sz w:val="19"/>
          <w:szCs w:val="19"/>
        </w:rPr>
        <w:t>2</w:t>
      </w:r>
      <w:r w:rsidRPr="003E6FFF">
        <w:rPr>
          <w:rFonts w:ascii="Times New Roman" w:hAnsi="Times New Roman"/>
          <w:spacing w:val="-37"/>
          <w:sz w:val="19"/>
          <w:szCs w:val="19"/>
        </w:rPr>
        <w:t xml:space="preserve"> </w:t>
      </w:r>
      <w:r w:rsidRPr="003E6FFF">
        <w:rPr>
          <w:rFonts w:ascii="Times New Roman" w:hAnsi="Times New Roman"/>
          <w:sz w:val="19"/>
          <w:szCs w:val="19"/>
        </w:rPr>
        <w:tab/>
        <w:t xml:space="preserve">Bu Yorum, </w:t>
      </w:r>
      <w:r>
        <w:rPr>
          <w:rFonts w:ascii="Times New Roman" w:hAnsi="Times New Roman"/>
          <w:sz w:val="19"/>
          <w:szCs w:val="19"/>
        </w:rPr>
        <w:t>vergi ve vergi benzeri yükümlülüklerin</w:t>
      </w:r>
      <w:r w:rsidRPr="003E6FFF">
        <w:rPr>
          <w:rFonts w:ascii="Times New Roman" w:hAnsi="Times New Roman"/>
          <w:sz w:val="19"/>
          <w:szCs w:val="19"/>
        </w:rPr>
        <w:t xml:space="preserve"> ödenmesine ilişkin bir borcun muhasebeleştirilmesini</w:t>
      </w:r>
      <w:r>
        <w:rPr>
          <w:rFonts w:ascii="Times New Roman" w:hAnsi="Times New Roman"/>
          <w:sz w:val="19"/>
          <w:szCs w:val="19"/>
        </w:rPr>
        <w:t>,</w:t>
      </w:r>
      <w:r w:rsidRPr="003E6FFF">
        <w:rPr>
          <w:rFonts w:ascii="Times New Roman" w:hAnsi="Times New Roman"/>
          <w:sz w:val="19"/>
          <w:szCs w:val="19"/>
        </w:rPr>
        <w:t xml:space="preserve"> </w:t>
      </w:r>
      <w:r>
        <w:rPr>
          <w:rFonts w:ascii="Times New Roman" w:hAnsi="Times New Roman"/>
          <w:sz w:val="19"/>
          <w:szCs w:val="19"/>
        </w:rPr>
        <w:t xml:space="preserve">ancak bu borç </w:t>
      </w:r>
      <w:r w:rsidRPr="003E6FFF">
        <w:rPr>
          <w:rFonts w:ascii="Times New Roman" w:hAnsi="Times New Roman"/>
          <w:sz w:val="19"/>
          <w:szCs w:val="19"/>
        </w:rPr>
        <w:t xml:space="preserve">TMS 37 kapsamında </w:t>
      </w:r>
      <w:r>
        <w:rPr>
          <w:rFonts w:ascii="Times New Roman" w:hAnsi="Times New Roman"/>
          <w:sz w:val="19"/>
          <w:szCs w:val="19"/>
        </w:rPr>
        <w:t xml:space="preserve">ise </w:t>
      </w:r>
      <w:r w:rsidRPr="003E6FFF">
        <w:rPr>
          <w:rFonts w:ascii="Times New Roman" w:hAnsi="Times New Roman"/>
          <w:sz w:val="19"/>
          <w:szCs w:val="19"/>
        </w:rPr>
        <w:t xml:space="preserve">ele alır. Ayrıca, bu Yorum </w:t>
      </w:r>
      <w:r>
        <w:rPr>
          <w:rFonts w:ascii="Times New Roman" w:hAnsi="Times New Roman"/>
          <w:sz w:val="19"/>
          <w:szCs w:val="19"/>
        </w:rPr>
        <w:t xml:space="preserve">ödeme </w:t>
      </w:r>
      <w:r w:rsidRPr="003E6FFF">
        <w:rPr>
          <w:rFonts w:ascii="Times New Roman" w:hAnsi="Times New Roman"/>
          <w:sz w:val="19"/>
          <w:szCs w:val="19"/>
        </w:rPr>
        <w:t xml:space="preserve">zamanı ve tutarı belirli olan bir </w:t>
      </w:r>
      <w:r>
        <w:rPr>
          <w:rFonts w:ascii="Times New Roman" w:hAnsi="Times New Roman"/>
          <w:sz w:val="19"/>
          <w:szCs w:val="19"/>
        </w:rPr>
        <w:t>vergi ve vergi benzeri yükümlülüğün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 xml:space="preserve">mesine ilişkin borcun muhasebeleştirilmesini </w:t>
      </w:r>
      <w:r>
        <w:rPr>
          <w:rFonts w:ascii="Times New Roman" w:hAnsi="Times New Roman"/>
          <w:sz w:val="19"/>
          <w:szCs w:val="19"/>
        </w:rPr>
        <w:t xml:space="preserve">de </w:t>
      </w:r>
      <w:r w:rsidRPr="003E6FFF">
        <w:rPr>
          <w:rFonts w:ascii="Times New Roman" w:hAnsi="Times New Roman"/>
          <w:sz w:val="19"/>
          <w:szCs w:val="19"/>
        </w:rPr>
        <w:t>ele alır.</w:t>
      </w:r>
    </w:p>
    <w:p w:rsidR="007403EF" w:rsidRPr="003E6FFF" w:rsidRDefault="007403EF" w:rsidP="004B3A3C">
      <w:pPr>
        <w:autoSpaceDE w:val="0"/>
        <w:autoSpaceDN w:val="0"/>
        <w:adjustRightInd w:val="0"/>
        <w:spacing w:before="120" w:after="120"/>
        <w:ind w:left="709" w:hanging="709"/>
        <w:jc w:val="both"/>
        <w:rPr>
          <w:rFonts w:ascii="Times New Roman" w:hAnsi="Times New Roman"/>
          <w:sz w:val="19"/>
          <w:szCs w:val="19"/>
        </w:rPr>
      </w:pPr>
      <w:r w:rsidRPr="003E6FFF">
        <w:rPr>
          <w:rFonts w:ascii="Times New Roman" w:hAnsi="Times New Roman"/>
          <w:sz w:val="19"/>
          <w:szCs w:val="19"/>
        </w:rPr>
        <w:t>3</w:t>
      </w:r>
      <w:r w:rsidRPr="003E6FFF">
        <w:rPr>
          <w:rFonts w:ascii="Times New Roman" w:hAnsi="Times New Roman"/>
          <w:sz w:val="19"/>
          <w:szCs w:val="19"/>
        </w:rPr>
        <w:tab/>
        <w:t xml:space="preserve">Bu Yorum </w:t>
      </w:r>
      <w:r>
        <w:rPr>
          <w:rFonts w:ascii="Times New Roman" w:hAnsi="Times New Roman"/>
          <w:sz w:val="19"/>
          <w:szCs w:val="19"/>
        </w:rPr>
        <w:t>vergi ve vergi benzeri yükümlülüklerin</w:t>
      </w:r>
      <w:r w:rsidRPr="003E6FFF">
        <w:rPr>
          <w:rFonts w:ascii="Times New Roman" w:hAnsi="Times New Roman"/>
          <w:sz w:val="19"/>
          <w:szCs w:val="19"/>
        </w:rPr>
        <w:t xml:space="preserve"> ödenmesine ilişkin bir borcun muhasebeleştirilmesinden kaynaklanan maliyetlerin muhasebeleştirilmesini ele almamaktadır. İşletmeler </w:t>
      </w:r>
      <w:r>
        <w:rPr>
          <w:rFonts w:ascii="Times New Roman" w:hAnsi="Times New Roman"/>
          <w:sz w:val="19"/>
          <w:szCs w:val="19"/>
        </w:rPr>
        <w:t>vergi ve vergi benzeri yükümlülüklerin</w:t>
      </w:r>
      <w:r w:rsidRPr="003E6FFF">
        <w:rPr>
          <w:rFonts w:ascii="Times New Roman" w:hAnsi="Times New Roman"/>
          <w:sz w:val="19"/>
          <w:szCs w:val="19"/>
        </w:rPr>
        <w:t xml:space="preserve"> ödenmesine ilişkin borcun muhasebeleştirilmesinin bir varlığın veya giderin ortaya çıkmasına neden olup olmadığına karar vermek için diğer Standartları uygulamalıdır.</w:t>
      </w:r>
    </w:p>
    <w:p w:rsidR="007403EF" w:rsidRPr="003E6FFF" w:rsidRDefault="007403EF" w:rsidP="004B3A3C">
      <w:pPr>
        <w:autoSpaceDE w:val="0"/>
        <w:autoSpaceDN w:val="0"/>
        <w:adjustRightInd w:val="0"/>
        <w:spacing w:before="120" w:after="120"/>
        <w:ind w:left="709" w:hanging="709"/>
        <w:jc w:val="both"/>
        <w:rPr>
          <w:rFonts w:ascii="Times New Roman" w:hAnsi="Times New Roman"/>
          <w:sz w:val="19"/>
          <w:szCs w:val="19"/>
        </w:rPr>
      </w:pPr>
      <w:r w:rsidRPr="003E6FFF">
        <w:rPr>
          <w:rFonts w:ascii="Times New Roman" w:hAnsi="Times New Roman"/>
          <w:sz w:val="19"/>
          <w:szCs w:val="19"/>
        </w:rPr>
        <w:t xml:space="preserve">4 </w:t>
      </w:r>
      <w:r w:rsidRPr="003E6FFF">
        <w:rPr>
          <w:rFonts w:ascii="Times New Roman" w:hAnsi="Times New Roman"/>
          <w:sz w:val="19"/>
          <w:szCs w:val="19"/>
        </w:rPr>
        <w:tab/>
        <w:t xml:space="preserve">Bu Yorumun amaçları bakımından, </w:t>
      </w:r>
      <w:r>
        <w:rPr>
          <w:rFonts w:ascii="Times New Roman" w:hAnsi="Times New Roman"/>
          <w:sz w:val="19"/>
          <w:szCs w:val="19"/>
        </w:rPr>
        <w:t xml:space="preserve">vergi ve </w:t>
      </w:r>
      <w:r w:rsidRPr="003E6FFF">
        <w:rPr>
          <w:rFonts w:ascii="Times New Roman" w:hAnsi="Times New Roman"/>
          <w:sz w:val="19"/>
          <w:szCs w:val="19"/>
        </w:rPr>
        <w:t>vergi benzeri</w:t>
      </w:r>
      <w:r>
        <w:rPr>
          <w:rFonts w:ascii="Times New Roman" w:hAnsi="Times New Roman"/>
          <w:sz w:val="19"/>
          <w:szCs w:val="19"/>
        </w:rPr>
        <w:t xml:space="preserve"> yükümlülüklerin</w:t>
      </w:r>
      <w:r w:rsidRPr="003E6FFF">
        <w:rPr>
          <w:rFonts w:ascii="Times New Roman" w:hAnsi="Times New Roman"/>
          <w:sz w:val="19"/>
          <w:szCs w:val="19"/>
        </w:rPr>
        <w:t xml:space="preserve"> kamu idareleri tarafından mevzuat (diğer bir ifadeyle, yasalar ve/veya </w:t>
      </w:r>
      <w:r>
        <w:rPr>
          <w:rFonts w:ascii="Times New Roman" w:hAnsi="Times New Roman"/>
          <w:sz w:val="19"/>
          <w:szCs w:val="19"/>
        </w:rPr>
        <w:t xml:space="preserve">ikincil </w:t>
      </w:r>
      <w:r w:rsidRPr="003E6FFF">
        <w:rPr>
          <w:rFonts w:ascii="Times New Roman" w:hAnsi="Times New Roman"/>
          <w:sz w:val="19"/>
          <w:szCs w:val="19"/>
        </w:rPr>
        <w:t>düzenlemeler) uyarınca işletmelere yükümlülük getiren aşağıda belirtilenlerin dışında kalan ekonomik faydaları içeren kaynakların çıkışıdır:</w:t>
      </w:r>
    </w:p>
    <w:p w:rsidR="007403EF" w:rsidRPr="003E6FFF" w:rsidRDefault="007403EF" w:rsidP="004B3A3C">
      <w:pPr>
        <w:autoSpaceDE w:val="0"/>
        <w:autoSpaceDN w:val="0"/>
        <w:adjustRightInd w:val="0"/>
        <w:spacing w:before="120" w:after="120"/>
        <w:ind w:left="1416" w:hanging="708"/>
        <w:jc w:val="both"/>
        <w:rPr>
          <w:rFonts w:ascii="Times New Roman" w:hAnsi="Times New Roman"/>
          <w:sz w:val="19"/>
          <w:szCs w:val="19"/>
        </w:rPr>
      </w:pPr>
      <w:r w:rsidRPr="003E6FFF">
        <w:rPr>
          <w:rFonts w:ascii="Times New Roman" w:hAnsi="Times New Roman"/>
          <w:sz w:val="19"/>
          <w:szCs w:val="19"/>
        </w:rPr>
        <w:t>(a)</w:t>
      </w:r>
      <w:r w:rsidRPr="003E6FFF">
        <w:rPr>
          <w:rFonts w:ascii="Times New Roman" w:hAnsi="Times New Roman"/>
          <w:sz w:val="19"/>
          <w:szCs w:val="19"/>
        </w:rPr>
        <w:tab/>
        <w:t xml:space="preserve">Diğer Standartların kapsamında olan kaynaklardan bu tür çıkışlar (TMS 12 </w:t>
      </w:r>
      <w:r w:rsidRPr="003E6FFF">
        <w:rPr>
          <w:rFonts w:ascii="Times New Roman" w:hAnsi="Times New Roman"/>
          <w:i/>
          <w:sz w:val="19"/>
          <w:szCs w:val="19"/>
        </w:rPr>
        <w:t>Gelir Vergileri</w:t>
      </w:r>
      <w:r w:rsidRPr="003E6FFF">
        <w:rPr>
          <w:rFonts w:ascii="Times New Roman" w:hAnsi="Times New Roman"/>
          <w:sz w:val="19"/>
          <w:szCs w:val="19"/>
        </w:rPr>
        <w:t>’nin kapsamında olan gelir vergileri gibi),</w:t>
      </w:r>
    </w:p>
    <w:p w:rsidR="007403EF" w:rsidRPr="003E6FFF" w:rsidRDefault="007403EF" w:rsidP="004B3A3C">
      <w:pPr>
        <w:autoSpaceDE w:val="0"/>
        <w:autoSpaceDN w:val="0"/>
        <w:adjustRightInd w:val="0"/>
        <w:spacing w:before="120" w:after="120"/>
        <w:ind w:left="709" w:hanging="1"/>
        <w:jc w:val="both"/>
        <w:rPr>
          <w:rFonts w:ascii="Times New Roman" w:hAnsi="Times New Roman"/>
          <w:sz w:val="19"/>
          <w:szCs w:val="19"/>
        </w:rPr>
      </w:pPr>
      <w:r w:rsidRPr="003E6FFF">
        <w:rPr>
          <w:rFonts w:ascii="Times New Roman" w:hAnsi="Times New Roman"/>
          <w:sz w:val="19"/>
          <w:szCs w:val="19"/>
        </w:rPr>
        <w:t>(b)</w:t>
      </w:r>
      <w:r w:rsidRPr="003E6FFF">
        <w:rPr>
          <w:rFonts w:ascii="Times New Roman" w:hAnsi="Times New Roman"/>
          <w:sz w:val="19"/>
          <w:szCs w:val="19"/>
        </w:rPr>
        <w:tab/>
        <w:t>Mevzuat ihlalleri nedeniyle verilen para cezaları veya diğer cezalar.</w:t>
      </w:r>
    </w:p>
    <w:p w:rsidR="007403EF" w:rsidRPr="003E6FFF" w:rsidRDefault="007403EF" w:rsidP="004B3A3C">
      <w:pPr>
        <w:autoSpaceDE w:val="0"/>
        <w:autoSpaceDN w:val="0"/>
        <w:adjustRightInd w:val="0"/>
        <w:spacing w:before="120" w:after="120"/>
        <w:ind w:left="709" w:hanging="1"/>
        <w:jc w:val="both"/>
        <w:rPr>
          <w:rFonts w:ascii="Times New Roman" w:hAnsi="Times New Roman"/>
          <w:sz w:val="19"/>
          <w:szCs w:val="19"/>
        </w:rPr>
      </w:pPr>
      <w:r>
        <w:rPr>
          <w:rFonts w:ascii="Times New Roman" w:hAnsi="Times New Roman"/>
          <w:sz w:val="19"/>
          <w:szCs w:val="19"/>
        </w:rPr>
        <w:t xml:space="preserve">Bu Yorum’un uygulanması bakımından </w:t>
      </w:r>
      <w:r w:rsidRPr="003E6FFF">
        <w:rPr>
          <w:rFonts w:ascii="Times New Roman" w:hAnsi="Times New Roman"/>
          <w:sz w:val="19"/>
          <w:szCs w:val="19"/>
        </w:rPr>
        <w:t>‘</w:t>
      </w:r>
      <w:r>
        <w:rPr>
          <w:rFonts w:ascii="Times New Roman" w:hAnsi="Times New Roman"/>
          <w:sz w:val="19"/>
          <w:szCs w:val="19"/>
        </w:rPr>
        <w:t>k</w:t>
      </w:r>
      <w:r w:rsidRPr="003E6FFF">
        <w:rPr>
          <w:rFonts w:ascii="Times New Roman" w:hAnsi="Times New Roman"/>
          <w:sz w:val="19"/>
          <w:szCs w:val="19"/>
        </w:rPr>
        <w:t>amu idareleri’</w:t>
      </w:r>
      <w:r>
        <w:rPr>
          <w:rFonts w:ascii="Times New Roman" w:hAnsi="Times New Roman"/>
          <w:sz w:val="19"/>
          <w:szCs w:val="19"/>
        </w:rPr>
        <w:t>;</w:t>
      </w:r>
      <w:r w:rsidRPr="003E6FFF">
        <w:rPr>
          <w:rFonts w:ascii="Times New Roman" w:hAnsi="Times New Roman"/>
          <w:sz w:val="19"/>
          <w:szCs w:val="19"/>
        </w:rPr>
        <w:t xml:space="preserve"> </w:t>
      </w:r>
      <w:r>
        <w:rPr>
          <w:rFonts w:ascii="Times New Roman" w:hAnsi="Times New Roman"/>
          <w:sz w:val="19"/>
          <w:szCs w:val="19"/>
        </w:rPr>
        <w:t>D</w:t>
      </w:r>
      <w:r w:rsidRPr="003E6FFF">
        <w:rPr>
          <w:rFonts w:ascii="Times New Roman" w:hAnsi="Times New Roman"/>
          <w:sz w:val="19"/>
          <w:szCs w:val="19"/>
        </w:rPr>
        <w:t>evleti, kamu kurumlarını ve yerel, ulusal veya uluslararası benzer</w:t>
      </w:r>
      <w:r>
        <w:rPr>
          <w:rFonts w:ascii="Times New Roman" w:hAnsi="Times New Roman"/>
          <w:sz w:val="19"/>
          <w:szCs w:val="19"/>
        </w:rPr>
        <w:t>i</w:t>
      </w:r>
      <w:r w:rsidRPr="003E6FFF">
        <w:rPr>
          <w:rFonts w:ascii="Times New Roman" w:hAnsi="Times New Roman"/>
          <w:sz w:val="19"/>
          <w:szCs w:val="19"/>
        </w:rPr>
        <w:t xml:space="preserve"> kurumları ifade eder.</w:t>
      </w:r>
    </w:p>
    <w:p w:rsidR="007403EF" w:rsidRPr="003E6FFF" w:rsidRDefault="007403EF" w:rsidP="004B3A3C">
      <w:pPr>
        <w:autoSpaceDE w:val="0"/>
        <w:autoSpaceDN w:val="0"/>
        <w:adjustRightInd w:val="0"/>
        <w:spacing w:before="120" w:after="120"/>
        <w:ind w:left="709" w:hanging="709"/>
        <w:jc w:val="both"/>
        <w:rPr>
          <w:rFonts w:ascii="Times New Roman" w:hAnsi="Times New Roman"/>
          <w:sz w:val="19"/>
          <w:szCs w:val="19"/>
        </w:rPr>
      </w:pPr>
      <w:r w:rsidRPr="003E6FFF">
        <w:rPr>
          <w:rFonts w:ascii="Times New Roman" w:hAnsi="Times New Roman"/>
          <w:sz w:val="19"/>
          <w:szCs w:val="19"/>
        </w:rPr>
        <w:t xml:space="preserve">5 </w:t>
      </w:r>
      <w:r w:rsidRPr="003E6FFF">
        <w:rPr>
          <w:rFonts w:ascii="Times New Roman" w:hAnsi="Times New Roman"/>
          <w:sz w:val="19"/>
          <w:szCs w:val="19"/>
        </w:rPr>
        <w:tab/>
        <w:t xml:space="preserve">İşletme tarafından bir kamu idaresi ile sözleşmeye dayalı anlaşma kapsamında bir varlığın edinimine veya hizmetin sunumuna </w:t>
      </w:r>
      <w:r>
        <w:rPr>
          <w:rFonts w:ascii="Times New Roman" w:hAnsi="Times New Roman"/>
          <w:sz w:val="19"/>
          <w:szCs w:val="19"/>
        </w:rPr>
        <w:t>yönelik yapılan bir ödeme vergi ve vergi</w:t>
      </w:r>
      <w:r w:rsidRPr="003E6FFF">
        <w:rPr>
          <w:rFonts w:ascii="Times New Roman" w:hAnsi="Times New Roman"/>
          <w:sz w:val="19"/>
          <w:szCs w:val="19"/>
        </w:rPr>
        <w:t xml:space="preserve"> benzeri </w:t>
      </w:r>
      <w:r>
        <w:rPr>
          <w:rFonts w:ascii="Times New Roman" w:hAnsi="Times New Roman"/>
          <w:sz w:val="19"/>
          <w:szCs w:val="19"/>
        </w:rPr>
        <w:t xml:space="preserve">yükümlülük </w:t>
      </w:r>
      <w:r w:rsidRPr="003E6FFF">
        <w:rPr>
          <w:rFonts w:ascii="Times New Roman" w:hAnsi="Times New Roman"/>
          <w:sz w:val="19"/>
          <w:szCs w:val="19"/>
        </w:rPr>
        <w:t xml:space="preserve">tanımını karşılamaz. </w:t>
      </w:r>
    </w:p>
    <w:p w:rsidR="007403EF" w:rsidRPr="003E6FFF" w:rsidRDefault="007403EF" w:rsidP="004B3A3C">
      <w:pPr>
        <w:autoSpaceDE w:val="0"/>
        <w:autoSpaceDN w:val="0"/>
        <w:adjustRightInd w:val="0"/>
        <w:spacing w:before="120" w:after="120"/>
        <w:ind w:left="709" w:hanging="709"/>
        <w:jc w:val="both"/>
        <w:rPr>
          <w:rFonts w:ascii="Times New Roman" w:hAnsi="Times New Roman"/>
          <w:sz w:val="19"/>
          <w:szCs w:val="19"/>
        </w:rPr>
      </w:pPr>
      <w:r w:rsidRPr="003E6FFF">
        <w:rPr>
          <w:rFonts w:ascii="Times New Roman" w:hAnsi="Times New Roman"/>
          <w:sz w:val="19"/>
          <w:szCs w:val="19"/>
        </w:rPr>
        <w:t xml:space="preserve">6 </w:t>
      </w:r>
      <w:r w:rsidRPr="003E6FFF">
        <w:rPr>
          <w:rFonts w:ascii="Times New Roman" w:hAnsi="Times New Roman"/>
          <w:sz w:val="19"/>
          <w:szCs w:val="19"/>
        </w:rPr>
        <w:tab/>
      </w:r>
      <w:r>
        <w:rPr>
          <w:rFonts w:ascii="Times New Roman" w:hAnsi="Times New Roman"/>
          <w:sz w:val="19"/>
          <w:szCs w:val="19"/>
        </w:rPr>
        <w:t>Emisyon</w:t>
      </w:r>
      <w:r w:rsidRPr="003E6FFF">
        <w:rPr>
          <w:rFonts w:ascii="Times New Roman" w:hAnsi="Times New Roman"/>
          <w:sz w:val="19"/>
          <w:szCs w:val="19"/>
        </w:rPr>
        <w:t xml:space="preserve"> ticareti planlarından kaynaklanan borçlara bu Yorumun uygulanması zorunlu değildir.</w:t>
      </w:r>
    </w:p>
    <w:p w:rsidR="007403EF" w:rsidRPr="003E6FFF" w:rsidRDefault="007403EF" w:rsidP="009B7477">
      <w:pPr>
        <w:keepNext/>
        <w:keepLines/>
        <w:pBdr>
          <w:bottom w:val="single" w:sz="4" w:space="1" w:color="auto"/>
        </w:pBdr>
        <w:autoSpaceDE w:val="0"/>
        <w:autoSpaceDN w:val="0"/>
        <w:adjustRightInd w:val="0"/>
        <w:spacing w:before="240" w:after="120"/>
        <w:jc w:val="both"/>
        <w:rPr>
          <w:rFonts w:ascii="Times New Roman" w:hAnsi="Times New Roman"/>
          <w:b/>
          <w:bCs/>
          <w:sz w:val="19"/>
          <w:szCs w:val="19"/>
        </w:rPr>
      </w:pPr>
      <w:r w:rsidRPr="003E6FFF">
        <w:rPr>
          <w:rFonts w:ascii="Times New Roman" w:hAnsi="Times New Roman"/>
          <w:b/>
          <w:bCs/>
          <w:sz w:val="19"/>
          <w:szCs w:val="19"/>
        </w:rPr>
        <w:t>Konular</w:t>
      </w:r>
    </w:p>
    <w:p w:rsidR="007403EF" w:rsidRPr="003E6FFF" w:rsidRDefault="007403EF" w:rsidP="009B7477">
      <w:pPr>
        <w:pStyle w:val="ListeParagraf1"/>
        <w:keepNext/>
        <w:keepLines/>
        <w:autoSpaceDE w:val="0"/>
        <w:autoSpaceDN w:val="0"/>
        <w:adjustRightInd w:val="0"/>
        <w:spacing w:before="120" w:after="120"/>
        <w:ind w:left="708" w:hanging="708"/>
        <w:jc w:val="both"/>
        <w:rPr>
          <w:rFonts w:ascii="Times New Roman" w:hAnsi="Times New Roman"/>
          <w:sz w:val="19"/>
          <w:szCs w:val="19"/>
        </w:rPr>
      </w:pPr>
      <w:r w:rsidRPr="003E6FFF">
        <w:rPr>
          <w:rFonts w:ascii="Times New Roman" w:hAnsi="Times New Roman"/>
          <w:sz w:val="19"/>
          <w:szCs w:val="19"/>
        </w:rPr>
        <w:t>7</w:t>
      </w:r>
      <w:r w:rsidRPr="003E6FFF">
        <w:rPr>
          <w:rFonts w:ascii="Times New Roman" w:hAnsi="Times New Roman"/>
          <w:sz w:val="19"/>
          <w:szCs w:val="19"/>
        </w:rPr>
        <w:tab/>
        <w:t xml:space="preserve">Bu Yorum, </w:t>
      </w:r>
      <w:r>
        <w:rPr>
          <w:rFonts w:ascii="Times New Roman" w:hAnsi="Times New Roman"/>
          <w:sz w:val="19"/>
          <w:szCs w:val="19"/>
        </w:rPr>
        <w:t>vergi ve vergi benzeri yükümlülüklerin</w:t>
      </w:r>
      <w:r w:rsidRPr="003E6FFF">
        <w:rPr>
          <w:rFonts w:ascii="Times New Roman" w:hAnsi="Times New Roman"/>
          <w:sz w:val="19"/>
          <w:szCs w:val="19"/>
        </w:rPr>
        <w:t xml:space="preserve"> ödenmesine ilişkin bir borcun muhasebeleştirilmesine açıklık getirmek üzere aşağıdaki konuları ele alır:</w:t>
      </w:r>
    </w:p>
    <w:p w:rsidR="007403EF" w:rsidRPr="003E6FFF" w:rsidRDefault="007403EF" w:rsidP="009B7477">
      <w:pPr>
        <w:keepNext/>
        <w:keepLines/>
        <w:autoSpaceDE w:val="0"/>
        <w:autoSpaceDN w:val="0"/>
        <w:adjustRightInd w:val="0"/>
        <w:spacing w:before="120" w:after="120"/>
        <w:ind w:left="1276" w:hanging="567"/>
        <w:jc w:val="both"/>
        <w:rPr>
          <w:rFonts w:ascii="Times New Roman" w:hAnsi="Times New Roman"/>
          <w:sz w:val="19"/>
          <w:szCs w:val="19"/>
        </w:rPr>
      </w:pPr>
      <w:r w:rsidRPr="003E6FFF">
        <w:rPr>
          <w:rFonts w:ascii="Times New Roman" w:hAnsi="Times New Roman"/>
          <w:sz w:val="19"/>
          <w:szCs w:val="19"/>
        </w:rPr>
        <w:t>(a)</w:t>
      </w:r>
      <w:r w:rsidRPr="003E6FFF">
        <w:rPr>
          <w:rFonts w:ascii="Times New Roman" w:hAnsi="Times New Roman"/>
          <w:sz w:val="19"/>
          <w:szCs w:val="19"/>
        </w:rPr>
        <w:tab/>
      </w:r>
      <w:r>
        <w:rPr>
          <w:rFonts w:ascii="Times New Roman" w:hAnsi="Times New Roman"/>
          <w:sz w:val="19"/>
          <w:szCs w:val="19"/>
        </w:rPr>
        <w:t>Veri ve vergi benzeri yükümlülüklerin</w:t>
      </w:r>
      <w:r w:rsidRPr="003E6FFF">
        <w:rPr>
          <w:rFonts w:ascii="Times New Roman" w:hAnsi="Times New Roman"/>
          <w:sz w:val="19"/>
          <w:szCs w:val="19"/>
        </w:rPr>
        <w:t xml:space="preserve"> ödenmesine ilişkin bir borcun muhasebeleştirilmesine neden olan yükümlülük doğuran olay nedir? </w:t>
      </w:r>
    </w:p>
    <w:p w:rsidR="007403EF" w:rsidRPr="003E6FFF" w:rsidRDefault="007403EF" w:rsidP="009B7477">
      <w:pPr>
        <w:keepNext/>
        <w:keepLines/>
        <w:autoSpaceDE w:val="0"/>
        <w:autoSpaceDN w:val="0"/>
        <w:adjustRightInd w:val="0"/>
        <w:spacing w:before="120" w:after="120"/>
        <w:ind w:left="1276" w:hanging="567"/>
        <w:jc w:val="both"/>
        <w:rPr>
          <w:rFonts w:ascii="Times New Roman" w:hAnsi="Times New Roman"/>
          <w:sz w:val="19"/>
          <w:szCs w:val="19"/>
        </w:rPr>
      </w:pPr>
      <w:r w:rsidRPr="003E6FFF">
        <w:rPr>
          <w:rFonts w:ascii="Times New Roman" w:hAnsi="Times New Roman"/>
          <w:sz w:val="19"/>
          <w:szCs w:val="19"/>
        </w:rPr>
        <w:t>(b)</w:t>
      </w:r>
      <w:r w:rsidRPr="003E6FFF">
        <w:rPr>
          <w:rFonts w:ascii="Times New Roman" w:hAnsi="Times New Roman"/>
          <w:sz w:val="19"/>
          <w:szCs w:val="19"/>
        </w:rPr>
        <w:tab/>
        <w:t>Gelecekteki bir dönemde faaliyet</w:t>
      </w:r>
      <w:r>
        <w:rPr>
          <w:rFonts w:ascii="Times New Roman" w:hAnsi="Times New Roman"/>
          <w:sz w:val="19"/>
          <w:szCs w:val="19"/>
        </w:rPr>
        <w:t xml:space="preserve">in sürdürülmesine </w:t>
      </w:r>
      <w:r w:rsidRPr="003E6FFF">
        <w:rPr>
          <w:rFonts w:ascii="Times New Roman" w:hAnsi="Times New Roman"/>
          <w:sz w:val="19"/>
          <w:szCs w:val="19"/>
        </w:rPr>
        <w:t xml:space="preserve">ilişkin ekonomik zorunluluk, söz konusu gelecek dönemde faaliyette bulunmanın neden olacağı </w:t>
      </w:r>
      <w:r>
        <w:rPr>
          <w:rFonts w:ascii="Times New Roman" w:hAnsi="Times New Roman"/>
          <w:sz w:val="19"/>
          <w:szCs w:val="19"/>
        </w:rPr>
        <w:t>vergi ve vergi benzeri yükümlülüklerin</w:t>
      </w:r>
      <w:r w:rsidRPr="003E6FFF">
        <w:rPr>
          <w:rFonts w:ascii="Times New Roman" w:hAnsi="Times New Roman"/>
          <w:sz w:val="19"/>
          <w:szCs w:val="19"/>
        </w:rPr>
        <w:t xml:space="preserve"> ödenmesine ilişkin zımni kabule dayalı bir yükümlülük ortaya çıkarır mı?</w:t>
      </w:r>
    </w:p>
    <w:p w:rsidR="007403EF" w:rsidRPr="003E6FFF" w:rsidRDefault="007403EF" w:rsidP="009B7477">
      <w:pPr>
        <w:keepNext/>
        <w:keepLines/>
        <w:autoSpaceDE w:val="0"/>
        <w:autoSpaceDN w:val="0"/>
        <w:adjustRightInd w:val="0"/>
        <w:spacing w:before="120" w:after="120"/>
        <w:ind w:left="1276" w:hanging="567"/>
        <w:jc w:val="both"/>
        <w:rPr>
          <w:rFonts w:ascii="Times New Roman" w:hAnsi="Times New Roman"/>
          <w:sz w:val="19"/>
          <w:szCs w:val="19"/>
        </w:rPr>
      </w:pPr>
      <w:r w:rsidRPr="003E6FFF">
        <w:rPr>
          <w:rFonts w:ascii="Times New Roman" w:hAnsi="Times New Roman"/>
          <w:sz w:val="19"/>
          <w:szCs w:val="19"/>
        </w:rPr>
        <w:t>(c)</w:t>
      </w:r>
      <w:r w:rsidRPr="003E6FFF">
        <w:rPr>
          <w:rFonts w:ascii="Times New Roman" w:hAnsi="Times New Roman"/>
          <w:sz w:val="19"/>
          <w:szCs w:val="19"/>
        </w:rPr>
        <w:tab/>
        <w:t xml:space="preserve">İşletmenin sürekliliği varsayımı, işletmenin gelecek bir dönemde faaliyette bulunmasının neden olacağı mevcut bir </w:t>
      </w:r>
      <w:r>
        <w:rPr>
          <w:rFonts w:ascii="Times New Roman" w:hAnsi="Times New Roman"/>
          <w:sz w:val="19"/>
          <w:szCs w:val="19"/>
        </w:rPr>
        <w:t xml:space="preserve">vergi ve </w:t>
      </w:r>
      <w:r w:rsidRPr="003E6FFF">
        <w:rPr>
          <w:rFonts w:ascii="Times New Roman" w:hAnsi="Times New Roman"/>
          <w:sz w:val="19"/>
          <w:szCs w:val="19"/>
        </w:rPr>
        <w:t xml:space="preserve">vergi benzeri ödeme yükümlülüğünün ortaya çıktığını gösterir mi? </w:t>
      </w:r>
    </w:p>
    <w:p w:rsidR="007403EF" w:rsidRPr="003E6FFF" w:rsidRDefault="007403EF" w:rsidP="000A15E1">
      <w:pPr>
        <w:keepNext/>
        <w:keepLines/>
        <w:autoSpaceDE w:val="0"/>
        <w:autoSpaceDN w:val="0"/>
        <w:adjustRightInd w:val="0"/>
        <w:spacing w:before="120" w:after="120"/>
        <w:ind w:left="1276" w:hanging="567"/>
        <w:jc w:val="both"/>
        <w:rPr>
          <w:rFonts w:ascii="Times New Roman" w:hAnsi="Times New Roman"/>
          <w:sz w:val="19"/>
          <w:szCs w:val="19"/>
        </w:rPr>
      </w:pPr>
      <w:r w:rsidRPr="003E6FFF">
        <w:rPr>
          <w:rFonts w:ascii="Times New Roman" w:hAnsi="Times New Roman"/>
          <w:sz w:val="19"/>
          <w:szCs w:val="19"/>
        </w:rPr>
        <w:t>(d)</w:t>
      </w:r>
      <w:r w:rsidRPr="003E6FFF">
        <w:rPr>
          <w:rFonts w:ascii="Times New Roman" w:hAnsi="Times New Roman"/>
          <w:sz w:val="19"/>
          <w:szCs w:val="19"/>
        </w:rPr>
        <w:tab/>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 xml:space="preserve">mesine ilişkin bir borcun muhasebeleştirilmesi belirli bir anda mı yoksa bazı koşullarda aşamalı olarak mı gerçekleştirilir? </w:t>
      </w:r>
    </w:p>
    <w:p w:rsidR="007403EF" w:rsidRPr="003E6FFF" w:rsidRDefault="007403EF" w:rsidP="000A15E1">
      <w:pPr>
        <w:autoSpaceDE w:val="0"/>
        <w:autoSpaceDN w:val="0"/>
        <w:adjustRightInd w:val="0"/>
        <w:spacing w:before="120" w:after="120"/>
        <w:ind w:left="1276" w:hanging="567"/>
        <w:jc w:val="both"/>
        <w:rPr>
          <w:rFonts w:ascii="Times New Roman" w:hAnsi="Times New Roman"/>
          <w:sz w:val="19"/>
          <w:szCs w:val="19"/>
        </w:rPr>
      </w:pPr>
      <w:r w:rsidRPr="003E6FFF">
        <w:rPr>
          <w:rFonts w:ascii="Times New Roman" w:hAnsi="Times New Roman"/>
          <w:sz w:val="19"/>
          <w:szCs w:val="19"/>
        </w:rPr>
        <w:t>(e)</w:t>
      </w:r>
      <w:r w:rsidRPr="003E6FFF">
        <w:rPr>
          <w:rFonts w:ascii="Times New Roman" w:hAnsi="Times New Roman"/>
          <w:sz w:val="19"/>
          <w:szCs w:val="19"/>
        </w:rPr>
        <w:tab/>
        <w:t xml:space="preserve">Asgari bir eşiğe ulaşılması sonucunda ortaya çıkan </w:t>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mesine ilişkin bir borcun muhasebeleştirilmesine neden olan yükümlülük doğuran olay nedir?</w:t>
      </w:r>
    </w:p>
    <w:p w:rsidR="007403EF" w:rsidRPr="003E6FFF" w:rsidRDefault="007403EF" w:rsidP="000A15E1">
      <w:pPr>
        <w:autoSpaceDE w:val="0"/>
        <w:autoSpaceDN w:val="0"/>
        <w:adjustRightInd w:val="0"/>
        <w:spacing w:before="120" w:after="120"/>
        <w:ind w:left="1276" w:hanging="567"/>
        <w:jc w:val="both"/>
        <w:rPr>
          <w:rFonts w:ascii="Times New Roman" w:hAnsi="Times New Roman"/>
          <w:sz w:val="19"/>
          <w:szCs w:val="19"/>
        </w:rPr>
      </w:pPr>
      <w:r w:rsidRPr="003E6FFF">
        <w:rPr>
          <w:rFonts w:ascii="Times New Roman" w:hAnsi="Times New Roman"/>
          <w:sz w:val="19"/>
          <w:szCs w:val="19"/>
        </w:rPr>
        <w:t>(f)</w:t>
      </w:r>
      <w:r w:rsidRPr="003E6FFF">
        <w:rPr>
          <w:rFonts w:ascii="Times New Roman" w:hAnsi="Times New Roman"/>
          <w:sz w:val="19"/>
          <w:szCs w:val="19"/>
        </w:rPr>
        <w:tab/>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mesine ilişkin bir borcun yıllık finansal tablolarda ve ara dönem finansal raporda muhasebeleştirilmesine yönelik ilkeler aynı mıdır?</w:t>
      </w:r>
    </w:p>
    <w:p w:rsidR="007403EF" w:rsidRPr="003E6FFF" w:rsidRDefault="007403EF" w:rsidP="006346EF">
      <w:pPr>
        <w:pStyle w:val="cizgiliiiiiiiiiii"/>
        <w:spacing w:before="240" w:after="120" w:line="240" w:lineRule="auto"/>
        <w:jc w:val="both"/>
        <w:rPr>
          <w:rFonts w:ascii="Times New Roman" w:hAnsi="Times New Roman" w:cs="Times New Roman"/>
          <w:color w:val="auto"/>
          <w:sz w:val="19"/>
          <w:szCs w:val="19"/>
        </w:rPr>
      </w:pPr>
      <w:r w:rsidRPr="003E6FFF">
        <w:rPr>
          <w:rFonts w:ascii="Times New Roman" w:hAnsi="Times New Roman" w:cs="Times New Roman"/>
          <w:color w:val="auto"/>
          <w:sz w:val="19"/>
          <w:szCs w:val="19"/>
        </w:rPr>
        <w:t>Görüş birliği</w:t>
      </w:r>
    </w:p>
    <w:p w:rsidR="007403EF" w:rsidRPr="003E6FFF" w:rsidRDefault="007403EF" w:rsidP="000A15E1">
      <w:pPr>
        <w:autoSpaceDE w:val="0"/>
        <w:autoSpaceDN w:val="0"/>
        <w:adjustRightInd w:val="0"/>
        <w:spacing w:before="120" w:after="120"/>
        <w:ind w:left="703" w:hanging="703"/>
        <w:jc w:val="both"/>
        <w:rPr>
          <w:rFonts w:ascii="Times New Roman" w:hAnsi="Times New Roman"/>
          <w:sz w:val="19"/>
          <w:szCs w:val="19"/>
        </w:rPr>
      </w:pPr>
      <w:r w:rsidRPr="003E6FFF">
        <w:rPr>
          <w:rFonts w:ascii="Times New Roman" w:hAnsi="Times New Roman"/>
          <w:sz w:val="19"/>
          <w:szCs w:val="19"/>
        </w:rPr>
        <w:t xml:space="preserve">8 </w:t>
      </w:r>
      <w:r w:rsidRPr="003E6FFF">
        <w:rPr>
          <w:rFonts w:ascii="Times New Roman" w:hAnsi="Times New Roman"/>
          <w:sz w:val="19"/>
          <w:szCs w:val="19"/>
        </w:rPr>
        <w:tab/>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 xml:space="preserve">mesine ilişkin borca neden olan yükümlülük doğuran bir olay, </w:t>
      </w:r>
      <w:r>
        <w:rPr>
          <w:rFonts w:ascii="Times New Roman" w:hAnsi="Times New Roman"/>
          <w:sz w:val="19"/>
          <w:szCs w:val="19"/>
        </w:rPr>
        <w:t xml:space="preserve">vergi ve vergi benzeri yükümlülüğün </w:t>
      </w:r>
      <w:r w:rsidRPr="003E6FFF">
        <w:rPr>
          <w:rFonts w:ascii="Times New Roman" w:hAnsi="Times New Roman"/>
          <w:sz w:val="19"/>
          <w:szCs w:val="19"/>
        </w:rPr>
        <w:t>öde</w:t>
      </w:r>
      <w:r>
        <w:rPr>
          <w:rFonts w:ascii="Times New Roman" w:hAnsi="Times New Roman"/>
          <w:sz w:val="19"/>
          <w:szCs w:val="19"/>
        </w:rPr>
        <w:t>n</w:t>
      </w:r>
      <w:r w:rsidRPr="003E6FFF">
        <w:rPr>
          <w:rFonts w:ascii="Times New Roman" w:hAnsi="Times New Roman"/>
          <w:sz w:val="19"/>
          <w:szCs w:val="19"/>
        </w:rPr>
        <w:t xml:space="preserve">mesini ortaya çıkaran mevzuatta tanımlanan bir faaliyettir. Örneğin, </w:t>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 xml:space="preserve">mesine yol açan faaliyetin cari dönemde hasılat elde edilmesi olması ve söz konusu </w:t>
      </w:r>
      <w:r>
        <w:rPr>
          <w:rFonts w:ascii="Times New Roman" w:hAnsi="Times New Roman"/>
          <w:sz w:val="19"/>
          <w:szCs w:val="19"/>
        </w:rPr>
        <w:t>vergi ve vergi benzeri yükümlülüklerin</w:t>
      </w:r>
      <w:r w:rsidRPr="003E6FFF">
        <w:rPr>
          <w:rFonts w:ascii="Times New Roman" w:hAnsi="Times New Roman"/>
          <w:sz w:val="19"/>
          <w:szCs w:val="19"/>
        </w:rPr>
        <w:t xml:space="preserve"> önceki dönemde sağlanan hasılata dayalı olarak hesaplanması durumunda, bu vergi</w:t>
      </w:r>
      <w:r>
        <w:rPr>
          <w:rFonts w:ascii="Times New Roman" w:hAnsi="Times New Roman"/>
          <w:sz w:val="19"/>
          <w:szCs w:val="19"/>
        </w:rPr>
        <w:t xml:space="preserve"> ve benzeri</w:t>
      </w:r>
      <w:r w:rsidRPr="003E6FFF">
        <w:rPr>
          <w:rFonts w:ascii="Times New Roman" w:hAnsi="Times New Roman"/>
          <w:sz w:val="19"/>
          <w:szCs w:val="19"/>
        </w:rPr>
        <w:t xml:space="preserve"> için yükümlülük doğuran olay cari dönemde hasılat elde edilmesi olur. Mevcut bir yükümlülükten bahsedebilmek için, önceki dönemde hasılatın sağlanması gerekli olmakla birlikte yeterli değildir.</w:t>
      </w:r>
    </w:p>
    <w:p w:rsidR="007403EF" w:rsidRPr="003E6FFF" w:rsidRDefault="007403EF" w:rsidP="000A15E1">
      <w:pPr>
        <w:autoSpaceDE w:val="0"/>
        <w:autoSpaceDN w:val="0"/>
        <w:adjustRightInd w:val="0"/>
        <w:spacing w:before="120" w:after="120"/>
        <w:ind w:left="703" w:hanging="703"/>
        <w:jc w:val="both"/>
        <w:rPr>
          <w:rFonts w:ascii="Times New Roman" w:hAnsi="Times New Roman"/>
          <w:sz w:val="19"/>
          <w:szCs w:val="19"/>
        </w:rPr>
      </w:pPr>
      <w:r w:rsidRPr="003E6FFF">
        <w:rPr>
          <w:rFonts w:ascii="Times New Roman" w:hAnsi="Times New Roman"/>
          <w:sz w:val="19"/>
          <w:szCs w:val="19"/>
        </w:rPr>
        <w:t xml:space="preserve">9 </w:t>
      </w:r>
      <w:r w:rsidRPr="003E6FFF">
        <w:rPr>
          <w:rFonts w:ascii="Times New Roman" w:hAnsi="Times New Roman"/>
          <w:sz w:val="19"/>
          <w:szCs w:val="19"/>
        </w:rPr>
        <w:tab/>
      </w:r>
      <w:r>
        <w:rPr>
          <w:rFonts w:ascii="Times New Roman" w:hAnsi="Times New Roman"/>
          <w:sz w:val="19"/>
          <w:szCs w:val="19"/>
        </w:rPr>
        <w:t>G</w:t>
      </w:r>
      <w:r w:rsidRPr="003E6FFF">
        <w:rPr>
          <w:rFonts w:ascii="Times New Roman" w:hAnsi="Times New Roman"/>
          <w:sz w:val="19"/>
          <w:szCs w:val="19"/>
        </w:rPr>
        <w:t>elecek</w:t>
      </w:r>
      <w:r>
        <w:rPr>
          <w:rFonts w:ascii="Times New Roman" w:hAnsi="Times New Roman"/>
          <w:sz w:val="19"/>
          <w:szCs w:val="19"/>
        </w:rPr>
        <w:t>te</w:t>
      </w:r>
      <w:r w:rsidRPr="003E6FFF">
        <w:rPr>
          <w:rFonts w:ascii="Times New Roman" w:hAnsi="Times New Roman"/>
          <w:sz w:val="19"/>
          <w:szCs w:val="19"/>
        </w:rPr>
        <w:t xml:space="preserve"> </w:t>
      </w:r>
      <w:r>
        <w:rPr>
          <w:rFonts w:ascii="Times New Roman" w:hAnsi="Times New Roman"/>
          <w:sz w:val="19"/>
          <w:szCs w:val="19"/>
        </w:rPr>
        <w:t>faaliyetini</w:t>
      </w:r>
      <w:r w:rsidRPr="003E6FFF">
        <w:rPr>
          <w:rFonts w:ascii="Times New Roman" w:hAnsi="Times New Roman"/>
          <w:sz w:val="19"/>
          <w:szCs w:val="19"/>
        </w:rPr>
        <w:t xml:space="preserve"> sürdürmesinin ekonomik olarak zorunlu olmasından </w:t>
      </w:r>
      <w:r>
        <w:rPr>
          <w:rFonts w:ascii="Times New Roman" w:hAnsi="Times New Roman"/>
          <w:sz w:val="19"/>
          <w:szCs w:val="19"/>
        </w:rPr>
        <w:t>dolayı</w:t>
      </w:r>
      <w:r w:rsidRPr="003E6FFF">
        <w:rPr>
          <w:rFonts w:ascii="Times New Roman" w:hAnsi="Times New Roman"/>
          <w:sz w:val="19"/>
          <w:szCs w:val="19"/>
        </w:rPr>
        <w:t xml:space="preserve">, işletmenin </w:t>
      </w:r>
      <w:r>
        <w:rPr>
          <w:rFonts w:ascii="Times New Roman" w:hAnsi="Times New Roman"/>
          <w:sz w:val="19"/>
          <w:szCs w:val="19"/>
        </w:rPr>
        <w:t xml:space="preserve">gelecek bir </w:t>
      </w:r>
      <w:r w:rsidRPr="003E6FFF">
        <w:rPr>
          <w:rFonts w:ascii="Times New Roman" w:hAnsi="Times New Roman"/>
          <w:sz w:val="19"/>
          <w:szCs w:val="19"/>
        </w:rPr>
        <w:t xml:space="preserve">dönemde ortaya çıkacak </w:t>
      </w:r>
      <w:r>
        <w:rPr>
          <w:rFonts w:ascii="Times New Roman" w:hAnsi="Times New Roman"/>
          <w:sz w:val="19"/>
          <w:szCs w:val="19"/>
        </w:rPr>
        <w:t>vergi ve vergi benzeri yükümlülüklerin</w:t>
      </w:r>
      <w:r w:rsidRPr="003E6FFF">
        <w:rPr>
          <w:rFonts w:ascii="Times New Roman" w:hAnsi="Times New Roman"/>
          <w:sz w:val="19"/>
          <w:szCs w:val="19"/>
        </w:rPr>
        <w:t xml:space="preserve"> ödenmesine ilişkin zımni kabulden doğan bir yükümlülüğü bulunmaz.</w:t>
      </w:r>
    </w:p>
    <w:p w:rsidR="007403EF" w:rsidRPr="003E6FFF" w:rsidRDefault="007403EF" w:rsidP="000A15E1">
      <w:pPr>
        <w:autoSpaceDE w:val="0"/>
        <w:autoSpaceDN w:val="0"/>
        <w:adjustRightInd w:val="0"/>
        <w:spacing w:before="120" w:after="120"/>
        <w:ind w:left="703" w:hanging="703"/>
        <w:jc w:val="both"/>
        <w:rPr>
          <w:rFonts w:ascii="Times New Roman" w:hAnsi="Times New Roman"/>
          <w:sz w:val="19"/>
          <w:szCs w:val="19"/>
        </w:rPr>
      </w:pPr>
      <w:r w:rsidRPr="001B7A02">
        <w:rPr>
          <w:rFonts w:ascii="Times New Roman" w:hAnsi="Times New Roman"/>
          <w:sz w:val="19"/>
          <w:szCs w:val="19"/>
        </w:rPr>
        <w:t xml:space="preserve">10 </w:t>
      </w:r>
      <w:r w:rsidRPr="001B7A02">
        <w:rPr>
          <w:rFonts w:ascii="Times New Roman" w:hAnsi="Times New Roman"/>
          <w:sz w:val="19"/>
          <w:szCs w:val="19"/>
        </w:rPr>
        <w:tab/>
        <w:t xml:space="preserve">Finansal tabloların işletmenin sürekliliği varsayımına göre hazırlanması, işletmenin gelecek bir dönemde faaliyette bulunmasından dolayı mevcut bir </w:t>
      </w:r>
      <w:r>
        <w:rPr>
          <w:rFonts w:ascii="Times New Roman" w:hAnsi="Times New Roman"/>
          <w:sz w:val="19"/>
          <w:szCs w:val="19"/>
        </w:rPr>
        <w:t xml:space="preserve">vergi ve </w:t>
      </w:r>
      <w:r w:rsidRPr="001B7A02">
        <w:rPr>
          <w:rFonts w:ascii="Times New Roman" w:hAnsi="Times New Roman"/>
          <w:sz w:val="19"/>
          <w:szCs w:val="19"/>
        </w:rPr>
        <w:t>vergi benzeri ödeme yükümlülüğünün bulunduğunu göstermez.</w:t>
      </w:r>
    </w:p>
    <w:p w:rsidR="007403EF" w:rsidRPr="003E6FFF" w:rsidRDefault="007403EF" w:rsidP="0005375C">
      <w:pPr>
        <w:autoSpaceDE w:val="0"/>
        <w:autoSpaceDN w:val="0"/>
        <w:adjustRightInd w:val="0"/>
        <w:spacing w:before="120" w:after="120"/>
        <w:ind w:left="703" w:hanging="703"/>
        <w:jc w:val="both"/>
        <w:rPr>
          <w:rFonts w:ascii="Times New Roman" w:hAnsi="Times New Roman"/>
          <w:sz w:val="19"/>
          <w:szCs w:val="19"/>
        </w:rPr>
      </w:pPr>
      <w:r w:rsidRPr="003E6FFF">
        <w:rPr>
          <w:rFonts w:ascii="Times New Roman" w:hAnsi="Times New Roman"/>
          <w:sz w:val="19"/>
          <w:szCs w:val="19"/>
        </w:rPr>
        <w:t xml:space="preserve">11 </w:t>
      </w:r>
      <w:r w:rsidRPr="003E6FFF">
        <w:rPr>
          <w:rFonts w:ascii="Times New Roman" w:hAnsi="Times New Roman"/>
          <w:sz w:val="19"/>
          <w:szCs w:val="19"/>
        </w:rPr>
        <w:tab/>
        <w:t xml:space="preserve">Yükümlülük doğuran olayın belirli bir dönem boyunca gerçekleşmesi durumunda, </w:t>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mesine ilişkin borç aş</w:t>
      </w:r>
      <w:r>
        <w:rPr>
          <w:rFonts w:ascii="Times New Roman" w:hAnsi="Times New Roman"/>
          <w:sz w:val="19"/>
          <w:szCs w:val="19"/>
        </w:rPr>
        <w:t>amalı olarak muhasebeleştirilir</w:t>
      </w:r>
      <w:r w:rsidRPr="003E6FFF">
        <w:rPr>
          <w:rFonts w:ascii="Times New Roman" w:hAnsi="Times New Roman"/>
          <w:sz w:val="19"/>
          <w:szCs w:val="19"/>
        </w:rPr>
        <w:t xml:space="preserve"> (diğer bir ifadeyle, </w:t>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mesine neden olan faaliyetin mevzuatta belirtildiği üzere belirli bir dönem boyunca gerçekleşmesi durumunda). Örneğin, yükümlülük doğuran olay hasılat</w:t>
      </w:r>
      <w:r>
        <w:rPr>
          <w:rFonts w:ascii="Times New Roman" w:hAnsi="Times New Roman"/>
          <w:sz w:val="19"/>
          <w:szCs w:val="19"/>
        </w:rPr>
        <w:t>ın</w:t>
      </w:r>
      <w:r w:rsidRPr="003E6FFF">
        <w:rPr>
          <w:rFonts w:ascii="Times New Roman" w:hAnsi="Times New Roman"/>
          <w:sz w:val="19"/>
          <w:szCs w:val="19"/>
        </w:rPr>
        <w:t xml:space="preserve"> belirli bir dönem boyunca elde edilmesi</w:t>
      </w:r>
      <w:r>
        <w:rPr>
          <w:rFonts w:ascii="Times New Roman" w:hAnsi="Times New Roman"/>
          <w:sz w:val="19"/>
          <w:szCs w:val="19"/>
        </w:rPr>
        <w:t xml:space="preserve"> ise</w:t>
      </w:r>
      <w:r w:rsidRPr="003E6FFF">
        <w:rPr>
          <w:rFonts w:ascii="Times New Roman" w:hAnsi="Times New Roman"/>
          <w:sz w:val="19"/>
          <w:szCs w:val="19"/>
        </w:rPr>
        <w:t xml:space="preserve">, yükümlülüğe karşılık gelen borç söz konusu hasılat elde edildikçe muhasebeleştirilir. </w:t>
      </w:r>
    </w:p>
    <w:p w:rsidR="007403EF" w:rsidRPr="003E6FFF" w:rsidRDefault="007403EF" w:rsidP="0005375C">
      <w:pPr>
        <w:autoSpaceDE w:val="0"/>
        <w:autoSpaceDN w:val="0"/>
        <w:adjustRightInd w:val="0"/>
        <w:spacing w:before="120" w:after="120"/>
        <w:ind w:left="703" w:hanging="703"/>
        <w:jc w:val="both"/>
        <w:rPr>
          <w:rFonts w:ascii="Times New Roman" w:hAnsi="Times New Roman"/>
          <w:sz w:val="19"/>
          <w:szCs w:val="19"/>
        </w:rPr>
      </w:pPr>
      <w:r w:rsidRPr="003E6FFF">
        <w:rPr>
          <w:rFonts w:ascii="Times New Roman" w:hAnsi="Times New Roman"/>
          <w:sz w:val="19"/>
          <w:szCs w:val="19"/>
        </w:rPr>
        <w:t xml:space="preserve">12 </w:t>
      </w:r>
      <w:r w:rsidRPr="003E6FFF">
        <w:rPr>
          <w:rFonts w:ascii="Times New Roman" w:hAnsi="Times New Roman"/>
          <w:sz w:val="19"/>
          <w:szCs w:val="19"/>
        </w:rPr>
        <w:tab/>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mesine ilişkin yükümlülüğün asgari bir eşiğe ulaşıldığında ortaya çıkması durumunda, söz konusu yükümlülükten kaynaklanan borcun muhasebeleştirilmesi bu Yorumun 8-14 üncü paragraflarında belirtilen ilkelerle tutarlı olmalıdır (özellikle 8 ve 11 inci paragraflar). Örneğin, yükümlülük doğuran olay asgari bir faaliyet eşiğine ulaşılma</w:t>
      </w:r>
      <w:r>
        <w:rPr>
          <w:rFonts w:ascii="Times New Roman" w:hAnsi="Times New Roman"/>
          <w:sz w:val="19"/>
          <w:szCs w:val="19"/>
        </w:rPr>
        <w:t>sı ise</w:t>
      </w:r>
      <w:r w:rsidRPr="003E6FFF">
        <w:rPr>
          <w:rFonts w:ascii="Times New Roman" w:hAnsi="Times New Roman"/>
          <w:sz w:val="19"/>
          <w:szCs w:val="19"/>
        </w:rPr>
        <w:t xml:space="preserve"> (elde edilen hasılatın, gerçekleştirilen satışların veya üretilen çıktıların asgari bir miktarı gibi), asgari faaliyet eşiğine ulaşıldığında ilgili yükümlülüğe karşılık gelen borç muhasebeleştirilir. </w:t>
      </w:r>
    </w:p>
    <w:p w:rsidR="007403EF" w:rsidRPr="003E6FFF" w:rsidRDefault="007403EF" w:rsidP="0005375C">
      <w:pPr>
        <w:autoSpaceDE w:val="0"/>
        <w:autoSpaceDN w:val="0"/>
        <w:adjustRightInd w:val="0"/>
        <w:spacing w:before="120" w:after="120"/>
        <w:ind w:left="703" w:hanging="703"/>
        <w:jc w:val="both"/>
        <w:rPr>
          <w:rFonts w:ascii="Times New Roman" w:hAnsi="Times New Roman"/>
          <w:sz w:val="19"/>
          <w:szCs w:val="19"/>
        </w:rPr>
      </w:pPr>
      <w:r w:rsidRPr="003E6FFF">
        <w:rPr>
          <w:rFonts w:ascii="Times New Roman" w:hAnsi="Times New Roman"/>
          <w:sz w:val="19"/>
          <w:szCs w:val="19"/>
        </w:rPr>
        <w:t xml:space="preserve">13 </w:t>
      </w:r>
      <w:r w:rsidRPr="003E6FFF">
        <w:rPr>
          <w:rFonts w:ascii="Times New Roman" w:hAnsi="Times New Roman"/>
          <w:sz w:val="19"/>
          <w:szCs w:val="19"/>
        </w:rPr>
        <w:tab/>
      </w:r>
      <w:r w:rsidRPr="003E6FFF">
        <w:rPr>
          <w:rFonts w:ascii="Times New Roman" w:hAnsi="Times New Roman"/>
          <w:sz w:val="19"/>
          <w:szCs w:val="19"/>
        </w:rPr>
        <w:tab/>
        <w:t xml:space="preserve">İşletme yıllık finansal tablolarında uyguladığı muhasebeleştirme ilkelerini ara dönem finansal raporunda da aynen uygular. Sonuç olarak, ara dönem finansal raporda, </w:t>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mesine ilişkin bir borç:</w:t>
      </w:r>
    </w:p>
    <w:p w:rsidR="007403EF" w:rsidRPr="003E6FFF" w:rsidRDefault="007403EF" w:rsidP="0005375C">
      <w:pPr>
        <w:autoSpaceDE w:val="0"/>
        <w:autoSpaceDN w:val="0"/>
        <w:adjustRightInd w:val="0"/>
        <w:spacing w:before="120" w:after="120"/>
        <w:ind w:left="1276" w:hanging="567"/>
        <w:jc w:val="both"/>
        <w:rPr>
          <w:rFonts w:ascii="Times New Roman" w:hAnsi="Times New Roman"/>
          <w:sz w:val="19"/>
          <w:szCs w:val="19"/>
        </w:rPr>
      </w:pPr>
      <w:r w:rsidRPr="003E6FFF">
        <w:rPr>
          <w:rFonts w:ascii="Times New Roman" w:hAnsi="Times New Roman"/>
          <w:sz w:val="19"/>
          <w:szCs w:val="19"/>
        </w:rPr>
        <w:t>(a)</w:t>
      </w:r>
      <w:r w:rsidRPr="003E6FFF">
        <w:rPr>
          <w:rFonts w:ascii="Times New Roman" w:hAnsi="Times New Roman"/>
          <w:sz w:val="19"/>
          <w:szCs w:val="19"/>
        </w:rPr>
        <w:tab/>
        <w:t xml:space="preserve">Ara dönem raporlama </w:t>
      </w:r>
      <w:r>
        <w:rPr>
          <w:rFonts w:ascii="Times New Roman" w:hAnsi="Times New Roman"/>
          <w:sz w:val="19"/>
          <w:szCs w:val="19"/>
        </w:rPr>
        <w:t>tarihi</w:t>
      </w:r>
      <w:r w:rsidRPr="003E6FFF">
        <w:rPr>
          <w:rFonts w:ascii="Times New Roman" w:hAnsi="Times New Roman"/>
          <w:sz w:val="19"/>
          <w:szCs w:val="19"/>
        </w:rPr>
        <w:t xml:space="preserve"> itibarıyla </w:t>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mesine ilişkin mevcut bir yükümlülüğün bulunmaması durumunda muhasebeleştirilmez ve</w:t>
      </w:r>
    </w:p>
    <w:p w:rsidR="007403EF" w:rsidRPr="003E6FFF" w:rsidRDefault="007403EF" w:rsidP="0005375C">
      <w:pPr>
        <w:autoSpaceDE w:val="0"/>
        <w:autoSpaceDN w:val="0"/>
        <w:adjustRightInd w:val="0"/>
        <w:spacing w:before="120" w:after="120"/>
        <w:ind w:left="1276" w:hanging="567"/>
        <w:jc w:val="both"/>
        <w:rPr>
          <w:rFonts w:ascii="Times New Roman" w:hAnsi="Times New Roman"/>
          <w:sz w:val="19"/>
          <w:szCs w:val="19"/>
        </w:rPr>
      </w:pPr>
      <w:r w:rsidRPr="003E6FFF">
        <w:rPr>
          <w:rFonts w:ascii="Times New Roman" w:hAnsi="Times New Roman"/>
          <w:sz w:val="19"/>
          <w:szCs w:val="19"/>
        </w:rPr>
        <w:t>(b)</w:t>
      </w:r>
      <w:r w:rsidRPr="003E6FFF">
        <w:rPr>
          <w:rFonts w:ascii="Times New Roman" w:hAnsi="Times New Roman"/>
          <w:sz w:val="19"/>
          <w:szCs w:val="19"/>
        </w:rPr>
        <w:tab/>
        <w:t xml:space="preserve">Ara dönem raporlama </w:t>
      </w:r>
      <w:r>
        <w:rPr>
          <w:rFonts w:ascii="Times New Roman" w:hAnsi="Times New Roman"/>
          <w:sz w:val="19"/>
          <w:szCs w:val="19"/>
        </w:rPr>
        <w:t>tarihi</w:t>
      </w:r>
      <w:r w:rsidRPr="003E6FFF">
        <w:rPr>
          <w:rFonts w:ascii="Times New Roman" w:hAnsi="Times New Roman"/>
          <w:sz w:val="19"/>
          <w:szCs w:val="19"/>
        </w:rPr>
        <w:t xml:space="preserve"> itibarıyla </w:t>
      </w:r>
      <w:r>
        <w:rPr>
          <w:rFonts w:ascii="Times New Roman" w:hAnsi="Times New Roman"/>
          <w:sz w:val="19"/>
          <w:szCs w:val="19"/>
        </w:rPr>
        <w:t>vergi ve vergi benzeri yükümlülüklerin</w:t>
      </w:r>
      <w:r w:rsidRPr="003E6FFF">
        <w:rPr>
          <w:rFonts w:ascii="Times New Roman" w:hAnsi="Times New Roman"/>
          <w:sz w:val="19"/>
          <w:szCs w:val="19"/>
        </w:rPr>
        <w:t xml:space="preserve"> öde</w:t>
      </w:r>
      <w:r>
        <w:rPr>
          <w:rFonts w:ascii="Times New Roman" w:hAnsi="Times New Roman"/>
          <w:sz w:val="19"/>
          <w:szCs w:val="19"/>
        </w:rPr>
        <w:t>n</w:t>
      </w:r>
      <w:r w:rsidRPr="003E6FFF">
        <w:rPr>
          <w:rFonts w:ascii="Times New Roman" w:hAnsi="Times New Roman"/>
          <w:sz w:val="19"/>
          <w:szCs w:val="19"/>
        </w:rPr>
        <w:t>mesine ilişkin mevcut bir yükümlülüğün bulunması durumunda muhasebeleştirilir.</w:t>
      </w:r>
    </w:p>
    <w:p w:rsidR="007403EF" w:rsidRPr="003E6FFF" w:rsidRDefault="007403EF" w:rsidP="004B3A3C">
      <w:pPr>
        <w:autoSpaceDE w:val="0"/>
        <w:autoSpaceDN w:val="0"/>
        <w:adjustRightInd w:val="0"/>
        <w:spacing w:before="120" w:after="120"/>
        <w:ind w:left="703" w:hanging="703"/>
        <w:jc w:val="both"/>
        <w:rPr>
          <w:rFonts w:ascii="Times New Roman" w:hAnsi="Times New Roman"/>
          <w:sz w:val="19"/>
          <w:szCs w:val="19"/>
        </w:rPr>
      </w:pPr>
      <w:r>
        <w:rPr>
          <w:rFonts w:ascii="Times New Roman" w:hAnsi="Times New Roman"/>
          <w:sz w:val="19"/>
          <w:szCs w:val="19"/>
        </w:rPr>
        <w:t xml:space="preserve">14 </w:t>
      </w:r>
      <w:r>
        <w:rPr>
          <w:rFonts w:ascii="Times New Roman" w:hAnsi="Times New Roman"/>
          <w:sz w:val="19"/>
          <w:szCs w:val="19"/>
        </w:rPr>
        <w:tab/>
      </w:r>
      <w:r>
        <w:rPr>
          <w:rFonts w:ascii="Times New Roman" w:hAnsi="Times New Roman"/>
          <w:sz w:val="19"/>
          <w:szCs w:val="19"/>
        </w:rPr>
        <w:tab/>
        <w:t>Bir vergiyi veya vergi benzeri yükümlülüğü</w:t>
      </w:r>
      <w:r w:rsidRPr="003E6FFF">
        <w:rPr>
          <w:rFonts w:ascii="Times New Roman" w:hAnsi="Times New Roman"/>
          <w:sz w:val="19"/>
          <w:szCs w:val="19"/>
        </w:rPr>
        <w:t xml:space="preserve"> önce</w:t>
      </w:r>
      <w:r>
        <w:rPr>
          <w:rFonts w:ascii="Times New Roman" w:hAnsi="Times New Roman"/>
          <w:sz w:val="19"/>
          <w:szCs w:val="19"/>
        </w:rPr>
        <w:t>den ödemekle birlikte bu vergiyi veya vergi benzeri yükümlülüğü</w:t>
      </w:r>
      <w:r w:rsidRPr="003E6FFF">
        <w:rPr>
          <w:rFonts w:ascii="Times New Roman" w:hAnsi="Times New Roman"/>
          <w:sz w:val="19"/>
          <w:szCs w:val="19"/>
        </w:rPr>
        <w:t xml:space="preserve"> ödemeye ilişkin mevcut bir </w:t>
      </w:r>
      <w:r>
        <w:rPr>
          <w:rFonts w:ascii="Times New Roman" w:hAnsi="Times New Roman"/>
          <w:sz w:val="19"/>
          <w:szCs w:val="19"/>
        </w:rPr>
        <w:t>yükümlülüğü bulunmayan işletme, bu ödemeye ilişkin bir varlık muhasebeleştirir</w:t>
      </w:r>
      <w:r w:rsidRPr="003E6FFF">
        <w:rPr>
          <w:rFonts w:ascii="Times New Roman" w:hAnsi="Times New Roman"/>
          <w:sz w:val="19"/>
          <w:szCs w:val="19"/>
        </w:rPr>
        <w:t>.</w:t>
      </w:r>
    </w:p>
    <w:p w:rsidR="007403EF" w:rsidRPr="003E6FFF" w:rsidRDefault="007403EF" w:rsidP="006346EF">
      <w:pPr>
        <w:autoSpaceDE w:val="0"/>
        <w:autoSpaceDN w:val="0"/>
        <w:adjustRightInd w:val="0"/>
        <w:spacing w:before="120" w:after="360"/>
        <w:jc w:val="both"/>
        <w:rPr>
          <w:rFonts w:ascii="Times New Roman" w:hAnsi="Times New Roman"/>
          <w:b/>
          <w:bCs/>
          <w:sz w:val="19"/>
          <w:szCs w:val="19"/>
        </w:rPr>
      </w:pPr>
      <w:r w:rsidRPr="003E6FFF">
        <w:rPr>
          <w:rFonts w:ascii="Times New Roman" w:hAnsi="Times New Roman"/>
          <w:b/>
          <w:bCs/>
          <w:sz w:val="19"/>
          <w:szCs w:val="19"/>
        </w:rPr>
        <w:br w:type="page"/>
        <w:t>Ek A</w:t>
      </w:r>
    </w:p>
    <w:p w:rsidR="007403EF" w:rsidRPr="003E6FFF" w:rsidRDefault="007403EF" w:rsidP="006346EF">
      <w:pPr>
        <w:autoSpaceDE w:val="0"/>
        <w:autoSpaceDN w:val="0"/>
        <w:adjustRightInd w:val="0"/>
        <w:spacing w:before="120" w:after="120"/>
        <w:jc w:val="both"/>
        <w:rPr>
          <w:rFonts w:ascii="Times New Roman" w:hAnsi="Times New Roman"/>
          <w:b/>
          <w:bCs/>
          <w:sz w:val="19"/>
          <w:szCs w:val="19"/>
        </w:rPr>
      </w:pPr>
      <w:r w:rsidRPr="003E6FFF">
        <w:rPr>
          <w:rFonts w:ascii="Times New Roman" w:hAnsi="Times New Roman"/>
          <w:b/>
          <w:bCs/>
          <w:sz w:val="19"/>
          <w:szCs w:val="19"/>
        </w:rPr>
        <w:t>Yürürlük tarihi ve geçiş hükümleri</w:t>
      </w:r>
    </w:p>
    <w:p w:rsidR="007403EF" w:rsidRPr="003E6FFF" w:rsidRDefault="007403EF" w:rsidP="006346EF">
      <w:pPr>
        <w:autoSpaceDE w:val="0"/>
        <w:autoSpaceDN w:val="0"/>
        <w:adjustRightInd w:val="0"/>
        <w:spacing w:before="120" w:after="120"/>
        <w:jc w:val="both"/>
        <w:rPr>
          <w:rFonts w:ascii="Times New Roman" w:hAnsi="Times New Roman"/>
          <w:i/>
          <w:iCs/>
          <w:sz w:val="19"/>
          <w:szCs w:val="19"/>
        </w:rPr>
      </w:pPr>
      <w:r w:rsidRPr="003E6FFF">
        <w:rPr>
          <w:rFonts w:ascii="Times New Roman" w:hAnsi="Times New Roman"/>
          <w:i/>
          <w:iCs/>
          <w:sz w:val="19"/>
          <w:szCs w:val="19"/>
        </w:rPr>
        <w:t>Bu ek, bu Yorum’un ayrılmaz bir parçası olup, bağlayıcılığı bu Yorum’un diğer kısımlarıyla aynı düzeydedir.</w:t>
      </w:r>
    </w:p>
    <w:p w:rsidR="007403EF" w:rsidRPr="003E6FFF" w:rsidRDefault="007403EF" w:rsidP="00E262E4">
      <w:pPr>
        <w:spacing w:before="120" w:after="120"/>
        <w:ind w:left="703" w:hanging="703"/>
        <w:jc w:val="both"/>
        <w:rPr>
          <w:rFonts w:ascii="Times New Roman" w:hAnsi="Times New Roman"/>
          <w:sz w:val="19"/>
          <w:szCs w:val="19"/>
        </w:rPr>
      </w:pPr>
      <w:r w:rsidRPr="003E6FFF">
        <w:rPr>
          <w:rFonts w:ascii="Times New Roman" w:hAnsi="Times New Roman"/>
          <w:sz w:val="19"/>
          <w:szCs w:val="19"/>
        </w:rPr>
        <w:t>A1</w:t>
      </w:r>
      <w:r w:rsidRPr="003E6FFF">
        <w:rPr>
          <w:rFonts w:ascii="Times New Roman" w:hAnsi="Times New Roman"/>
          <w:sz w:val="19"/>
          <w:szCs w:val="19"/>
        </w:rPr>
        <w:tab/>
        <w:t xml:space="preserve">Bu Yorum, 1 Ocak 2014 tarihinde veya sonrasında </w:t>
      </w:r>
      <w:r w:rsidRPr="00044F1D">
        <w:rPr>
          <w:rFonts w:ascii="Times New Roman" w:hAnsi="Times New Roman"/>
          <w:sz w:val="19"/>
          <w:szCs w:val="19"/>
        </w:rPr>
        <w:t>başlayan hesap</w:t>
      </w:r>
      <w:r w:rsidRPr="003E6FFF">
        <w:rPr>
          <w:rFonts w:ascii="Times New Roman" w:hAnsi="Times New Roman"/>
          <w:sz w:val="19"/>
          <w:szCs w:val="19"/>
        </w:rPr>
        <w:t xml:space="preserve"> dönemlerinde uygulanır. Erken uygulamaya izin verilmektedir. Erken uygulanması halinde bu durum</w:t>
      </w:r>
      <w:r>
        <w:rPr>
          <w:rFonts w:ascii="Times New Roman" w:hAnsi="Times New Roman"/>
          <w:sz w:val="19"/>
          <w:szCs w:val="19"/>
        </w:rPr>
        <w:t xml:space="preserve"> finansal tablo</w:t>
      </w:r>
      <w:r w:rsidRPr="003E6FFF">
        <w:rPr>
          <w:rFonts w:ascii="Times New Roman" w:hAnsi="Times New Roman"/>
          <w:sz w:val="19"/>
          <w:szCs w:val="19"/>
        </w:rPr>
        <w:t xml:space="preserve"> dipnotlar</w:t>
      </w:r>
      <w:r>
        <w:rPr>
          <w:rFonts w:ascii="Times New Roman" w:hAnsi="Times New Roman"/>
          <w:sz w:val="19"/>
          <w:szCs w:val="19"/>
        </w:rPr>
        <w:t>ın</w:t>
      </w:r>
      <w:r w:rsidRPr="003E6FFF">
        <w:rPr>
          <w:rFonts w:ascii="Times New Roman" w:hAnsi="Times New Roman"/>
          <w:sz w:val="19"/>
          <w:szCs w:val="19"/>
        </w:rPr>
        <w:t>da açıklanmalıdır.</w:t>
      </w:r>
    </w:p>
    <w:p w:rsidR="007403EF" w:rsidRPr="003E6FFF" w:rsidRDefault="007403EF" w:rsidP="00113B71">
      <w:pPr>
        <w:spacing w:before="120" w:after="120"/>
        <w:ind w:left="703" w:hanging="703"/>
        <w:jc w:val="both"/>
        <w:rPr>
          <w:rFonts w:ascii="Times New Roman" w:hAnsi="Times New Roman"/>
          <w:sz w:val="19"/>
          <w:szCs w:val="19"/>
        </w:rPr>
      </w:pPr>
      <w:r w:rsidRPr="003E6FFF">
        <w:rPr>
          <w:rFonts w:ascii="Times New Roman" w:hAnsi="Times New Roman"/>
          <w:sz w:val="19"/>
          <w:szCs w:val="19"/>
        </w:rPr>
        <w:t xml:space="preserve">A2         </w:t>
      </w:r>
      <w:r w:rsidRPr="003E6FFF">
        <w:rPr>
          <w:rFonts w:ascii="Times New Roman" w:hAnsi="Times New Roman"/>
          <w:sz w:val="19"/>
          <w:szCs w:val="19"/>
        </w:rPr>
        <w:tab/>
        <w:t xml:space="preserve">Bu Yorumun ilk kez uygulanmasından kaynaklanan muhasebe politikalarındaki değişiklikler TMS 8 </w:t>
      </w:r>
      <w:r w:rsidRPr="003E6FFF">
        <w:rPr>
          <w:rFonts w:ascii="Times New Roman" w:hAnsi="Times New Roman"/>
          <w:i/>
          <w:sz w:val="19"/>
          <w:szCs w:val="19"/>
        </w:rPr>
        <w:t>Muhasebe Politikaları, Muhasebe Tahminlerinde Değişiklikler ve Hatalar</w:t>
      </w:r>
      <w:r w:rsidRPr="003E6FFF">
        <w:rPr>
          <w:rFonts w:ascii="Times New Roman" w:hAnsi="Times New Roman"/>
          <w:sz w:val="19"/>
          <w:szCs w:val="19"/>
        </w:rPr>
        <w:t xml:space="preserve"> uyarınca geriye dönük olarak muhasebeleştirilir.</w:t>
      </w:r>
    </w:p>
    <w:p w:rsidR="007403EF" w:rsidRPr="003E6FFF" w:rsidRDefault="007403EF" w:rsidP="009B7477">
      <w:pPr>
        <w:autoSpaceDE w:val="0"/>
        <w:autoSpaceDN w:val="0"/>
        <w:adjustRightInd w:val="0"/>
        <w:spacing w:before="120" w:after="360"/>
        <w:jc w:val="both"/>
        <w:rPr>
          <w:rFonts w:ascii="Times New Roman" w:hAnsi="Times New Roman"/>
          <w:sz w:val="19"/>
          <w:szCs w:val="19"/>
        </w:rPr>
      </w:pPr>
    </w:p>
    <w:sectPr w:rsidR="007403EF" w:rsidRPr="003E6FFF" w:rsidSect="006346EF">
      <w:footerReference w:type="even" r:id="rId7"/>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EF" w:rsidRDefault="007403EF">
      <w:r>
        <w:separator/>
      </w:r>
    </w:p>
  </w:endnote>
  <w:endnote w:type="continuationSeparator" w:id="0">
    <w:p w:rsidR="007403EF" w:rsidRDefault="00740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EF" w:rsidRDefault="007403EF" w:rsidP="00634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03EF" w:rsidRDefault="00740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EF" w:rsidRDefault="007403EF">
      <w:r>
        <w:separator/>
      </w:r>
    </w:p>
  </w:footnote>
  <w:footnote w:type="continuationSeparator" w:id="0">
    <w:p w:rsidR="007403EF" w:rsidRDefault="007403EF">
      <w:r>
        <w:continuationSeparator/>
      </w:r>
    </w:p>
  </w:footnote>
  <w:footnote w:id="1">
    <w:p w:rsidR="007403EF" w:rsidRPr="003F1256" w:rsidRDefault="007403EF" w:rsidP="003F1256">
      <w:pPr>
        <w:pStyle w:val="Default"/>
        <w:spacing w:before="60" w:after="60"/>
        <w:ind w:left="181" w:hanging="181"/>
        <w:jc w:val="both"/>
        <w:rPr>
          <w:rFonts w:ascii="Times New Roman" w:hAnsi="Times New Roman"/>
          <w:i/>
          <w:sz w:val="16"/>
          <w:szCs w:val="16"/>
        </w:rPr>
      </w:pPr>
      <w:r>
        <w:rPr>
          <w:rStyle w:val="FootnoteReference"/>
          <w:rFonts w:cs="Arial"/>
        </w:rPr>
        <w:footnoteRef/>
      </w:r>
      <w:r>
        <w:t xml:space="preserve"> </w:t>
      </w:r>
      <w:r>
        <w:rPr>
          <w:rFonts w:ascii="Times New Roman" w:hAnsi="Times New Roman"/>
          <w:i/>
          <w:sz w:val="16"/>
          <w:szCs w:val="16"/>
        </w:rPr>
        <w:t>Kamu Gözetimi, Muhasebe ve Denetim Standartları Kurumunca</w:t>
      </w:r>
      <w:r w:rsidRPr="003F1256">
        <w:rPr>
          <w:rFonts w:ascii="Times New Roman" w:hAnsi="Times New Roman"/>
          <w:i/>
          <w:sz w:val="16"/>
          <w:szCs w:val="16"/>
        </w:rPr>
        <w:t xml:space="preserve"> Uluslararası Finansal Raporlama Standartları (IAS ve IFRS) ile  (IFRIC ve SIC Yorumları) Türkiye Muhasebe Standartları (TMS), Türkiye Finansal Raporlama Standartları (TFRS),  (TMS ve TFRS Yorumları) ad ve kısaltmaları ile yayımlanmakta ve sürekli olarak güncellenmektedir. </w:t>
      </w:r>
    </w:p>
    <w:p w:rsidR="007403EF" w:rsidRDefault="007403EF" w:rsidP="003F1256">
      <w:pPr>
        <w:pStyle w:val="Default"/>
        <w:spacing w:before="60" w:after="60"/>
        <w:ind w:left="181" w:hanging="181"/>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101E"/>
    <w:multiLevelType w:val="hybridMultilevel"/>
    <w:tmpl w:val="184EEFAE"/>
    <w:lvl w:ilvl="0" w:tplc="041F0001">
      <w:start w:val="1"/>
      <w:numFmt w:val="bullet"/>
      <w:lvlText w:val=""/>
      <w:lvlJc w:val="left"/>
      <w:pPr>
        <w:ind w:left="1179" w:hanging="360"/>
      </w:pPr>
      <w:rPr>
        <w:rFonts w:ascii="Symbol" w:hAnsi="Symbol" w:hint="default"/>
      </w:rPr>
    </w:lvl>
    <w:lvl w:ilvl="1" w:tplc="041F0003" w:tentative="1">
      <w:start w:val="1"/>
      <w:numFmt w:val="bullet"/>
      <w:lvlText w:val="o"/>
      <w:lvlJc w:val="left"/>
      <w:pPr>
        <w:ind w:left="1899" w:hanging="360"/>
      </w:pPr>
      <w:rPr>
        <w:rFonts w:ascii="Courier New" w:hAnsi="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1">
    <w:nsid w:val="1D2F4990"/>
    <w:multiLevelType w:val="hybridMultilevel"/>
    <w:tmpl w:val="0180D47A"/>
    <w:lvl w:ilvl="0" w:tplc="D792AEF8">
      <w:start w:val="1"/>
      <w:numFmt w:val="decimal"/>
      <w:lvlText w:val="%1"/>
      <w:lvlJc w:val="left"/>
      <w:pPr>
        <w:ind w:left="1400" w:hanging="840"/>
      </w:pPr>
      <w:rPr>
        <w:rFonts w:cs="Times New Roman" w:hint="default"/>
      </w:rPr>
    </w:lvl>
    <w:lvl w:ilvl="1" w:tplc="041F0019" w:tentative="1">
      <w:start w:val="1"/>
      <w:numFmt w:val="lowerLetter"/>
      <w:lvlText w:val="%2."/>
      <w:lvlJc w:val="left"/>
      <w:pPr>
        <w:ind w:left="1640" w:hanging="360"/>
      </w:pPr>
      <w:rPr>
        <w:rFonts w:cs="Times New Roman"/>
      </w:rPr>
    </w:lvl>
    <w:lvl w:ilvl="2" w:tplc="041F001B" w:tentative="1">
      <w:start w:val="1"/>
      <w:numFmt w:val="lowerRoman"/>
      <w:lvlText w:val="%3."/>
      <w:lvlJc w:val="right"/>
      <w:pPr>
        <w:ind w:left="2360" w:hanging="180"/>
      </w:pPr>
      <w:rPr>
        <w:rFonts w:cs="Times New Roman"/>
      </w:rPr>
    </w:lvl>
    <w:lvl w:ilvl="3" w:tplc="041F000F" w:tentative="1">
      <w:start w:val="1"/>
      <w:numFmt w:val="decimal"/>
      <w:lvlText w:val="%4."/>
      <w:lvlJc w:val="left"/>
      <w:pPr>
        <w:ind w:left="3080" w:hanging="360"/>
      </w:pPr>
      <w:rPr>
        <w:rFonts w:cs="Times New Roman"/>
      </w:rPr>
    </w:lvl>
    <w:lvl w:ilvl="4" w:tplc="041F0019" w:tentative="1">
      <w:start w:val="1"/>
      <w:numFmt w:val="lowerLetter"/>
      <w:lvlText w:val="%5."/>
      <w:lvlJc w:val="left"/>
      <w:pPr>
        <w:ind w:left="3800" w:hanging="360"/>
      </w:pPr>
      <w:rPr>
        <w:rFonts w:cs="Times New Roman"/>
      </w:rPr>
    </w:lvl>
    <w:lvl w:ilvl="5" w:tplc="041F001B" w:tentative="1">
      <w:start w:val="1"/>
      <w:numFmt w:val="lowerRoman"/>
      <w:lvlText w:val="%6."/>
      <w:lvlJc w:val="right"/>
      <w:pPr>
        <w:ind w:left="4520" w:hanging="180"/>
      </w:pPr>
      <w:rPr>
        <w:rFonts w:cs="Times New Roman"/>
      </w:rPr>
    </w:lvl>
    <w:lvl w:ilvl="6" w:tplc="041F000F" w:tentative="1">
      <w:start w:val="1"/>
      <w:numFmt w:val="decimal"/>
      <w:lvlText w:val="%7."/>
      <w:lvlJc w:val="left"/>
      <w:pPr>
        <w:ind w:left="5240" w:hanging="360"/>
      </w:pPr>
      <w:rPr>
        <w:rFonts w:cs="Times New Roman"/>
      </w:rPr>
    </w:lvl>
    <w:lvl w:ilvl="7" w:tplc="041F0019" w:tentative="1">
      <w:start w:val="1"/>
      <w:numFmt w:val="lowerLetter"/>
      <w:lvlText w:val="%8."/>
      <w:lvlJc w:val="left"/>
      <w:pPr>
        <w:ind w:left="5960" w:hanging="360"/>
      </w:pPr>
      <w:rPr>
        <w:rFonts w:cs="Times New Roman"/>
      </w:rPr>
    </w:lvl>
    <w:lvl w:ilvl="8" w:tplc="041F001B" w:tentative="1">
      <w:start w:val="1"/>
      <w:numFmt w:val="lowerRoman"/>
      <w:lvlText w:val="%9."/>
      <w:lvlJc w:val="right"/>
      <w:pPr>
        <w:ind w:left="6680" w:hanging="180"/>
      </w:pPr>
      <w:rPr>
        <w:rFonts w:cs="Times New Roman"/>
      </w:rPr>
    </w:lvl>
  </w:abstractNum>
  <w:abstractNum w:abstractNumId="2">
    <w:nsid w:val="3A2028B9"/>
    <w:multiLevelType w:val="hybridMultilevel"/>
    <w:tmpl w:val="5BB24122"/>
    <w:lvl w:ilvl="0" w:tplc="64D26184">
      <w:start w:val="1"/>
      <w:numFmt w:val="bullet"/>
      <w:lvlText w:val="•"/>
      <w:lvlJc w:val="left"/>
      <w:pPr>
        <w:ind w:left="720" w:hanging="360"/>
      </w:pPr>
      <w:rPr>
        <w:rFonts w:ascii="Times New Roman" w:eastAsia="Times New Roman" w:hAnsi="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6EF"/>
    <w:rsid w:val="00003F93"/>
    <w:rsid w:val="0000450F"/>
    <w:rsid w:val="00004D48"/>
    <w:rsid w:val="0000737D"/>
    <w:rsid w:val="00010391"/>
    <w:rsid w:val="000135B5"/>
    <w:rsid w:val="00013746"/>
    <w:rsid w:val="00016F1E"/>
    <w:rsid w:val="0001737A"/>
    <w:rsid w:val="00017423"/>
    <w:rsid w:val="00022128"/>
    <w:rsid w:val="000228E7"/>
    <w:rsid w:val="00022A1E"/>
    <w:rsid w:val="00023F99"/>
    <w:rsid w:val="00024C99"/>
    <w:rsid w:val="00030940"/>
    <w:rsid w:val="00030974"/>
    <w:rsid w:val="00031727"/>
    <w:rsid w:val="000325AF"/>
    <w:rsid w:val="00032F85"/>
    <w:rsid w:val="00034E7B"/>
    <w:rsid w:val="00036CAF"/>
    <w:rsid w:val="000373B0"/>
    <w:rsid w:val="00040E5C"/>
    <w:rsid w:val="000448CC"/>
    <w:rsid w:val="00044F1D"/>
    <w:rsid w:val="00045594"/>
    <w:rsid w:val="0004559B"/>
    <w:rsid w:val="00045703"/>
    <w:rsid w:val="0005029C"/>
    <w:rsid w:val="00050FE1"/>
    <w:rsid w:val="0005375C"/>
    <w:rsid w:val="00053B84"/>
    <w:rsid w:val="00056B8B"/>
    <w:rsid w:val="00056BA5"/>
    <w:rsid w:val="00056C73"/>
    <w:rsid w:val="00056CBB"/>
    <w:rsid w:val="00057CA9"/>
    <w:rsid w:val="00060C1E"/>
    <w:rsid w:val="000615D8"/>
    <w:rsid w:val="00063FCD"/>
    <w:rsid w:val="00064861"/>
    <w:rsid w:val="000662B9"/>
    <w:rsid w:val="00067B09"/>
    <w:rsid w:val="00074920"/>
    <w:rsid w:val="00085297"/>
    <w:rsid w:val="00086F8E"/>
    <w:rsid w:val="000909D7"/>
    <w:rsid w:val="00090DC5"/>
    <w:rsid w:val="00090DF9"/>
    <w:rsid w:val="00092D0C"/>
    <w:rsid w:val="0009445B"/>
    <w:rsid w:val="000947E6"/>
    <w:rsid w:val="000952BD"/>
    <w:rsid w:val="000954ED"/>
    <w:rsid w:val="0009648F"/>
    <w:rsid w:val="0009666F"/>
    <w:rsid w:val="00097109"/>
    <w:rsid w:val="000A0216"/>
    <w:rsid w:val="000A0244"/>
    <w:rsid w:val="000A09B2"/>
    <w:rsid w:val="000A0F12"/>
    <w:rsid w:val="000A15E1"/>
    <w:rsid w:val="000A31A1"/>
    <w:rsid w:val="000A77AA"/>
    <w:rsid w:val="000B6066"/>
    <w:rsid w:val="000B7683"/>
    <w:rsid w:val="000C206F"/>
    <w:rsid w:val="000C323C"/>
    <w:rsid w:val="000C4EA4"/>
    <w:rsid w:val="000C5DAF"/>
    <w:rsid w:val="000C7002"/>
    <w:rsid w:val="000D2D61"/>
    <w:rsid w:val="000E01EF"/>
    <w:rsid w:val="000E2631"/>
    <w:rsid w:val="000E3F82"/>
    <w:rsid w:val="000E52A8"/>
    <w:rsid w:val="000F1446"/>
    <w:rsid w:val="000F273F"/>
    <w:rsid w:val="000F320C"/>
    <w:rsid w:val="000F6A9B"/>
    <w:rsid w:val="00107131"/>
    <w:rsid w:val="00113B71"/>
    <w:rsid w:val="00114C34"/>
    <w:rsid w:val="001208D1"/>
    <w:rsid w:val="00121C64"/>
    <w:rsid w:val="00122305"/>
    <w:rsid w:val="00122C0E"/>
    <w:rsid w:val="001233B7"/>
    <w:rsid w:val="00126D10"/>
    <w:rsid w:val="00127472"/>
    <w:rsid w:val="00127BBB"/>
    <w:rsid w:val="0013419A"/>
    <w:rsid w:val="00135A86"/>
    <w:rsid w:val="00136D2A"/>
    <w:rsid w:val="00137E88"/>
    <w:rsid w:val="001442A1"/>
    <w:rsid w:val="00144574"/>
    <w:rsid w:val="0014466C"/>
    <w:rsid w:val="001468DC"/>
    <w:rsid w:val="00146F05"/>
    <w:rsid w:val="001519EE"/>
    <w:rsid w:val="00153BF5"/>
    <w:rsid w:val="00154FA2"/>
    <w:rsid w:val="00163FF0"/>
    <w:rsid w:val="00165413"/>
    <w:rsid w:val="0016578D"/>
    <w:rsid w:val="00166F6A"/>
    <w:rsid w:val="00167C3A"/>
    <w:rsid w:val="00175956"/>
    <w:rsid w:val="00176B7C"/>
    <w:rsid w:val="00177282"/>
    <w:rsid w:val="001833D4"/>
    <w:rsid w:val="00184E69"/>
    <w:rsid w:val="001866E5"/>
    <w:rsid w:val="00187ED2"/>
    <w:rsid w:val="00190ED2"/>
    <w:rsid w:val="00190EFD"/>
    <w:rsid w:val="001916A9"/>
    <w:rsid w:val="001917AA"/>
    <w:rsid w:val="00193B64"/>
    <w:rsid w:val="001940F2"/>
    <w:rsid w:val="00194F92"/>
    <w:rsid w:val="00197499"/>
    <w:rsid w:val="001A0215"/>
    <w:rsid w:val="001A3B51"/>
    <w:rsid w:val="001A51D4"/>
    <w:rsid w:val="001B1F7C"/>
    <w:rsid w:val="001B400E"/>
    <w:rsid w:val="001B5AF9"/>
    <w:rsid w:val="001B73B1"/>
    <w:rsid w:val="001B7A02"/>
    <w:rsid w:val="001C1229"/>
    <w:rsid w:val="001C1E86"/>
    <w:rsid w:val="001C2816"/>
    <w:rsid w:val="001C2825"/>
    <w:rsid w:val="001C39F2"/>
    <w:rsid w:val="001C5108"/>
    <w:rsid w:val="001D3BC3"/>
    <w:rsid w:val="001D3C02"/>
    <w:rsid w:val="001D46FB"/>
    <w:rsid w:val="001D4928"/>
    <w:rsid w:val="001D5674"/>
    <w:rsid w:val="001D7012"/>
    <w:rsid w:val="001E32C3"/>
    <w:rsid w:val="001E3902"/>
    <w:rsid w:val="001F4AF5"/>
    <w:rsid w:val="001F4F8E"/>
    <w:rsid w:val="001F5117"/>
    <w:rsid w:val="001F755E"/>
    <w:rsid w:val="002019A3"/>
    <w:rsid w:val="00203C6D"/>
    <w:rsid w:val="00204E26"/>
    <w:rsid w:val="00206630"/>
    <w:rsid w:val="00207542"/>
    <w:rsid w:val="00210186"/>
    <w:rsid w:val="002107EA"/>
    <w:rsid w:val="0021165D"/>
    <w:rsid w:val="00211B95"/>
    <w:rsid w:val="00212B72"/>
    <w:rsid w:val="00225014"/>
    <w:rsid w:val="002273D2"/>
    <w:rsid w:val="00227FBC"/>
    <w:rsid w:val="00233A45"/>
    <w:rsid w:val="00234397"/>
    <w:rsid w:val="00241500"/>
    <w:rsid w:val="002416C5"/>
    <w:rsid w:val="00241966"/>
    <w:rsid w:val="00242C96"/>
    <w:rsid w:val="00243254"/>
    <w:rsid w:val="002465CC"/>
    <w:rsid w:val="002516F8"/>
    <w:rsid w:val="00251BC1"/>
    <w:rsid w:val="0025235F"/>
    <w:rsid w:val="00260C25"/>
    <w:rsid w:val="00262943"/>
    <w:rsid w:val="002642A3"/>
    <w:rsid w:val="00265F57"/>
    <w:rsid w:val="002673B3"/>
    <w:rsid w:val="00271B66"/>
    <w:rsid w:val="00272805"/>
    <w:rsid w:val="002728F1"/>
    <w:rsid w:val="002803F3"/>
    <w:rsid w:val="00280693"/>
    <w:rsid w:val="00281982"/>
    <w:rsid w:val="00281B14"/>
    <w:rsid w:val="00283BDE"/>
    <w:rsid w:val="0028402E"/>
    <w:rsid w:val="00284EB6"/>
    <w:rsid w:val="002857F0"/>
    <w:rsid w:val="002857F9"/>
    <w:rsid w:val="00290C42"/>
    <w:rsid w:val="00291199"/>
    <w:rsid w:val="00293451"/>
    <w:rsid w:val="0029502C"/>
    <w:rsid w:val="0029539E"/>
    <w:rsid w:val="00295A1F"/>
    <w:rsid w:val="002A4288"/>
    <w:rsid w:val="002A42DB"/>
    <w:rsid w:val="002A5112"/>
    <w:rsid w:val="002A6002"/>
    <w:rsid w:val="002A6841"/>
    <w:rsid w:val="002A6CC5"/>
    <w:rsid w:val="002B10B3"/>
    <w:rsid w:val="002B14CB"/>
    <w:rsid w:val="002B1644"/>
    <w:rsid w:val="002B1711"/>
    <w:rsid w:val="002B3317"/>
    <w:rsid w:val="002B4A00"/>
    <w:rsid w:val="002C10E0"/>
    <w:rsid w:val="002C11E7"/>
    <w:rsid w:val="002C1C59"/>
    <w:rsid w:val="002C4222"/>
    <w:rsid w:val="002C4DCA"/>
    <w:rsid w:val="002C5226"/>
    <w:rsid w:val="002C7E65"/>
    <w:rsid w:val="002D0641"/>
    <w:rsid w:val="002D084E"/>
    <w:rsid w:val="002D2942"/>
    <w:rsid w:val="002D442C"/>
    <w:rsid w:val="002D7370"/>
    <w:rsid w:val="002E3E82"/>
    <w:rsid w:val="002E40AE"/>
    <w:rsid w:val="002E4F41"/>
    <w:rsid w:val="002E709D"/>
    <w:rsid w:val="002F052B"/>
    <w:rsid w:val="002F08F8"/>
    <w:rsid w:val="002F0B6D"/>
    <w:rsid w:val="002F3558"/>
    <w:rsid w:val="002F4844"/>
    <w:rsid w:val="002F72D3"/>
    <w:rsid w:val="002F7E00"/>
    <w:rsid w:val="0030061D"/>
    <w:rsid w:val="00302461"/>
    <w:rsid w:val="00306A73"/>
    <w:rsid w:val="00306F1A"/>
    <w:rsid w:val="00307DEF"/>
    <w:rsid w:val="00310128"/>
    <w:rsid w:val="0031227E"/>
    <w:rsid w:val="00314292"/>
    <w:rsid w:val="00314370"/>
    <w:rsid w:val="00314964"/>
    <w:rsid w:val="0031674F"/>
    <w:rsid w:val="00316C35"/>
    <w:rsid w:val="0032115A"/>
    <w:rsid w:val="003222C5"/>
    <w:rsid w:val="00324A3D"/>
    <w:rsid w:val="0032667F"/>
    <w:rsid w:val="003270CA"/>
    <w:rsid w:val="00330702"/>
    <w:rsid w:val="003430E1"/>
    <w:rsid w:val="0034399F"/>
    <w:rsid w:val="003457B0"/>
    <w:rsid w:val="00347B2D"/>
    <w:rsid w:val="003501D7"/>
    <w:rsid w:val="00350A88"/>
    <w:rsid w:val="00353043"/>
    <w:rsid w:val="003543E6"/>
    <w:rsid w:val="00354F09"/>
    <w:rsid w:val="00356E48"/>
    <w:rsid w:val="00357931"/>
    <w:rsid w:val="00361A1F"/>
    <w:rsid w:val="0036731B"/>
    <w:rsid w:val="0036736B"/>
    <w:rsid w:val="00370CA2"/>
    <w:rsid w:val="003716F1"/>
    <w:rsid w:val="00375341"/>
    <w:rsid w:val="00375C8A"/>
    <w:rsid w:val="003771FD"/>
    <w:rsid w:val="00380A3C"/>
    <w:rsid w:val="003828E0"/>
    <w:rsid w:val="00384286"/>
    <w:rsid w:val="003866EE"/>
    <w:rsid w:val="003911CA"/>
    <w:rsid w:val="00394333"/>
    <w:rsid w:val="003944B3"/>
    <w:rsid w:val="00394B9D"/>
    <w:rsid w:val="003960AA"/>
    <w:rsid w:val="0039781F"/>
    <w:rsid w:val="00397F4B"/>
    <w:rsid w:val="003A6142"/>
    <w:rsid w:val="003A794A"/>
    <w:rsid w:val="003A7E96"/>
    <w:rsid w:val="003B0539"/>
    <w:rsid w:val="003B05CC"/>
    <w:rsid w:val="003B06BC"/>
    <w:rsid w:val="003B19F4"/>
    <w:rsid w:val="003B24E6"/>
    <w:rsid w:val="003B317A"/>
    <w:rsid w:val="003B4227"/>
    <w:rsid w:val="003B517F"/>
    <w:rsid w:val="003B623B"/>
    <w:rsid w:val="003B6242"/>
    <w:rsid w:val="003B77CF"/>
    <w:rsid w:val="003C2661"/>
    <w:rsid w:val="003C292A"/>
    <w:rsid w:val="003C4CD2"/>
    <w:rsid w:val="003C5351"/>
    <w:rsid w:val="003C7B80"/>
    <w:rsid w:val="003D0295"/>
    <w:rsid w:val="003D4156"/>
    <w:rsid w:val="003D45B7"/>
    <w:rsid w:val="003D4E97"/>
    <w:rsid w:val="003E1D2D"/>
    <w:rsid w:val="003E3346"/>
    <w:rsid w:val="003E4E8D"/>
    <w:rsid w:val="003E6FFF"/>
    <w:rsid w:val="003E79FD"/>
    <w:rsid w:val="003F1256"/>
    <w:rsid w:val="003F30D8"/>
    <w:rsid w:val="003F75AC"/>
    <w:rsid w:val="004016F8"/>
    <w:rsid w:val="00402208"/>
    <w:rsid w:val="0040392A"/>
    <w:rsid w:val="00406F00"/>
    <w:rsid w:val="004077DB"/>
    <w:rsid w:val="004103F7"/>
    <w:rsid w:val="00410490"/>
    <w:rsid w:val="0041422A"/>
    <w:rsid w:val="004172E9"/>
    <w:rsid w:val="004213B4"/>
    <w:rsid w:val="0042261B"/>
    <w:rsid w:val="00422803"/>
    <w:rsid w:val="00423CF0"/>
    <w:rsid w:val="00424808"/>
    <w:rsid w:val="00430059"/>
    <w:rsid w:val="00431968"/>
    <w:rsid w:val="004329BB"/>
    <w:rsid w:val="004373A5"/>
    <w:rsid w:val="004376A6"/>
    <w:rsid w:val="00437758"/>
    <w:rsid w:val="00443647"/>
    <w:rsid w:val="00443C60"/>
    <w:rsid w:val="004446D8"/>
    <w:rsid w:val="00444E30"/>
    <w:rsid w:val="0044558D"/>
    <w:rsid w:val="00445A74"/>
    <w:rsid w:val="00446AF2"/>
    <w:rsid w:val="00446E1D"/>
    <w:rsid w:val="00452BE9"/>
    <w:rsid w:val="00452CDE"/>
    <w:rsid w:val="00453E97"/>
    <w:rsid w:val="00454150"/>
    <w:rsid w:val="0045510F"/>
    <w:rsid w:val="00456A6D"/>
    <w:rsid w:val="004573DC"/>
    <w:rsid w:val="00460BA1"/>
    <w:rsid w:val="004613D8"/>
    <w:rsid w:val="00461FA0"/>
    <w:rsid w:val="00463AE8"/>
    <w:rsid w:val="00463E32"/>
    <w:rsid w:val="00464EE5"/>
    <w:rsid w:val="004668E5"/>
    <w:rsid w:val="00470C1D"/>
    <w:rsid w:val="0047394E"/>
    <w:rsid w:val="00474324"/>
    <w:rsid w:val="00475104"/>
    <w:rsid w:val="004763C0"/>
    <w:rsid w:val="0047737C"/>
    <w:rsid w:val="0048129C"/>
    <w:rsid w:val="00481388"/>
    <w:rsid w:val="00482878"/>
    <w:rsid w:val="00482947"/>
    <w:rsid w:val="00482ADD"/>
    <w:rsid w:val="004858E3"/>
    <w:rsid w:val="00490A38"/>
    <w:rsid w:val="004910B8"/>
    <w:rsid w:val="004946B5"/>
    <w:rsid w:val="004A0D23"/>
    <w:rsid w:val="004A1DD7"/>
    <w:rsid w:val="004A275B"/>
    <w:rsid w:val="004A67BF"/>
    <w:rsid w:val="004A768D"/>
    <w:rsid w:val="004A78BF"/>
    <w:rsid w:val="004B1B6D"/>
    <w:rsid w:val="004B2062"/>
    <w:rsid w:val="004B2A29"/>
    <w:rsid w:val="004B3A3C"/>
    <w:rsid w:val="004B4779"/>
    <w:rsid w:val="004B504B"/>
    <w:rsid w:val="004C0ACC"/>
    <w:rsid w:val="004C17F7"/>
    <w:rsid w:val="004C509F"/>
    <w:rsid w:val="004C6316"/>
    <w:rsid w:val="004C6C4E"/>
    <w:rsid w:val="004C719C"/>
    <w:rsid w:val="004D1577"/>
    <w:rsid w:val="004D22A3"/>
    <w:rsid w:val="004D30B6"/>
    <w:rsid w:val="004D39F7"/>
    <w:rsid w:val="004D419B"/>
    <w:rsid w:val="004D7960"/>
    <w:rsid w:val="004E18DF"/>
    <w:rsid w:val="004E260C"/>
    <w:rsid w:val="004E3AB8"/>
    <w:rsid w:val="004E58A5"/>
    <w:rsid w:val="004E6B5A"/>
    <w:rsid w:val="004E723E"/>
    <w:rsid w:val="004E7C51"/>
    <w:rsid w:val="004F23BE"/>
    <w:rsid w:val="004F306D"/>
    <w:rsid w:val="004F5EAB"/>
    <w:rsid w:val="004F7380"/>
    <w:rsid w:val="004F7546"/>
    <w:rsid w:val="004F7E9B"/>
    <w:rsid w:val="00500215"/>
    <w:rsid w:val="00500CA8"/>
    <w:rsid w:val="00503E89"/>
    <w:rsid w:val="00504230"/>
    <w:rsid w:val="0050507F"/>
    <w:rsid w:val="005065B3"/>
    <w:rsid w:val="00510991"/>
    <w:rsid w:val="00511167"/>
    <w:rsid w:val="005113DF"/>
    <w:rsid w:val="00515B96"/>
    <w:rsid w:val="0053157F"/>
    <w:rsid w:val="00531AA9"/>
    <w:rsid w:val="00534919"/>
    <w:rsid w:val="00534B9D"/>
    <w:rsid w:val="005358F2"/>
    <w:rsid w:val="00537657"/>
    <w:rsid w:val="005451F9"/>
    <w:rsid w:val="00545428"/>
    <w:rsid w:val="00545558"/>
    <w:rsid w:val="00546E82"/>
    <w:rsid w:val="0054737F"/>
    <w:rsid w:val="005509DC"/>
    <w:rsid w:val="0055115D"/>
    <w:rsid w:val="005519B4"/>
    <w:rsid w:val="00557938"/>
    <w:rsid w:val="00557EBB"/>
    <w:rsid w:val="00563954"/>
    <w:rsid w:val="0056442D"/>
    <w:rsid w:val="00564A48"/>
    <w:rsid w:val="00565D26"/>
    <w:rsid w:val="00567411"/>
    <w:rsid w:val="00570227"/>
    <w:rsid w:val="005733A3"/>
    <w:rsid w:val="00574C7E"/>
    <w:rsid w:val="005778A9"/>
    <w:rsid w:val="00582143"/>
    <w:rsid w:val="0058416F"/>
    <w:rsid w:val="0058419F"/>
    <w:rsid w:val="005857B1"/>
    <w:rsid w:val="0058624C"/>
    <w:rsid w:val="00586BEF"/>
    <w:rsid w:val="00591544"/>
    <w:rsid w:val="00593483"/>
    <w:rsid w:val="00596DD4"/>
    <w:rsid w:val="005970C9"/>
    <w:rsid w:val="005A0B2C"/>
    <w:rsid w:val="005A16CB"/>
    <w:rsid w:val="005A1A40"/>
    <w:rsid w:val="005A351E"/>
    <w:rsid w:val="005A72C9"/>
    <w:rsid w:val="005A74BF"/>
    <w:rsid w:val="005A7FC2"/>
    <w:rsid w:val="005B020F"/>
    <w:rsid w:val="005B13CA"/>
    <w:rsid w:val="005B3667"/>
    <w:rsid w:val="005B5FA5"/>
    <w:rsid w:val="005C0F18"/>
    <w:rsid w:val="005C0F68"/>
    <w:rsid w:val="005C13CA"/>
    <w:rsid w:val="005C1631"/>
    <w:rsid w:val="005C1953"/>
    <w:rsid w:val="005C1B40"/>
    <w:rsid w:val="005C72C7"/>
    <w:rsid w:val="005D05FB"/>
    <w:rsid w:val="005D145D"/>
    <w:rsid w:val="005D4107"/>
    <w:rsid w:val="005E1721"/>
    <w:rsid w:val="005E245D"/>
    <w:rsid w:val="005E524F"/>
    <w:rsid w:val="005E6A84"/>
    <w:rsid w:val="005E6E2F"/>
    <w:rsid w:val="005F049D"/>
    <w:rsid w:val="005F39EA"/>
    <w:rsid w:val="005F3EEC"/>
    <w:rsid w:val="005F3F39"/>
    <w:rsid w:val="00601332"/>
    <w:rsid w:val="006025C9"/>
    <w:rsid w:val="00603669"/>
    <w:rsid w:val="006038F5"/>
    <w:rsid w:val="006049E5"/>
    <w:rsid w:val="0060721E"/>
    <w:rsid w:val="006076D1"/>
    <w:rsid w:val="00611B7A"/>
    <w:rsid w:val="0061496B"/>
    <w:rsid w:val="006163E2"/>
    <w:rsid w:val="00616722"/>
    <w:rsid w:val="00621A51"/>
    <w:rsid w:val="00627845"/>
    <w:rsid w:val="006301D3"/>
    <w:rsid w:val="006303DA"/>
    <w:rsid w:val="0063219F"/>
    <w:rsid w:val="006346EF"/>
    <w:rsid w:val="006356C6"/>
    <w:rsid w:val="00637CF2"/>
    <w:rsid w:val="00640A13"/>
    <w:rsid w:val="0064196C"/>
    <w:rsid w:val="00641E49"/>
    <w:rsid w:val="0064285B"/>
    <w:rsid w:val="00645A13"/>
    <w:rsid w:val="00645BDE"/>
    <w:rsid w:val="00650AF9"/>
    <w:rsid w:val="00651225"/>
    <w:rsid w:val="00651F72"/>
    <w:rsid w:val="00652199"/>
    <w:rsid w:val="006540D5"/>
    <w:rsid w:val="00657BDA"/>
    <w:rsid w:val="006635AA"/>
    <w:rsid w:val="00664888"/>
    <w:rsid w:val="006651C3"/>
    <w:rsid w:val="00671C7B"/>
    <w:rsid w:val="00671D46"/>
    <w:rsid w:val="00675498"/>
    <w:rsid w:val="00677FFC"/>
    <w:rsid w:val="006840CC"/>
    <w:rsid w:val="006845D4"/>
    <w:rsid w:val="00690965"/>
    <w:rsid w:val="00690AE6"/>
    <w:rsid w:val="006910FF"/>
    <w:rsid w:val="00691ABB"/>
    <w:rsid w:val="00694694"/>
    <w:rsid w:val="0069700D"/>
    <w:rsid w:val="006A14C8"/>
    <w:rsid w:val="006A29E2"/>
    <w:rsid w:val="006A413E"/>
    <w:rsid w:val="006B16D0"/>
    <w:rsid w:val="006B1EDB"/>
    <w:rsid w:val="006B3676"/>
    <w:rsid w:val="006B3A1B"/>
    <w:rsid w:val="006B7E8C"/>
    <w:rsid w:val="006C5690"/>
    <w:rsid w:val="006C5A42"/>
    <w:rsid w:val="006C79BD"/>
    <w:rsid w:val="006D15F9"/>
    <w:rsid w:val="006D2623"/>
    <w:rsid w:val="006D291E"/>
    <w:rsid w:val="006D3C3C"/>
    <w:rsid w:val="006D760A"/>
    <w:rsid w:val="006F194C"/>
    <w:rsid w:val="006F1C01"/>
    <w:rsid w:val="006F26EB"/>
    <w:rsid w:val="006F3753"/>
    <w:rsid w:val="006F3AB5"/>
    <w:rsid w:val="006F5A46"/>
    <w:rsid w:val="006F6E3C"/>
    <w:rsid w:val="006F7863"/>
    <w:rsid w:val="007045B2"/>
    <w:rsid w:val="00707039"/>
    <w:rsid w:val="00707E10"/>
    <w:rsid w:val="00707F4F"/>
    <w:rsid w:val="00710B7B"/>
    <w:rsid w:val="00712DFC"/>
    <w:rsid w:val="0071443B"/>
    <w:rsid w:val="00715E0B"/>
    <w:rsid w:val="00717241"/>
    <w:rsid w:val="00721B8A"/>
    <w:rsid w:val="0072414C"/>
    <w:rsid w:val="00727613"/>
    <w:rsid w:val="00727DFD"/>
    <w:rsid w:val="0073176A"/>
    <w:rsid w:val="00732D4F"/>
    <w:rsid w:val="0073597B"/>
    <w:rsid w:val="007403EF"/>
    <w:rsid w:val="007427C4"/>
    <w:rsid w:val="007436A8"/>
    <w:rsid w:val="00746F03"/>
    <w:rsid w:val="0075000C"/>
    <w:rsid w:val="007503F8"/>
    <w:rsid w:val="00751C1F"/>
    <w:rsid w:val="00754368"/>
    <w:rsid w:val="00755616"/>
    <w:rsid w:val="0075565C"/>
    <w:rsid w:val="0075642C"/>
    <w:rsid w:val="00760C7D"/>
    <w:rsid w:val="00760E4C"/>
    <w:rsid w:val="00761C39"/>
    <w:rsid w:val="00761D0A"/>
    <w:rsid w:val="00762BD4"/>
    <w:rsid w:val="00763130"/>
    <w:rsid w:val="00763E0B"/>
    <w:rsid w:val="00765704"/>
    <w:rsid w:val="0076743E"/>
    <w:rsid w:val="00772A16"/>
    <w:rsid w:val="00781C5A"/>
    <w:rsid w:val="007827EB"/>
    <w:rsid w:val="00783753"/>
    <w:rsid w:val="00784FCC"/>
    <w:rsid w:val="00785306"/>
    <w:rsid w:val="00785970"/>
    <w:rsid w:val="00785E09"/>
    <w:rsid w:val="00786C63"/>
    <w:rsid w:val="00790507"/>
    <w:rsid w:val="0079060C"/>
    <w:rsid w:val="007912BB"/>
    <w:rsid w:val="00791D73"/>
    <w:rsid w:val="0079248C"/>
    <w:rsid w:val="00792FD2"/>
    <w:rsid w:val="0079310B"/>
    <w:rsid w:val="007A0A5E"/>
    <w:rsid w:val="007A1446"/>
    <w:rsid w:val="007A4044"/>
    <w:rsid w:val="007A510D"/>
    <w:rsid w:val="007A5AC8"/>
    <w:rsid w:val="007A6AB6"/>
    <w:rsid w:val="007B28EB"/>
    <w:rsid w:val="007B4187"/>
    <w:rsid w:val="007B6D80"/>
    <w:rsid w:val="007C135C"/>
    <w:rsid w:val="007C1454"/>
    <w:rsid w:val="007C1529"/>
    <w:rsid w:val="007C26CE"/>
    <w:rsid w:val="007C5E21"/>
    <w:rsid w:val="007C71AA"/>
    <w:rsid w:val="007D206E"/>
    <w:rsid w:val="007D4FFD"/>
    <w:rsid w:val="007D72FE"/>
    <w:rsid w:val="007E0BCA"/>
    <w:rsid w:val="007E4E12"/>
    <w:rsid w:val="007E6CED"/>
    <w:rsid w:val="007E6FCB"/>
    <w:rsid w:val="007E7F04"/>
    <w:rsid w:val="007F0BD3"/>
    <w:rsid w:val="007F21B8"/>
    <w:rsid w:val="007F2D24"/>
    <w:rsid w:val="007F3089"/>
    <w:rsid w:val="007F36A9"/>
    <w:rsid w:val="007F7DA5"/>
    <w:rsid w:val="00800EF5"/>
    <w:rsid w:val="00802566"/>
    <w:rsid w:val="0080519E"/>
    <w:rsid w:val="008060DF"/>
    <w:rsid w:val="00811968"/>
    <w:rsid w:val="00811983"/>
    <w:rsid w:val="00811EB9"/>
    <w:rsid w:val="0081307D"/>
    <w:rsid w:val="00814FA0"/>
    <w:rsid w:val="00821A5E"/>
    <w:rsid w:val="008245C0"/>
    <w:rsid w:val="00826B65"/>
    <w:rsid w:val="00827B24"/>
    <w:rsid w:val="0083272B"/>
    <w:rsid w:val="00834A0C"/>
    <w:rsid w:val="008355C5"/>
    <w:rsid w:val="00835851"/>
    <w:rsid w:val="0083657F"/>
    <w:rsid w:val="0083773E"/>
    <w:rsid w:val="00840AA2"/>
    <w:rsid w:val="00840C20"/>
    <w:rsid w:val="0084205A"/>
    <w:rsid w:val="008426DC"/>
    <w:rsid w:val="00843348"/>
    <w:rsid w:val="00843C2C"/>
    <w:rsid w:val="008449EF"/>
    <w:rsid w:val="00845A9E"/>
    <w:rsid w:val="00847789"/>
    <w:rsid w:val="0085052A"/>
    <w:rsid w:val="00851155"/>
    <w:rsid w:val="00852ADA"/>
    <w:rsid w:val="008536DF"/>
    <w:rsid w:val="00853DF8"/>
    <w:rsid w:val="008556D7"/>
    <w:rsid w:val="00856DA7"/>
    <w:rsid w:val="00857634"/>
    <w:rsid w:val="00857DE6"/>
    <w:rsid w:val="00861864"/>
    <w:rsid w:val="00863987"/>
    <w:rsid w:val="00863993"/>
    <w:rsid w:val="00866DB1"/>
    <w:rsid w:val="00867EA2"/>
    <w:rsid w:val="00870054"/>
    <w:rsid w:val="00873246"/>
    <w:rsid w:val="00874FFA"/>
    <w:rsid w:val="00877A33"/>
    <w:rsid w:val="00877D29"/>
    <w:rsid w:val="00881B42"/>
    <w:rsid w:val="008835ED"/>
    <w:rsid w:val="00884DF5"/>
    <w:rsid w:val="00886152"/>
    <w:rsid w:val="008867A2"/>
    <w:rsid w:val="00886F7B"/>
    <w:rsid w:val="00890429"/>
    <w:rsid w:val="00892FE5"/>
    <w:rsid w:val="00893E26"/>
    <w:rsid w:val="00895CDE"/>
    <w:rsid w:val="008979B8"/>
    <w:rsid w:val="008A217E"/>
    <w:rsid w:val="008A3897"/>
    <w:rsid w:val="008A4BAC"/>
    <w:rsid w:val="008B0891"/>
    <w:rsid w:val="008B0AA0"/>
    <w:rsid w:val="008B261D"/>
    <w:rsid w:val="008B519A"/>
    <w:rsid w:val="008B7F42"/>
    <w:rsid w:val="008C0149"/>
    <w:rsid w:val="008C24D0"/>
    <w:rsid w:val="008C251E"/>
    <w:rsid w:val="008C4D77"/>
    <w:rsid w:val="008C73ED"/>
    <w:rsid w:val="008C7867"/>
    <w:rsid w:val="008D0858"/>
    <w:rsid w:val="008D1A4E"/>
    <w:rsid w:val="008D2199"/>
    <w:rsid w:val="008D421C"/>
    <w:rsid w:val="008D4F69"/>
    <w:rsid w:val="008D5294"/>
    <w:rsid w:val="008D645F"/>
    <w:rsid w:val="008D68E7"/>
    <w:rsid w:val="008D7818"/>
    <w:rsid w:val="008E0551"/>
    <w:rsid w:val="008E1644"/>
    <w:rsid w:val="008E3FEB"/>
    <w:rsid w:val="008E48DB"/>
    <w:rsid w:val="008E5DDA"/>
    <w:rsid w:val="008E7B40"/>
    <w:rsid w:val="008F1E1B"/>
    <w:rsid w:val="008F2DBF"/>
    <w:rsid w:val="008F4F00"/>
    <w:rsid w:val="008F6810"/>
    <w:rsid w:val="008F7970"/>
    <w:rsid w:val="009026C1"/>
    <w:rsid w:val="00902CE4"/>
    <w:rsid w:val="009032D1"/>
    <w:rsid w:val="00903B7C"/>
    <w:rsid w:val="0090766C"/>
    <w:rsid w:val="00914F70"/>
    <w:rsid w:val="00915337"/>
    <w:rsid w:val="00921755"/>
    <w:rsid w:val="0092220E"/>
    <w:rsid w:val="00926E5B"/>
    <w:rsid w:val="0092706C"/>
    <w:rsid w:val="00927918"/>
    <w:rsid w:val="00927B86"/>
    <w:rsid w:val="00932D5B"/>
    <w:rsid w:val="009341E6"/>
    <w:rsid w:val="009348F3"/>
    <w:rsid w:val="0093650A"/>
    <w:rsid w:val="009366B3"/>
    <w:rsid w:val="00937D7D"/>
    <w:rsid w:val="00937E20"/>
    <w:rsid w:val="00937F9B"/>
    <w:rsid w:val="009403BC"/>
    <w:rsid w:val="00940675"/>
    <w:rsid w:val="0094248D"/>
    <w:rsid w:val="00944149"/>
    <w:rsid w:val="0094506F"/>
    <w:rsid w:val="0095182C"/>
    <w:rsid w:val="00954B40"/>
    <w:rsid w:val="0095671A"/>
    <w:rsid w:val="009618F8"/>
    <w:rsid w:val="00963B25"/>
    <w:rsid w:val="00963BCF"/>
    <w:rsid w:val="00966999"/>
    <w:rsid w:val="00967A2A"/>
    <w:rsid w:val="00971CFC"/>
    <w:rsid w:val="0097234A"/>
    <w:rsid w:val="0097457D"/>
    <w:rsid w:val="0097475C"/>
    <w:rsid w:val="0097674B"/>
    <w:rsid w:val="00986D0A"/>
    <w:rsid w:val="00987283"/>
    <w:rsid w:val="00990A46"/>
    <w:rsid w:val="00992BDE"/>
    <w:rsid w:val="0099469E"/>
    <w:rsid w:val="00995AE4"/>
    <w:rsid w:val="00996B0D"/>
    <w:rsid w:val="00997E2C"/>
    <w:rsid w:val="009A10F5"/>
    <w:rsid w:val="009A1B05"/>
    <w:rsid w:val="009A287C"/>
    <w:rsid w:val="009A476B"/>
    <w:rsid w:val="009B057A"/>
    <w:rsid w:val="009B06BA"/>
    <w:rsid w:val="009B0997"/>
    <w:rsid w:val="009B174D"/>
    <w:rsid w:val="009B36F4"/>
    <w:rsid w:val="009B4896"/>
    <w:rsid w:val="009B7477"/>
    <w:rsid w:val="009B75D7"/>
    <w:rsid w:val="009C1674"/>
    <w:rsid w:val="009C2D73"/>
    <w:rsid w:val="009C50CA"/>
    <w:rsid w:val="009C6321"/>
    <w:rsid w:val="009D2E65"/>
    <w:rsid w:val="009D3F8B"/>
    <w:rsid w:val="009D750C"/>
    <w:rsid w:val="009D7E08"/>
    <w:rsid w:val="009E134C"/>
    <w:rsid w:val="009E3AD4"/>
    <w:rsid w:val="009E65B6"/>
    <w:rsid w:val="009E78F7"/>
    <w:rsid w:val="009F4C49"/>
    <w:rsid w:val="009F6C6F"/>
    <w:rsid w:val="00A018E9"/>
    <w:rsid w:val="00A031C9"/>
    <w:rsid w:val="00A04CC1"/>
    <w:rsid w:val="00A11877"/>
    <w:rsid w:val="00A132BD"/>
    <w:rsid w:val="00A15908"/>
    <w:rsid w:val="00A22925"/>
    <w:rsid w:val="00A2597C"/>
    <w:rsid w:val="00A30452"/>
    <w:rsid w:val="00A30CBB"/>
    <w:rsid w:val="00A30E50"/>
    <w:rsid w:val="00A32E87"/>
    <w:rsid w:val="00A33B13"/>
    <w:rsid w:val="00A341DC"/>
    <w:rsid w:val="00A37D90"/>
    <w:rsid w:val="00A42807"/>
    <w:rsid w:val="00A43133"/>
    <w:rsid w:val="00A45066"/>
    <w:rsid w:val="00A45D97"/>
    <w:rsid w:val="00A46CFF"/>
    <w:rsid w:val="00A52058"/>
    <w:rsid w:val="00A546D3"/>
    <w:rsid w:val="00A567CD"/>
    <w:rsid w:val="00A56E51"/>
    <w:rsid w:val="00A60727"/>
    <w:rsid w:val="00A61469"/>
    <w:rsid w:val="00A66069"/>
    <w:rsid w:val="00A663B7"/>
    <w:rsid w:val="00A7172A"/>
    <w:rsid w:val="00A730F6"/>
    <w:rsid w:val="00A74D3B"/>
    <w:rsid w:val="00A76344"/>
    <w:rsid w:val="00A77486"/>
    <w:rsid w:val="00A81110"/>
    <w:rsid w:val="00A82B17"/>
    <w:rsid w:val="00A833D0"/>
    <w:rsid w:val="00A84E6B"/>
    <w:rsid w:val="00A86121"/>
    <w:rsid w:val="00A9265A"/>
    <w:rsid w:val="00A93E7F"/>
    <w:rsid w:val="00A94BBB"/>
    <w:rsid w:val="00A978AD"/>
    <w:rsid w:val="00AA140B"/>
    <w:rsid w:val="00AA1FF6"/>
    <w:rsid w:val="00AA425E"/>
    <w:rsid w:val="00AA509E"/>
    <w:rsid w:val="00AA520D"/>
    <w:rsid w:val="00AB71F3"/>
    <w:rsid w:val="00AC1DA2"/>
    <w:rsid w:val="00AC214C"/>
    <w:rsid w:val="00AC2381"/>
    <w:rsid w:val="00AC36DD"/>
    <w:rsid w:val="00AC3A30"/>
    <w:rsid w:val="00AC623F"/>
    <w:rsid w:val="00AD08CD"/>
    <w:rsid w:val="00AD439C"/>
    <w:rsid w:val="00AD4953"/>
    <w:rsid w:val="00AD6040"/>
    <w:rsid w:val="00AE2062"/>
    <w:rsid w:val="00AE31E3"/>
    <w:rsid w:val="00AE346A"/>
    <w:rsid w:val="00AE552E"/>
    <w:rsid w:val="00AE5C7C"/>
    <w:rsid w:val="00AE665C"/>
    <w:rsid w:val="00AE791F"/>
    <w:rsid w:val="00AF28A3"/>
    <w:rsid w:val="00AF69F4"/>
    <w:rsid w:val="00B02632"/>
    <w:rsid w:val="00B02B7F"/>
    <w:rsid w:val="00B02C24"/>
    <w:rsid w:val="00B0653B"/>
    <w:rsid w:val="00B07873"/>
    <w:rsid w:val="00B160B2"/>
    <w:rsid w:val="00B17D31"/>
    <w:rsid w:val="00B21C23"/>
    <w:rsid w:val="00B21FDB"/>
    <w:rsid w:val="00B22D5D"/>
    <w:rsid w:val="00B2440E"/>
    <w:rsid w:val="00B24B08"/>
    <w:rsid w:val="00B25409"/>
    <w:rsid w:val="00B2718E"/>
    <w:rsid w:val="00B3015F"/>
    <w:rsid w:val="00B30A3E"/>
    <w:rsid w:val="00B32C0F"/>
    <w:rsid w:val="00B346C7"/>
    <w:rsid w:val="00B34ECD"/>
    <w:rsid w:val="00B35C1B"/>
    <w:rsid w:val="00B36A20"/>
    <w:rsid w:val="00B37892"/>
    <w:rsid w:val="00B401A1"/>
    <w:rsid w:val="00B411FD"/>
    <w:rsid w:val="00B43AF6"/>
    <w:rsid w:val="00B46911"/>
    <w:rsid w:val="00B51A1B"/>
    <w:rsid w:val="00B551BE"/>
    <w:rsid w:val="00B561B4"/>
    <w:rsid w:val="00B57CDE"/>
    <w:rsid w:val="00B57ECC"/>
    <w:rsid w:val="00B600D7"/>
    <w:rsid w:val="00B60F07"/>
    <w:rsid w:val="00B61E8B"/>
    <w:rsid w:val="00B63EE6"/>
    <w:rsid w:val="00B65AC5"/>
    <w:rsid w:val="00B6684D"/>
    <w:rsid w:val="00B76347"/>
    <w:rsid w:val="00B775EF"/>
    <w:rsid w:val="00B80CC2"/>
    <w:rsid w:val="00B80E47"/>
    <w:rsid w:val="00B87F6E"/>
    <w:rsid w:val="00B90614"/>
    <w:rsid w:val="00B9254C"/>
    <w:rsid w:val="00B93A64"/>
    <w:rsid w:val="00BA06E3"/>
    <w:rsid w:val="00BA0CF1"/>
    <w:rsid w:val="00BA5EDE"/>
    <w:rsid w:val="00BA678C"/>
    <w:rsid w:val="00BB078B"/>
    <w:rsid w:val="00BB1A2A"/>
    <w:rsid w:val="00BB43BD"/>
    <w:rsid w:val="00BB4519"/>
    <w:rsid w:val="00BB5ADC"/>
    <w:rsid w:val="00BB60B2"/>
    <w:rsid w:val="00BB751D"/>
    <w:rsid w:val="00BC03D0"/>
    <w:rsid w:val="00BC0EF2"/>
    <w:rsid w:val="00BC4700"/>
    <w:rsid w:val="00BC4A89"/>
    <w:rsid w:val="00BC6B4B"/>
    <w:rsid w:val="00BC7BF6"/>
    <w:rsid w:val="00BD138D"/>
    <w:rsid w:val="00BD3C6D"/>
    <w:rsid w:val="00BD46CE"/>
    <w:rsid w:val="00BD5B09"/>
    <w:rsid w:val="00BE2A1B"/>
    <w:rsid w:val="00BE5F3C"/>
    <w:rsid w:val="00BE6505"/>
    <w:rsid w:val="00BE6F30"/>
    <w:rsid w:val="00BF0518"/>
    <w:rsid w:val="00BF0ADA"/>
    <w:rsid w:val="00BF2497"/>
    <w:rsid w:val="00BF6DAB"/>
    <w:rsid w:val="00BF7F88"/>
    <w:rsid w:val="00C01AAC"/>
    <w:rsid w:val="00C066A9"/>
    <w:rsid w:val="00C1086A"/>
    <w:rsid w:val="00C11205"/>
    <w:rsid w:val="00C15B86"/>
    <w:rsid w:val="00C1604E"/>
    <w:rsid w:val="00C160DC"/>
    <w:rsid w:val="00C202B9"/>
    <w:rsid w:val="00C21335"/>
    <w:rsid w:val="00C2714C"/>
    <w:rsid w:val="00C31DC3"/>
    <w:rsid w:val="00C33635"/>
    <w:rsid w:val="00C37186"/>
    <w:rsid w:val="00C37636"/>
    <w:rsid w:val="00C408CE"/>
    <w:rsid w:val="00C42F86"/>
    <w:rsid w:val="00C45ED2"/>
    <w:rsid w:val="00C46C39"/>
    <w:rsid w:val="00C47781"/>
    <w:rsid w:val="00C53082"/>
    <w:rsid w:val="00C5353F"/>
    <w:rsid w:val="00C53DFC"/>
    <w:rsid w:val="00C56F10"/>
    <w:rsid w:val="00C571A3"/>
    <w:rsid w:val="00C60444"/>
    <w:rsid w:val="00C62F2E"/>
    <w:rsid w:val="00C6351D"/>
    <w:rsid w:val="00C635FD"/>
    <w:rsid w:val="00C643BD"/>
    <w:rsid w:val="00C65335"/>
    <w:rsid w:val="00C65847"/>
    <w:rsid w:val="00C66B7A"/>
    <w:rsid w:val="00C7318E"/>
    <w:rsid w:val="00C73DD0"/>
    <w:rsid w:val="00C7524C"/>
    <w:rsid w:val="00C75C35"/>
    <w:rsid w:val="00C779B7"/>
    <w:rsid w:val="00C8126F"/>
    <w:rsid w:val="00C831B2"/>
    <w:rsid w:val="00C83A31"/>
    <w:rsid w:val="00C86B97"/>
    <w:rsid w:val="00C901B3"/>
    <w:rsid w:val="00C91200"/>
    <w:rsid w:val="00C9142D"/>
    <w:rsid w:val="00C94763"/>
    <w:rsid w:val="00C9597F"/>
    <w:rsid w:val="00CA2EBA"/>
    <w:rsid w:val="00CA452E"/>
    <w:rsid w:val="00CA4F95"/>
    <w:rsid w:val="00CA63B8"/>
    <w:rsid w:val="00CB329A"/>
    <w:rsid w:val="00CB3763"/>
    <w:rsid w:val="00CB5654"/>
    <w:rsid w:val="00CB7C22"/>
    <w:rsid w:val="00CB7E6E"/>
    <w:rsid w:val="00CC02F3"/>
    <w:rsid w:val="00CC6B42"/>
    <w:rsid w:val="00CD31B1"/>
    <w:rsid w:val="00CD4FE6"/>
    <w:rsid w:val="00CD5577"/>
    <w:rsid w:val="00CD5869"/>
    <w:rsid w:val="00CE1960"/>
    <w:rsid w:val="00CE1E69"/>
    <w:rsid w:val="00CE29DD"/>
    <w:rsid w:val="00CE36CA"/>
    <w:rsid w:val="00CE5DD8"/>
    <w:rsid w:val="00CF00E4"/>
    <w:rsid w:val="00CF22F1"/>
    <w:rsid w:val="00CF5479"/>
    <w:rsid w:val="00CF5C4B"/>
    <w:rsid w:val="00D027DB"/>
    <w:rsid w:val="00D0300C"/>
    <w:rsid w:val="00D03F60"/>
    <w:rsid w:val="00D14593"/>
    <w:rsid w:val="00D15D3E"/>
    <w:rsid w:val="00D16770"/>
    <w:rsid w:val="00D21F3A"/>
    <w:rsid w:val="00D22ACD"/>
    <w:rsid w:val="00D27E2B"/>
    <w:rsid w:val="00D303EE"/>
    <w:rsid w:val="00D30911"/>
    <w:rsid w:val="00D3348D"/>
    <w:rsid w:val="00D3698E"/>
    <w:rsid w:val="00D37AE5"/>
    <w:rsid w:val="00D40AB1"/>
    <w:rsid w:val="00D41D28"/>
    <w:rsid w:val="00D42E53"/>
    <w:rsid w:val="00D54712"/>
    <w:rsid w:val="00D55011"/>
    <w:rsid w:val="00D572B9"/>
    <w:rsid w:val="00D639DF"/>
    <w:rsid w:val="00D64B17"/>
    <w:rsid w:val="00D71787"/>
    <w:rsid w:val="00D719E4"/>
    <w:rsid w:val="00D72F0F"/>
    <w:rsid w:val="00D74892"/>
    <w:rsid w:val="00D75E02"/>
    <w:rsid w:val="00D7733E"/>
    <w:rsid w:val="00D774AD"/>
    <w:rsid w:val="00D81F0A"/>
    <w:rsid w:val="00D83450"/>
    <w:rsid w:val="00D843EF"/>
    <w:rsid w:val="00D862E2"/>
    <w:rsid w:val="00D86912"/>
    <w:rsid w:val="00D91C07"/>
    <w:rsid w:val="00D91CC0"/>
    <w:rsid w:val="00D97149"/>
    <w:rsid w:val="00DA0F62"/>
    <w:rsid w:val="00DA2682"/>
    <w:rsid w:val="00DA303C"/>
    <w:rsid w:val="00DA44E8"/>
    <w:rsid w:val="00DA7656"/>
    <w:rsid w:val="00DB045D"/>
    <w:rsid w:val="00DB0CE6"/>
    <w:rsid w:val="00DB5A70"/>
    <w:rsid w:val="00DB6DED"/>
    <w:rsid w:val="00DC1782"/>
    <w:rsid w:val="00DC1D40"/>
    <w:rsid w:val="00DC2416"/>
    <w:rsid w:val="00DC29FB"/>
    <w:rsid w:val="00DC3D10"/>
    <w:rsid w:val="00DC6291"/>
    <w:rsid w:val="00DD08BE"/>
    <w:rsid w:val="00DD14EA"/>
    <w:rsid w:val="00DD23A7"/>
    <w:rsid w:val="00DD3533"/>
    <w:rsid w:val="00DD3925"/>
    <w:rsid w:val="00DD39DC"/>
    <w:rsid w:val="00DD56D9"/>
    <w:rsid w:val="00DD5F45"/>
    <w:rsid w:val="00DE2D1E"/>
    <w:rsid w:val="00DE2F79"/>
    <w:rsid w:val="00DE39A9"/>
    <w:rsid w:val="00DE5A39"/>
    <w:rsid w:val="00DE72E0"/>
    <w:rsid w:val="00DF343F"/>
    <w:rsid w:val="00DF3FB5"/>
    <w:rsid w:val="00DF44C1"/>
    <w:rsid w:val="00DF60EE"/>
    <w:rsid w:val="00DF633F"/>
    <w:rsid w:val="00DF7E5E"/>
    <w:rsid w:val="00E06D57"/>
    <w:rsid w:val="00E074F3"/>
    <w:rsid w:val="00E0790F"/>
    <w:rsid w:val="00E11B3A"/>
    <w:rsid w:val="00E13BF3"/>
    <w:rsid w:val="00E15061"/>
    <w:rsid w:val="00E154FE"/>
    <w:rsid w:val="00E23185"/>
    <w:rsid w:val="00E262E4"/>
    <w:rsid w:val="00E26AE2"/>
    <w:rsid w:val="00E276B2"/>
    <w:rsid w:val="00E34F5F"/>
    <w:rsid w:val="00E35AFB"/>
    <w:rsid w:val="00E44263"/>
    <w:rsid w:val="00E445B8"/>
    <w:rsid w:val="00E44935"/>
    <w:rsid w:val="00E4666E"/>
    <w:rsid w:val="00E50A85"/>
    <w:rsid w:val="00E50DEC"/>
    <w:rsid w:val="00E513B6"/>
    <w:rsid w:val="00E53087"/>
    <w:rsid w:val="00E553DE"/>
    <w:rsid w:val="00E5644A"/>
    <w:rsid w:val="00E56CBB"/>
    <w:rsid w:val="00E574DF"/>
    <w:rsid w:val="00E608B4"/>
    <w:rsid w:val="00E60D47"/>
    <w:rsid w:val="00E61D48"/>
    <w:rsid w:val="00E62247"/>
    <w:rsid w:val="00E63D7E"/>
    <w:rsid w:val="00E64EF7"/>
    <w:rsid w:val="00E6768F"/>
    <w:rsid w:val="00E71792"/>
    <w:rsid w:val="00E75B82"/>
    <w:rsid w:val="00E76081"/>
    <w:rsid w:val="00E7754B"/>
    <w:rsid w:val="00E832FE"/>
    <w:rsid w:val="00E8475F"/>
    <w:rsid w:val="00E84C4E"/>
    <w:rsid w:val="00E85174"/>
    <w:rsid w:val="00E85AF1"/>
    <w:rsid w:val="00E871AB"/>
    <w:rsid w:val="00E877AA"/>
    <w:rsid w:val="00E878E6"/>
    <w:rsid w:val="00E908C1"/>
    <w:rsid w:val="00E9164B"/>
    <w:rsid w:val="00E922A1"/>
    <w:rsid w:val="00E9314D"/>
    <w:rsid w:val="00E937E6"/>
    <w:rsid w:val="00E958C3"/>
    <w:rsid w:val="00E96340"/>
    <w:rsid w:val="00E968CA"/>
    <w:rsid w:val="00EA1831"/>
    <w:rsid w:val="00EA2617"/>
    <w:rsid w:val="00EA2676"/>
    <w:rsid w:val="00EA2825"/>
    <w:rsid w:val="00EA29AB"/>
    <w:rsid w:val="00EB14CA"/>
    <w:rsid w:val="00EB2601"/>
    <w:rsid w:val="00EB589F"/>
    <w:rsid w:val="00EB709F"/>
    <w:rsid w:val="00EB7220"/>
    <w:rsid w:val="00EC09DF"/>
    <w:rsid w:val="00EC11D5"/>
    <w:rsid w:val="00EC32AD"/>
    <w:rsid w:val="00EC46C5"/>
    <w:rsid w:val="00EC544C"/>
    <w:rsid w:val="00EC7140"/>
    <w:rsid w:val="00ED0E0B"/>
    <w:rsid w:val="00ED2372"/>
    <w:rsid w:val="00EE00DF"/>
    <w:rsid w:val="00EE19A7"/>
    <w:rsid w:val="00EE1EF9"/>
    <w:rsid w:val="00EE2E59"/>
    <w:rsid w:val="00EE73CB"/>
    <w:rsid w:val="00EF00B1"/>
    <w:rsid w:val="00EF07BA"/>
    <w:rsid w:val="00EF2D0B"/>
    <w:rsid w:val="00EF53D5"/>
    <w:rsid w:val="00EF7E74"/>
    <w:rsid w:val="00F12BC5"/>
    <w:rsid w:val="00F130F8"/>
    <w:rsid w:val="00F166EF"/>
    <w:rsid w:val="00F16866"/>
    <w:rsid w:val="00F2064D"/>
    <w:rsid w:val="00F218CF"/>
    <w:rsid w:val="00F248F0"/>
    <w:rsid w:val="00F30B2F"/>
    <w:rsid w:val="00F323BF"/>
    <w:rsid w:val="00F3493F"/>
    <w:rsid w:val="00F34A00"/>
    <w:rsid w:val="00F34C7A"/>
    <w:rsid w:val="00F3602A"/>
    <w:rsid w:val="00F37DD6"/>
    <w:rsid w:val="00F42A67"/>
    <w:rsid w:val="00F43FED"/>
    <w:rsid w:val="00F442EA"/>
    <w:rsid w:val="00F44734"/>
    <w:rsid w:val="00F45561"/>
    <w:rsid w:val="00F4664B"/>
    <w:rsid w:val="00F4683C"/>
    <w:rsid w:val="00F46EA7"/>
    <w:rsid w:val="00F50264"/>
    <w:rsid w:val="00F5161F"/>
    <w:rsid w:val="00F51AF3"/>
    <w:rsid w:val="00F537AB"/>
    <w:rsid w:val="00F53921"/>
    <w:rsid w:val="00F54635"/>
    <w:rsid w:val="00F56B59"/>
    <w:rsid w:val="00F56B5F"/>
    <w:rsid w:val="00F60312"/>
    <w:rsid w:val="00F60E10"/>
    <w:rsid w:val="00F62BB3"/>
    <w:rsid w:val="00F62F9F"/>
    <w:rsid w:val="00F6736A"/>
    <w:rsid w:val="00F674F2"/>
    <w:rsid w:val="00F67E3D"/>
    <w:rsid w:val="00F70515"/>
    <w:rsid w:val="00F71625"/>
    <w:rsid w:val="00F738CB"/>
    <w:rsid w:val="00F7585E"/>
    <w:rsid w:val="00F773C3"/>
    <w:rsid w:val="00F82446"/>
    <w:rsid w:val="00F832F2"/>
    <w:rsid w:val="00FA1E8B"/>
    <w:rsid w:val="00FA2F10"/>
    <w:rsid w:val="00FA31B3"/>
    <w:rsid w:val="00FA5A53"/>
    <w:rsid w:val="00FB0D24"/>
    <w:rsid w:val="00FB1434"/>
    <w:rsid w:val="00FB208A"/>
    <w:rsid w:val="00FB232E"/>
    <w:rsid w:val="00FB32A5"/>
    <w:rsid w:val="00FB4BAE"/>
    <w:rsid w:val="00FB4DAD"/>
    <w:rsid w:val="00FC04D6"/>
    <w:rsid w:val="00FC44BA"/>
    <w:rsid w:val="00FC6FB6"/>
    <w:rsid w:val="00FC74FB"/>
    <w:rsid w:val="00FC762B"/>
    <w:rsid w:val="00FC7FFD"/>
    <w:rsid w:val="00FD4A9E"/>
    <w:rsid w:val="00FD6965"/>
    <w:rsid w:val="00FE12D0"/>
    <w:rsid w:val="00FE251B"/>
    <w:rsid w:val="00FE44AD"/>
    <w:rsid w:val="00FE48AE"/>
    <w:rsid w:val="00FE5F32"/>
    <w:rsid w:val="00FE70AE"/>
    <w:rsid w:val="00FF0831"/>
    <w:rsid w:val="00FF0BB3"/>
    <w:rsid w:val="00FF441D"/>
    <w:rsid w:val="00FF4C29"/>
    <w:rsid w:val="00FF54C0"/>
    <w:rsid w:val="00FF7A61"/>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EF"/>
    <w:pPr>
      <w:jc w:val="center"/>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uiPriority w:val="99"/>
    <w:rsid w:val="006346EF"/>
    <w:pPr>
      <w:ind w:left="720"/>
      <w:contextualSpacing/>
    </w:pPr>
  </w:style>
  <w:style w:type="paragraph" w:customStyle="1" w:styleId="cizgiliiiiiiiiiii">
    <w:name w:val="cizgiliiiiiiiiiii"/>
    <w:basedOn w:val="Normal"/>
    <w:next w:val="Normal"/>
    <w:uiPriority w:val="99"/>
    <w:rsid w:val="006346EF"/>
    <w:pPr>
      <w:keepNext/>
      <w:widowControl w:val="0"/>
      <w:pBdr>
        <w:bottom w:val="single" w:sz="6" w:space="4" w:color="000000"/>
      </w:pBdr>
      <w:tabs>
        <w:tab w:val="left" w:pos="420"/>
      </w:tabs>
      <w:suppressAutoHyphens/>
      <w:autoSpaceDE w:val="0"/>
      <w:autoSpaceDN w:val="0"/>
      <w:adjustRightInd w:val="0"/>
      <w:spacing w:after="227" w:line="280" w:lineRule="atLeast"/>
      <w:jc w:val="left"/>
      <w:textAlignment w:val="center"/>
    </w:pPr>
    <w:rPr>
      <w:rFonts w:ascii="Arial-BoldMT" w:hAnsi="Arial-BoldMT" w:cs="Arial-BoldMT"/>
      <w:b/>
      <w:bCs/>
      <w:color w:val="000000"/>
      <w:sz w:val="24"/>
      <w:szCs w:val="24"/>
    </w:rPr>
  </w:style>
  <w:style w:type="paragraph" w:styleId="Footer">
    <w:name w:val="footer"/>
    <w:basedOn w:val="Normal"/>
    <w:link w:val="FooterChar"/>
    <w:uiPriority w:val="99"/>
    <w:rsid w:val="006346EF"/>
    <w:pPr>
      <w:tabs>
        <w:tab w:val="center" w:pos="4536"/>
        <w:tab w:val="right" w:pos="9072"/>
      </w:tabs>
    </w:pPr>
  </w:style>
  <w:style w:type="character" w:customStyle="1" w:styleId="FooterChar">
    <w:name w:val="Footer Char"/>
    <w:basedOn w:val="DefaultParagraphFont"/>
    <w:link w:val="Footer"/>
    <w:uiPriority w:val="99"/>
    <w:locked/>
    <w:rsid w:val="00113B71"/>
    <w:rPr>
      <w:rFonts w:ascii="Calibri" w:hAnsi="Calibri"/>
      <w:sz w:val="22"/>
      <w:lang w:eastAsia="en-US"/>
    </w:rPr>
  </w:style>
  <w:style w:type="character" w:styleId="PageNumber">
    <w:name w:val="page number"/>
    <w:basedOn w:val="DefaultParagraphFont"/>
    <w:uiPriority w:val="99"/>
    <w:rsid w:val="006346EF"/>
    <w:rPr>
      <w:rFonts w:cs="Times New Roman"/>
    </w:rPr>
  </w:style>
  <w:style w:type="paragraph" w:styleId="Header">
    <w:name w:val="header"/>
    <w:basedOn w:val="Normal"/>
    <w:link w:val="HeaderChar"/>
    <w:uiPriority w:val="99"/>
    <w:rsid w:val="00113B71"/>
    <w:pPr>
      <w:tabs>
        <w:tab w:val="center" w:pos="4536"/>
        <w:tab w:val="right" w:pos="9072"/>
      </w:tabs>
    </w:pPr>
  </w:style>
  <w:style w:type="character" w:customStyle="1" w:styleId="HeaderChar">
    <w:name w:val="Header Char"/>
    <w:basedOn w:val="DefaultParagraphFont"/>
    <w:link w:val="Header"/>
    <w:uiPriority w:val="99"/>
    <w:locked/>
    <w:rsid w:val="00113B71"/>
    <w:rPr>
      <w:rFonts w:ascii="Calibri" w:hAnsi="Calibri"/>
      <w:sz w:val="22"/>
      <w:lang w:eastAsia="en-US"/>
    </w:rPr>
  </w:style>
  <w:style w:type="paragraph" w:styleId="BalloonText">
    <w:name w:val="Balloon Text"/>
    <w:basedOn w:val="Normal"/>
    <w:link w:val="BalloonTextChar"/>
    <w:uiPriority w:val="99"/>
    <w:rsid w:val="00B6684D"/>
    <w:rPr>
      <w:rFonts w:ascii="Tahoma" w:hAnsi="Tahoma"/>
      <w:sz w:val="16"/>
      <w:szCs w:val="16"/>
    </w:rPr>
  </w:style>
  <w:style w:type="character" w:customStyle="1" w:styleId="BalloonTextChar">
    <w:name w:val="Balloon Text Char"/>
    <w:basedOn w:val="DefaultParagraphFont"/>
    <w:link w:val="BalloonText"/>
    <w:uiPriority w:val="99"/>
    <w:locked/>
    <w:rsid w:val="00B6684D"/>
    <w:rPr>
      <w:rFonts w:ascii="Tahoma" w:hAnsi="Tahoma"/>
      <w:sz w:val="16"/>
      <w:lang w:eastAsia="en-US"/>
    </w:rPr>
  </w:style>
  <w:style w:type="character" w:styleId="CommentReference">
    <w:name w:val="annotation reference"/>
    <w:basedOn w:val="DefaultParagraphFont"/>
    <w:uiPriority w:val="99"/>
    <w:rsid w:val="00B6684D"/>
    <w:rPr>
      <w:rFonts w:cs="Times New Roman"/>
      <w:sz w:val="16"/>
    </w:rPr>
  </w:style>
  <w:style w:type="paragraph" w:styleId="CommentText">
    <w:name w:val="annotation text"/>
    <w:basedOn w:val="Normal"/>
    <w:link w:val="CommentTextChar"/>
    <w:uiPriority w:val="99"/>
    <w:rsid w:val="00B6684D"/>
    <w:rPr>
      <w:sz w:val="20"/>
      <w:szCs w:val="20"/>
    </w:rPr>
  </w:style>
  <w:style w:type="character" w:customStyle="1" w:styleId="CommentTextChar">
    <w:name w:val="Comment Text Char"/>
    <w:basedOn w:val="DefaultParagraphFont"/>
    <w:link w:val="CommentText"/>
    <w:uiPriority w:val="99"/>
    <w:locked/>
    <w:rsid w:val="00B6684D"/>
    <w:rPr>
      <w:rFonts w:ascii="Calibri" w:hAnsi="Calibri"/>
      <w:lang w:eastAsia="en-US"/>
    </w:rPr>
  </w:style>
  <w:style w:type="paragraph" w:styleId="CommentSubject">
    <w:name w:val="annotation subject"/>
    <w:basedOn w:val="CommentText"/>
    <w:next w:val="CommentText"/>
    <w:link w:val="CommentSubjectChar"/>
    <w:uiPriority w:val="99"/>
    <w:rsid w:val="00B6684D"/>
    <w:rPr>
      <w:b/>
      <w:bCs/>
    </w:rPr>
  </w:style>
  <w:style w:type="character" w:customStyle="1" w:styleId="CommentSubjectChar">
    <w:name w:val="Comment Subject Char"/>
    <w:basedOn w:val="CommentTextChar"/>
    <w:link w:val="CommentSubject"/>
    <w:uiPriority w:val="99"/>
    <w:locked/>
    <w:rsid w:val="00B6684D"/>
    <w:rPr>
      <w:b/>
    </w:rPr>
  </w:style>
  <w:style w:type="paragraph" w:styleId="FootnoteText">
    <w:name w:val="footnote text"/>
    <w:basedOn w:val="Normal"/>
    <w:link w:val="FootnoteTextChar"/>
    <w:uiPriority w:val="99"/>
    <w:rsid w:val="003F1256"/>
    <w:rPr>
      <w:sz w:val="20"/>
      <w:szCs w:val="20"/>
    </w:rPr>
  </w:style>
  <w:style w:type="character" w:customStyle="1" w:styleId="FootnoteTextChar">
    <w:name w:val="Footnote Text Char"/>
    <w:basedOn w:val="DefaultParagraphFont"/>
    <w:link w:val="FootnoteText"/>
    <w:uiPriority w:val="99"/>
    <w:locked/>
    <w:rsid w:val="003F1256"/>
    <w:rPr>
      <w:rFonts w:ascii="Calibri" w:hAnsi="Calibri" w:cs="Times New Roman"/>
      <w:lang w:eastAsia="en-US"/>
    </w:rPr>
  </w:style>
  <w:style w:type="character" w:styleId="FootnoteReference">
    <w:name w:val="footnote reference"/>
    <w:basedOn w:val="DefaultParagraphFont"/>
    <w:uiPriority w:val="99"/>
    <w:rsid w:val="003F1256"/>
    <w:rPr>
      <w:rFonts w:cs="Times New Roman"/>
      <w:vertAlign w:val="superscript"/>
    </w:rPr>
  </w:style>
  <w:style w:type="paragraph" w:customStyle="1" w:styleId="Default">
    <w:name w:val="Default"/>
    <w:uiPriority w:val="99"/>
    <w:rsid w:val="003F1256"/>
    <w:pPr>
      <w:widowControl w:val="0"/>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C7524C"/>
    <w:rPr>
      <w:rFonts w:cs="Times New Roman"/>
      <w:b/>
      <w:bCs/>
    </w:rPr>
  </w:style>
</w:styles>
</file>

<file path=word/webSettings.xml><?xml version="1.0" encoding="utf-8"?>
<w:webSettings xmlns:r="http://schemas.openxmlformats.org/officeDocument/2006/relationships" xmlns:w="http://schemas.openxmlformats.org/wordprocessingml/2006/main">
  <w:divs>
    <w:div w:id="41826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1159</Words>
  <Characters>6608</Characters>
  <Application>Microsoft Office Outlook</Application>
  <DocSecurity>0</DocSecurity>
  <Lines>0</Lines>
  <Paragraphs>0</Paragraphs>
  <ScaleCrop>false</ScaleCrop>
  <Company>AHMET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dc:title>
  <dc:subject/>
  <dc:creator>AHMET</dc:creator>
  <cp:keywords/>
  <dc:description/>
  <cp:lastModifiedBy>AHMET</cp:lastModifiedBy>
  <cp:revision>2</cp:revision>
  <cp:lastPrinted>2013-10-10T17:29:00Z</cp:lastPrinted>
  <dcterms:created xsi:type="dcterms:W3CDTF">2014-02-10T17:31:00Z</dcterms:created>
  <dcterms:modified xsi:type="dcterms:W3CDTF">2014-02-10T17:31:00Z</dcterms:modified>
</cp:coreProperties>
</file>