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94" w:rsidRPr="001B56FD" w:rsidRDefault="00240E22" w:rsidP="005B6359">
      <w:pPr>
        <w:spacing w:before="120" w:after="0"/>
        <w:jc w:val="center"/>
        <w:rPr>
          <w:rFonts w:ascii="Times New Roman" w:hAnsi="Times New Roman" w:cs="Times New Roman"/>
          <w:b/>
          <w:sz w:val="24"/>
          <w:szCs w:val="24"/>
        </w:rPr>
      </w:pPr>
      <w:r w:rsidRPr="001B56FD">
        <w:rPr>
          <w:rFonts w:ascii="Times New Roman" w:hAnsi="Times New Roman" w:cs="Times New Roman"/>
          <w:b/>
          <w:sz w:val="24"/>
          <w:szCs w:val="24"/>
        </w:rPr>
        <w:t xml:space="preserve">ASGARİ ÜCRET </w:t>
      </w:r>
      <w:bookmarkStart w:id="0" w:name="_GoBack"/>
      <w:bookmarkEnd w:id="0"/>
      <w:r w:rsidRPr="001B56FD">
        <w:rPr>
          <w:rFonts w:ascii="Times New Roman" w:hAnsi="Times New Roman" w:cs="Times New Roman"/>
          <w:b/>
          <w:sz w:val="24"/>
          <w:szCs w:val="24"/>
        </w:rPr>
        <w:t>B</w:t>
      </w:r>
      <w:r w:rsidR="00F20086">
        <w:rPr>
          <w:rFonts w:ascii="Times New Roman" w:hAnsi="Times New Roman" w:cs="Times New Roman"/>
          <w:b/>
          <w:sz w:val="24"/>
          <w:szCs w:val="24"/>
        </w:rPr>
        <w:t>İLGİ NOTU</w:t>
      </w:r>
    </w:p>
    <w:p w:rsidR="00240E22" w:rsidRPr="001B56FD" w:rsidRDefault="00240E22" w:rsidP="005B6359">
      <w:pPr>
        <w:pStyle w:val="Gvdemetni0"/>
        <w:shd w:val="clear" w:color="auto" w:fill="auto"/>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Çalışma hayatının temel unsurlarından biri olan asgari ücret, uygulanması zorunlu olan ücretin en düşük sınırını ifade etmektedir.</w:t>
      </w:r>
    </w:p>
    <w:p w:rsidR="00240E22" w:rsidRPr="001B56FD" w:rsidRDefault="00240E22" w:rsidP="005B6359">
      <w:pPr>
        <w:pStyle w:val="Gvdemetni0"/>
        <w:shd w:val="clear" w:color="auto" w:fill="auto"/>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 xml:space="preserve">Anayasamızda da ifade bulduğu üzere ücret, en temel anlamıyla emeğin karşılığıdır. Anayasamızın devletimize verdiği en önemli görevlerden biri de çalışanların yaptıkları işe uygun adaletli bir ücret elde etmeleri için gerekli tedbirleri almaktır.  </w:t>
      </w:r>
    </w:p>
    <w:p w:rsidR="00240E22" w:rsidRPr="001B56FD" w:rsidRDefault="00240E22" w:rsidP="005B6359">
      <w:pPr>
        <w:pStyle w:val="Gvdemetni0"/>
        <w:shd w:val="clear" w:color="auto" w:fill="auto"/>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Bu çerç</w:t>
      </w:r>
      <w:r w:rsidR="00292B1B">
        <w:rPr>
          <w:rFonts w:ascii="Times New Roman" w:hAnsi="Times New Roman" w:cs="Times New Roman"/>
          <w:sz w:val="24"/>
          <w:szCs w:val="24"/>
        </w:rPr>
        <w:t>evede, sosyal</w:t>
      </w:r>
      <w:r w:rsidRPr="001B56FD">
        <w:rPr>
          <w:rFonts w:ascii="Times New Roman" w:hAnsi="Times New Roman" w:cs="Times New Roman"/>
          <w:sz w:val="24"/>
          <w:szCs w:val="24"/>
        </w:rPr>
        <w:t xml:space="preserve"> hukuk devleti olmanın gereği olarak</w:t>
      </w:r>
      <w:r w:rsidR="00292B1B">
        <w:rPr>
          <w:rFonts w:ascii="Times New Roman" w:hAnsi="Times New Roman" w:cs="Times New Roman"/>
          <w:sz w:val="24"/>
          <w:szCs w:val="24"/>
        </w:rPr>
        <w:t xml:space="preserve"> asgari ücret 1987 yılından bu yana </w:t>
      </w:r>
      <w:r w:rsidRPr="001B56FD">
        <w:rPr>
          <w:rFonts w:ascii="Times New Roman" w:hAnsi="Times New Roman" w:cs="Times New Roman"/>
          <w:sz w:val="24"/>
          <w:szCs w:val="24"/>
        </w:rPr>
        <w:t xml:space="preserve">her yıl </w:t>
      </w:r>
      <w:r w:rsidR="00292B1B">
        <w:rPr>
          <w:rFonts w:ascii="Times New Roman" w:hAnsi="Times New Roman" w:cs="Times New Roman"/>
          <w:sz w:val="24"/>
          <w:szCs w:val="24"/>
        </w:rPr>
        <w:t>belirlenmektedir</w:t>
      </w:r>
      <w:r w:rsidRPr="001B56FD">
        <w:rPr>
          <w:rFonts w:ascii="Times New Roman" w:hAnsi="Times New Roman" w:cs="Times New Roman"/>
          <w:sz w:val="24"/>
          <w:szCs w:val="24"/>
        </w:rPr>
        <w:t xml:space="preserve">. Bu uygulama, ulusal mevzuatımız yanında ülkemizce onaylanan </w:t>
      </w:r>
      <w:r w:rsidR="00F20086">
        <w:rPr>
          <w:rFonts w:ascii="Times New Roman" w:hAnsi="Times New Roman" w:cs="Times New Roman"/>
          <w:sz w:val="24"/>
          <w:szCs w:val="24"/>
        </w:rPr>
        <w:t>uluslararası s</w:t>
      </w:r>
      <w:r w:rsidRPr="001B56FD">
        <w:rPr>
          <w:rFonts w:ascii="Times New Roman" w:hAnsi="Times New Roman" w:cs="Times New Roman"/>
          <w:sz w:val="24"/>
          <w:szCs w:val="24"/>
        </w:rPr>
        <w:t>özleşmeler bakımından da gereklidir.</w:t>
      </w:r>
    </w:p>
    <w:p w:rsidR="00240E22" w:rsidRPr="001B56FD" w:rsidRDefault="00240E22" w:rsidP="005B6359">
      <w:pPr>
        <w:pStyle w:val="Gvdemetni0"/>
        <w:shd w:val="clear" w:color="auto" w:fill="auto"/>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4857 sayılı İş Kanunumuz, asgari ücretin devlet, işçi ve işveren kesimlerinden oluşan üçlü yapı içindeki bağımsız bir komisyon tarafından belirlenmesini düzenlemektedir.</w:t>
      </w:r>
    </w:p>
    <w:p w:rsidR="00240E22" w:rsidRPr="001B56FD" w:rsidRDefault="00240E22" w:rsidP="005B6359">
      <w:pPr>
        <w:pStyle w:val="Gvdemetni0"/>
        <w:shd w:val="clear" w:color="auto" w:fill="auto"/>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 xml:space="preserve">Bu bakımdan asgari ücret, önemli bir sosyal politika aracı olarak çalışanlara belli bir ücretin altında ödeme yapılmasını engelleyen bir uygulamadır. </w:t>
      </w:r>
      <w:r w:rsidRPr="001B56FD">
        <w:rPr>
          <w:rFonts w:ascii="Times New Roman" w:hAnsi="Times New Roman" w:cs="Times New Roman"/>
          <w:bCs/>
          <w:sz w:val="24"/>
          <w:szCs w:val="24"/>
        </w:rPr>
        <w:t>İşçi</w:t>
      </w:r>
      <w:r w:rsidRPr="001B56FD">
        <w:rPr>
          <w:rFonts w:ascii="Times New Roman" w:hAnsi="Times New Roman" w:cs="Times New Roman"/>
          <w:sz w:val="24"/>
          <w:szCs w:val="24"/>
        </w:rPr>
        <w:t xml:space="preserve"> ve işverenlerin, belirlenecek asgari ücretin üzerinde bir ücret belirleme </w:t>
      </w:r>
      <w:proofErr w:type="gramStart"/>
      <w:r w:rsidRPr="001B56FD">
        <w:rPr>
          <w:rFonts w:ascii="Times New Roman" w:hAnsi="Times New Roman" w:cs="Times New Roman"/>
          <w:sz w:val="24"/>
          <w:szCs w:val="24"/>
        </w:rPr>
        <w:t>imkanları</w:t>
      </w:r>
      <w:proofErr w:type="gramEnd"/>
      <w:r w:rsidRPr="001B56FD">
        <w:rPr>
          <w:rFonts w:ascii="Times New Roman" w:hAnsi="Times New Roman" w:cs="Times New Roman"/>
          <w:sz w:val="24"/>
          <w:szCs w:val="24"/>
        </w:rPr>
        <w:t xml:space="preserve"> her zaman vardır. </w:t>
      </w:r>
    </w:p>
    <w:p w:rsidR="005D7C8B" w:rsidRPr="001B56FD" w:rsidRDefault="00240E22" w:rsidP="005B6359">
      <w:pPr>
        <w:pStyle w:val="Gvdemetni0"/>
        <w:shd w:val="clear" w:color="auto" w:fill="auto"/>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 xml:space="preserve">Halen uygulanmakta olan asgari ücret, Aralık ayının sonuna kadar geçerli olup, net 1.000,54 Türk Lirasıdır. 6645 sayılı Kanunla asgari geçim indirimi oranlarında değişiklik yapılarak üç çocuklu bir işçinin asgari ücret üzerinden gelir vergisi ödememesi sağlanmıştır. </w:t>
      </w:r>
      <w:r w:rsidR="005B6359" w:rsidRPr="001B56FD">
        <w:rPr>
          <w:rFonts w:ascii="Times New Roman" w:hAnsi="Times New Roman" w:cs="Times New Roman"/>
          <w:sz w:val="24"/>
          <w:szCs w:val="24"/>
        </w:rPr>
        <w:t>Bu kapsamda 2015 yılında aşağıdaki gibi gerçekleşmiştir;</w:t>
      </w:r>
    </w:p>
    <w:tbl>
      <w:tblPr>
        <w:tblStyle w:val="AkListe-Vurgu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3450"/>
      </w:tblGrid>
      <w:tr w:rsidR="005B6359" w:rsidRPr="001B56FD" w:rsidTr="005B6359">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43" w:type="pct"/>
            <w:hideMark/>
          </w:tcPr>
          <w:p w:rsidR="005B6359"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NET ASGARİ ÜCRET (</w:t>
            </w:r>
            <w:proofErr w:type="gramStart"/>
            <w:r w:rsidRPr="001B56FD">
              <w:rPr>
                <w:rFonts w:ascii="Times New Roman" w:hAnsi="Times New Roman" w:cs="Times New Roman"/>
                <w:sz w:val="24"/>
                <w:szCs w:val="24"/>
              </w:rPr>
              <w:t>Bekar</w:t>
            </w:r>
            <w:proofErr w:type="gramEnd"/>
            <w:r w:rsidRPr="001B56FD">
              <w:rPr>
                <w:rFonts w:ascii="Times New Roman" w:hAnsi="Times New Roman" w:cs="Times New Roman"/>
                <w:sz w:val="24"/>
                <w:szCs w:val="24"/>
              </w:rPr>
              <w:t>)</w:t>
            </w:r>
          </w:p>
        </w:tc>
        <w:tc>
          <w:tcPr>
            <w:tcW w:w="1857" w:type="pct"/>
            <w:hideMark/>
          </w:tcPr>
          <w:p w:rsidR="005B6359" w:rsidRPr="001B56FD" w:rsidRDefault="005B6359" w:rsidP="006C3F68">
            <w:pPr>
              <w:spacing w:before="120"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 xml:space="preserve">1.000,54 TL </w:t>
            </w:r>
          </w:p>
        </w:tc>
      </w:tr>
      <w:tr w:rsidR="005B6359" w:rsidRPr="001B56FD" w:rsidTr="005B635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43" w:type="pct"/>
            <w:tcBorders>
              <w:top w:val="none" w:sz="0" w:space="0" w:color="auto"/>
              <w:left w:val="none" w:sz="0" w:space="0" w:color="auto"/>
              <w:bottom w:val="none" w:sz="0" w:space="0" w:color="auto"/>
            </w:tcBorders>
            <w:hideMark/>
          </w:tcPr>
          <w:p w:rsidR="005B6359"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NET ASGARİ ÜCRET (3 Çocuklu)</w:t>
            </w:r>
          </w:p>
        </w:tc>
        <w:tc>
          <w:tcPr>
            <w:tcW w:w="1857" w:type="pct"/>
            <w:tcBorders>
              <w:top w:val="none" w:sz="0" w:space="0" w:color="auto"/>
              <w:bottom w:val="none" w:sz="0" w:space="0" w:color="auto"/>
              <w:right w:val="none" w:sz="0" w:space="0" w:color="auto"/>
            </w:tcBorders>
            <w:hideMark/>
          </w:tcPr>
          <w:p w:rsidR="005B6359" w:rsidRPr="001B56FD" w:rsidRDefault="005B6359" w:rsidP="006C3F68">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1.072,80 TL</w:t>
            </w:r>
          </w:p>
        </w:tc>
      </w:tr>
      <w:tr w:rsidR="005B6359" w:rsidRPr="001B56FD" w:rsidTr="005B6359">
        <w:trPr>
          <w:trHeight w:val="239"/>
        </w:trPr>
        <w:tc>
          <w:tcPr>
            <w:cnfStyle w:val="001000000000" w:firstRow="0" w:lastRow="0" w:firstColumn="1" w:lastColumn="0" w:oddVBand="0" w:evenVBand="0" w:oddHBand="0" w:evenHBand="0" w:firstRowFirstColumn="0" w:firstRowLastColumn="0" w:lastRowFirstColumn="0" w:lastRowLastColumn="0"/>
            <w:tcW w:w="3143" w:type="pct"/>
            <w:hideMark/>
          </w:tcPr>
          <w:p w:rsidR="005B6359"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BRÜT ASGARİ ÜCRET</w:t>
            </w:r>
          </w:p>
        </w:tc>
        <w:tc>
          <w:tcPr>
            <w:tcW w:w="1857" w:type="pct"/>
            <w:hideMark/>
          </w:tcPr>
          <w:p w:rsidR="005B6359" w:rsidRPr="001B56FD" w:rsidRDefault="005B6359" w:rsidP="006C3F68">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 xml:space="preserve">1.273,50 TL </w:t>
            </w:r>
          </w:p>
        </w:tc>
      </w:tr>
      <w:tr w:rsidR="005B6359" w:rsidRPr="001B56FD" w:rsidTr="005B635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143" w:type="pct"/>
            <w:tcBorders>
              <w:top w:val="none" w:sz="0" w:space="0" w:color="auto"/>
              <w:left w:val="none" w:sz="0" w:space="0" w:color="auto"/>
              <w:bottom w:val="none" w:sz="0" w:space="0" w:color="auto"/>
            </w:tcBorders>
            <w:hideMark/>
          </w:tcPr>
          <w:p w:rsidR="005B6359"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İŞVERENE MALİYET</w:t>
            </w:r>
          </w:p>
        </w:tc>
        <w:tc>
          <w:tcPr>
            <w:tcW w:w="1857" w:type="pct"/>
            <w:tcBorders>
              <w:top w:val="none" w:sz="0" w:space="0" w:color="auto"/>
              <w:bottom w:val="none" w:sz="0" w:space="0" w:color="auto"/>
              <w:right w:val="none" w:sz="0" w:space="0" w:color="auto"/>
            </w:tcBorders>
            <w:hideMark/>
          </w:tcPr>
          <w:p w:rsidR="005B6359" w:rsidRPr="001B56FD" w:rsidRDefault="005B6359" w:rsidP="006C3F68">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 xml:space="preserve">1.496,36 TL </w:t>
            </w:r>
          </w:p>
        </w:tc>
      </w:tr>
    </w:tbl>
    <w:p w:rsidR="005B6359" w:rsidRPr="001B56FD" w:rsidRDefault="005B6359" w:rsidP="005B6359">
      <w:pPr>
        <w:pStyle w:val="Gvdemetni0"/>
        <w:shd w:val="clear" w:color="auto" w:fill="auto"/>
        <w:spacing w:before="120" w:after="0" w:line="276" w:lineRule="auto"/>
        <w:ind w:firstLine="0"/>
        <w:rPr>
          <w:rFonts w:ascii="Times New Roman" w:hAnsi="Times New Roman" w:cs="Times New Roman"/>
          <w:b/>
          <w:sz w:val="24"/>
          <w:szCs w:val="24"/>
        </w:rPr>
      </w:pPr>
      <w:r w:rsidRPr="001B56FD">
        <w:rPr>
          <w:rFonts w:ascii="Times New Roman" w:hAnsi="Times New Roman" w:cs="Times New Roman"/>
          <w:b/>
          <w:sz w:val="24"/>
          <w:szCs w:val="24"/>
        </w:rPr>
        <w:t>2016 yılında ise aşağıdaki gibi gerçekleşecektir;</w:t>
      </w:r>
    </w:p>
    <w:tbl>
      <w:tblPr>
        <w:tblStyle w:val="AkListe-Vurgu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5B6359" w:rsidRPr="001B56FD" w:rsidTr="005B6359">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920" w:type="dxa"/>
            <w:hideMark/>
          </w:tcPr>
          <w:p w:rsidR="00EB40A1"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NET ASGARİ ÜCRET (</w:t>
            </w:r>
            <w:proofErr w:type="gramStart"/>
            <w:r w:rsidRPr="001B56FD">
              <w:rPr>
                <w:rFonts w:ascii="Times New Roman" w:hAnsi="Times New Roman" w:cs="Times New Roman"/>
                <w:sz w:val="24"/>
                <w:szCs w:val="24"/>
              </w:rPr>
              <w:t>Bekar</w:t>
            </w:r>
            <w:proofErr w:type="gramEnd"/>
            <w:r w:rsidRPr="001B56FD">
              <w:rPr>
                <w:rFonts w:ascii="Times New Roman" w:hAnsi="Times New Roman" w:cs="Times New Roman"/>
                <w:sz w:val="24"/>
                <w:szCs w:val="24"/>
              </w:rPr>
              <w:t xml:space="preserve">) </w:t>
            </w:r>
          </w:p>
        </w:tc>
        <w:tc>
          <w:tcPr>
            <w:tcW w:w="3402" w:type="dxa"/>
            <w:hideMark/>
          </w:tcPr>
          <w:p w:rsidR="00EB40A1" w:rsidRPr="001B56FD" w:rsidRDefault="005B6359" w:rsidP="006C3F68">
            <w:pPr>
              <w:spacing w:before="120"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1.300,99 TL</w:t>
            </w:r>
          </w:p>
        </w:tc>
      </w:tr>
      <w:tr w:rsidR="005B6359" w:rsidRPr="001B56FD" w:rsidTr="005B635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hideMark/>
          </w:tcPr>
          <w:p w:rsidR="00EB40A1"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NET ASGARİ ÜCRET (EVLİ EŞİ ÇALIŞMAYAN)</w:t>
            </w:r>
          </w:p>
        </w:tc>
        <w:tc>
          <w:tcPr>
            <w:tcW w:w="3402" w:type="dxa"/>
            <w:tcBorders>
              <w:top w:val="none" w:sz="0" w:space="0" w:color="auto"/>
              <w:bottom w:val="none" w:sz="0" w:space="0" w:color="auto"/>
              <w:right w:val="none" w:sz="0" w:space="0" w:color="auto"/>
            </w:tcBorders>
            <w:hideMark/>
          </w:tcPr>
          <w:p w:rsidR="00EB40A1" w:rsidRPr="001B56FD" w:rsidRDefault="005B6359" w:rsidP="006C3F68">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1.325,69 TL</w:t>
            </w:r>
          </w:p>
        </w:tc>
      </w:tr>
      <w:tr w:rsidR="005B6359" w:rsidRPr="001B56FD" w:rsidTr="005B6359">
        <w:trPr>
          <w:trHeight w:val="572"/>
        </w:trPr>
        <w:tc>
          <w:tcPr>
            <w:cnfStyle w:val="001000000000" w:firstRow="0" w:lastRow="0" w:firstColumn="1" w:lastColumn="0" w:oddVBand="0" w:evenVBand="0" w:oddHBand="0" w:evenHBand="0" w:firstRowFirstColumn="0" w:firstRowLastColumn="0" w:lastRowFirstColumn="0" w:lastRowLastColumn="0"/>
            <w:tcW w:w="5920" w:type="dxa"/>
            <w:hideMark/>
          </w:tcPr>
          <w:p w:rsidR="00EB40A1"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NET ASGARİ ÜCRET (1 ÇOCUKLU)</w:t>
            </w:r>
          </w:p>
        </w:tc>
        <w:tc>
          <w:tcPr>
            <w:tcW w:w="3402" w:type="dxa"/>
            <w:hideMark/>
          </w:tcPr>
          <w:p w:rsidR="00EB40A1" w:rsidRPr="001B56FD" w:rsidRDefault="005B6359" w:rsidP="006C3F68">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1.344,22 TL</w:t>
            </w:r>
          </w:p>
        </w:tc>
      </w:tr>
      <w:tr w:rsidR="005B6359" w:rsidRPr="001B56FD" w:rsidTr="005B635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hideMark/>
          </w:tcPr>
          <w:p w:rsidR="00EB40A1"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NET ASGARİ ÜCRET (2 ÇOCUKLU)</w:t>
            </w:r>
          </w:p>
        </w:tc>
        <w:tc>
          <w:tcPr>
            <w:tcW w:w="3402" w:type="dxa"/>
            <w:tcBorders>
              <w:top w:val="none" w:sz="0" w:space="0" w:color="auto"/>
              <w:bottom w:val="none" w:sz="0" w:space="0" w:color="auto"/>
              <w:right w:val="none" w:sz="0" w:space="0" w:color="auto"/>
            </w:tcBorders>
            <w:hideMark/>
          </w:tcPr>
          <w:p w:rsidR="00EB40A1" w:rsidRPr="001B56FD" w:rsidRDefault="005B6359" w:rsidP="006C3F68">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1.362,75 TL</w:t>
            </w:r>
          </w:p>
        </w:tc>
      </w:tr>
      <w:tr w:rsidR="005B6359" w:rsidRPr="001B56FD" w:rsidTr="005B6359">
        <w:trPr>
          <w:trHeight w:val="573"/>
        </w:trPr>
        <w:tc>
          <w:tcPr>
            <w:cnfStyle w:val="001000000000" w:firstRow="0" w:lastRow="0" w:firstColumn="1" w:lastColumn="0" w:oddVBand="0" w:evenVBand="0" w:oddHBand="0" w:evenHBand="0" w:firstRowFirstColumn="0" w:firstRowLastColumn="0" w:lastRowFirstColumn="0" w:lastRowLastColumn="0"/>
            <w:tcW w:w="5920" w:type="dxa"/>
            <w:hideMark/>
          </w:tcPr>
          <w:p w:rsidR="00EB40A1"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NET ASGARİ ÜCRET (3 ÇOCUKLU)</w:t>
            </w:r>
          </w:p>
        </w:tc>
        <w:tc>
          <w:tcPr>
            <w:tcW w:w="3402" w:type="dxa"/>
            <w:hideMark/>
          </w:tcPr>
          <w:p w:rsidR="00EB40A1" w:rsidRPr="001B56FD" w:rsidRDefault="005B6359" w:rsidP="006C3F68">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1.387,</w:t>
            </w:r>
            <w:proofErr w:type="gramStart"/>
            <w:r w:rsidRPr="001B56FD">
              <w:rPr>
                <w:rFonts w:ascii="Times New Roman" w:hAnsi="Times New Roman" w:cs="Times New Roman"/>
                <w:sz w:val="24"/>
                <w:szCs w:val="24"/>
              </w:rPr>
              <w:t>45  TL</w:t>
            </w:r>
            <w:proofErr w:type="gramEnd"/>
          </w:p>
        </w:tc>
      </w:tr>
      <w:tr w:rsidR="005B6359" w:rsidRPr="001B56FD" w:rsidTr="005B635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tcBorders>
            <w:hideMark/>
          </w:tcPr>
          <w:p w:rsidR="00EB40A1"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BRÜT ASGARİ ÜCRET</w:t>
            </w:r>
          </w:p>
        </w:tc>
        <w:tc>
          <w:tcPr>
            <w:tcW w:w="3402" w:type="dxa"/>
            <w:tcBorders>
              <w:top w:val="none" w:sz="0" w:space="0" w:color="auto"/>
              <w:bottom w:val="none" w:sz="0" w:space="0" w:color="auto"/>
              <w:right w:val="none" w:sz="0" w:space="0" w:color="auto"/>
            </w:tcBorders>
            <w:hideMark/>
          </w:tcPr>
          <w:p w:rsidR="00EB40A1" w:rsidRPr="001B56FD" w:rsidRDefault="005B6359" w:rsidP="006C3F68">
            <w:pPr>
              <w:spacing w:before="12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1.647,00 TL</w:t>
            </w:r>
          </w:p>
        </w:tc>
      </w:tr>
      <w:tr w:rsidR="005B6359" w:rsidRPr="001B56FD" w:rsidTr="005B6359">
        <w:trPr>
          <w:trHeight w:val="280"/>
        </w:trPr>
        <w:tc>
          <w:tcPr>
            <w:cnfStyle w:val="001000000000" w:firstRow="0" w:lastRow="0" w:firstColumn="1" w:lastColumn="0" w:oddVBand="0" w:evenVBand="0" w:oddHBand="0" w:evenHBand="0" w:firstRowFirstColumn="0" w:firstRowLastColumn="0" w:lastRowFirstColumn="0" w:lastRowLastColumn="0"/>
            <w:tcW w:w="5920" w:type="dxa"/>
            <w:hideMark/>
          </w:tcPr>
          <w:p w:rsidR="00EB40A1" w:rsidRPr="001B56FD" w:rsidRDefault="005B6359" w:rsidP="005B6359">
            <w:pPr>
              <w:spacing w:before="120" w:line="276" w:lineRule="auto"/>
              <w:rPr>
                <w:rFonts w:ascii="Times New Roman" w:hAnsi="Times New Roman" w:cs="Times New Roman"/>
                <w:sz w:val="24"/>
                <w:szCs w:val="24"/>
              </w:rPr>
            </w:pPr>
            <w:r w:rsidRPr="001B56FD">
              <w:rPr>
                <w:rFonts w:ascii="Times New Roman" w:hAnsi="Times New Roman" w:cs="Times New Roman"/>
                <w:sz w:val="24"/>
                <w:szCs w:val="24"/>
              </w:rPr>
              <w:t>İŞVERENE MALİYET</w:t>
            </w:r>
          </w:p>
        </w:tc>
        <w:tc>
          <w:tcPr>
            <w:tcW w:w="3402" w:type="dxa"/>
            <w:hideMark/>
          </w:tcPr>
          <w:p w:rsidR="00EB40A1" w:rsidRPr="001B56FD" w:rsidRDefault="005B6359" w:rsidP="006C3F68">
            <w:pPr>
              <w:spacing w:before="12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56FD">
              <w:rPr>
                <w:rFonts w:ascii="Times New Roman" w:hAnsi="Times New Roman" w:cs="Times New Roman"/>
                <w:sz w:val="24"/>
                <w:szCs w:val="24"/>
              </w:rPr>
              <w:t>1.935,23 TL</w:t>
            </w:r>
          </w:p>
        </w:tc>
      </w:tr>
    </w:tbl>
    <w:p w:rsidR="005B6359" w:rsidRPr="001B56FD" w:rsidRDefault="005B6359" w:rsidP="005B6359">
      <w:pPr>
        <w:pStyle w:val="Gvdemetni0"/>
        <w:spacing w:before="120" w:after="0" w:line="276" w:lineRule="auto"/>
        <w:ind w:firstLine="708"/>
        <w:rPr>
          <w:rFonts w:ascii="Times New Roman" w:hAnsi="Times New Roman" w:cs="Times New Roman"/>
          <w:sz w:val="24"/>
          <w:szCs w:val="24"/>
        </w:rPr>
      </w:pPr>
    </w:p>
    <w:p w:rsidR="00976DE6" w:rsidRDefault="00976DE6" w:rsidP="005B6359">
      <w:pPr>
        <w:pStyle w:val="Gvdemetni0"/>
        <w:spacing w:before="120" w:after="0" w:line="276" w:lineRule="auto"/>
        <w:ind w:firstLine="708"/>
        <w:rPr>
          <w:rFonts w:ascii="Times New Roman" w:hAnsi="Times New Roman" w:cs="Times New Roman"/>
          <w:sz w:val="24"/>
          <w:szCs w:val="24"/>
        </w:rPr>
      </w:pPr>
    </w:p>
    <w:p w:rsidR="00976DE6" w:rsidRDefault="00976DE6" w:rsidP="005B6359">
      <w:pPr>
        <w:pStyle w:val="Gvdemetni0"/>
        <w:spacing w:before="120" w:after="0" w:line="276" w:lineRule="auto"/>
        <w:ind w:firstLine="708"/>
        <w:rPr>
          <w:rFonts w:ascii="Times New Roman" w:hAnsi="Times New Roman" w:cs="Times New Roman"/>
          <w:sz w:val="24"/>
          <w:szCs w:val="24"/>
        </w:rPr>
      </w:pPr>
    </w:p>
    <w:p w:rsidR="00240E22" w:rsidRPr="001B56FD" w:rsidRDefault="00240E22" w:rsidP="005B6359">
      <w:pPr>
        <w:pStyle w:val="Gvdemetni0"/>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Ücret; işçilerin “tek” gelir kaynağıdır. Bunun yanı sıra ücret, gelir dağılımını etkilemekte ve emeğin ekonominin bütünü içindeki yerinin belirlenmesinde rol oynamaktadır.</w:t>
      </w:r>
      <w:r w:rsidR="005B6359" w:rsidRPr="001B56FD">
        <w:rPr>
          <w:rFonts w:ascii="Times New Roman" w:hAnsi="Times New Roman" w:cs="Times New Roman"/>
          <w:sz w:val="24"/>
          <w:szCs w:val="24"/>
        </w:rPr>
        <w:t xml:space="preserve"> </w:t>
      </w:r>
      <w:r w:rsidR="00687825" w:rsidRPr="001B56FD">
        <w:rPr>
          <w:rFonts w:ascii="Times New Roman" w:hAnsi="Times New Roman" w:cs="Times New Roman"/>
          <w:sz w:val="24"/>
          <w:szCs w:val="24"/>
        </w:rPr>
        <w:t>Bu kapsamda hükümetlerimiz döneminde asgari ücretin brüt tutarlarında yapılan artışlara aşağıda yer verilmiştir:</w:t>
      </w:r>
      <w:r w:rsidRPr="001B56FD">
        <w:rPr>
          <w:rFonts w:ascii="Times New Roman" w:hAnsi="Times New Roman" w:cs="Times New Roman"/>
          <w:sz w:val="24"/>
          <w:szCs w:val="24"/>
        </w:rPr>
        <w:t xml:space="preserve">  </w:t>
      </w:r>
    </w:p>
    <w:p w:rsidR="00240E22" w:rsidRPr="001B56FD" w:rsidRDefault="00240E22" w:rsidP="005B6359">
      <w:pPr>
        <w:pStyle w:val="ResimYazs"/>
        <w:spacing w:before="120" w:after="0" w:line="276" w:lineRule="auto"/>
        <w:jc w:val="both"/>
        <w:rPr>
          <w:rFonts w:ascii="Times New Roman" w:hAnsi="Times New Roman" w:cs="Times New Roman"/>
          <w:sz w:val="24"/>
          <w:szCs w:val="24"/>
        </w:rPr>
      </w:pPr>
      <w:r w:rsidRPr="001B56FD">
        <w:rPr>
          <w:rFonts w:ascii="Times New Roman" w:hAnsi="Times New Roman" w:cs="Times New Roman"/>
          <w:sz w:val="24"/>
          <w:szCs w:val="24"/>
        </w:rPr>
        <w:t>Yıllık Asgari Ücret Artış Oranları</w:t>
      </w:r>
    </w:p>
    <w:p w:rsidR="00240E22" w:rsidRPr="001B56FD" w:rsidRDefault="00240E22" w:rsidP="005B6359">
      <w:pPr>
        <w:pStyle w:val="Gvdemetni0"/>
        <w:keepNext/>
        <w:shd w:val="clear" w:color="auto" w:fill="auto"/>
        <w:spacing w:before="120" w:after="0" w:line="276" w:lineRule="auto"/>
        <w:ind w:firstLine="708"/>
        <w:rPr>
          <w:rFonts w:ascii="Times New Roman" w:hAnsi="Times New Roman" w:cs="Times New Roman"/>
          <w:sz w:val="24"/>
          <w:szCs w:val="24"/>
        </w:rPr>
      </w:pPr>
      <w:r w:rsidRPr="001B56FD">
        <w:rPr>
          <w:rFonts w:ascii="Times New Roman" w:hAnsi="Times New Roman" w:cs="Times New Roman"/>
          <w:noProof/>
          <w:sz w:val="24"/>
          <w:szCs w:val="24"/>
          <w:lang w:eastAsia="tr-TR"/>
        </w:rPr>
        <w:drawing>
          <wp:inline distT="0" distB="0" distL="0" distR="0" wp14:anchorId="2E37DDCE" wp14:editId="3044E74D">
            <wp:extent cx="5760720" cy="3756778"/>
            <wp:effectExtent l="0" t="0" r="11430" b="1524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7825" w:rsidRPr="001B56FD" w:rsidRDefault="00687825" w:rsidP="005B6359">
      <w:pPr>
        <w:pStyle w:val="Gvdemetni0"/>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 xml:space="preserve">Asgari ücrette 2003’ten itibaren reel olarak % 69,49; </w:t>
      </w:r>
      <w:proofErr w:type="gramStart"/>
      <w:r w:rsidRPr="001B56FD">
        <w:rPr>
          <w:rFonts w:ascii="Times New Roman" w:hAnsi="Times New Roman" w:cs="Times New Roman"/>
          <w:sz w:val="24"/>
          <w:szCs w:val="24"/>
        </w:rPr>
        <w:t>kümülatif</w:t>
      </w:r>
      <w:proofErr w:type="gramEnd"/>
      <w:r w:rsidRPr="001B56FD">
        <w:rPr>
          <w:rFonts w:ascii="Times New Roman" w:hAnsi="Times New Roman" w:cs="Times New Roman"/>
          <w:sz w:val="24"/>
          <w:szCs w:val="24"/>
        </w:rPr>
        <w:t xml:space="preserve"> olarak %407,6 oranında artış gerçekleşmiştir.</w:t>
      </w:r>
    </w:p>
    <w:p w:rsidR="00240E22" w:rsidRPr="001B56FD" w:rsidRDefault="00240E22" w:rsidP="005B6359">
      <w:pPr>
        <w:pStyle w:val="Gvdemetni0"/>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 xml:space="preserve">EUROSTAT(Avrupa İstatistik Ofisi) Temmuz 2015 verilerine göre Türkiye 425€ ile Bulgaristan, Romanya, Çek Cumhuriyeti, Macaristan, Slovakya, Polonya, Hırvatistan gibi AB üyesi ülkelerin de içinde bulunduğu asgari ücret düzeyi 100–500€ </w:t>
      </w:r>
      <w:proofErr w:type="gramStart"/>
      <w:r w:rsidRPr="001B56FD">
        <w:rPr>
          <w:rFonts w:ascii="Times New Roman" w:hAnsi="Times New Roman" w:cs="Times New Roman"/>
          <w:sz w:val="24"/>
          <w:szCs w:val="24"/>
        </w:rPr>
        <w:t>aralığında</w:t>
      </w:r>
      <w:proofErr w:type="gramEnd"/>
      <w:r w:rsidRPr="001B56FD">
        <w:rPr>
          <w:rFonts w:ascii="Times New Roman" w:hAnsi="Times New Roman" w:cs="Times New Roman"/>
          <w:sz w:val="24"/>
          <w:szCs w:val="24"/>
        </w:rPr>
        <w:t xml:space="preserve"> olan 15 ülke içinde en yüksek asgari ücret düzeyine sahiptir. </w:t>
      </w:r>
    </w:p>
    <w:p w:rsidR="00240E22" w:rsidRPr="001B56FD" w:rsidRDefault="00240E22" w:rsidP="005B6359">
      <w:pPr>
        <w:widowControl w:val="0"/>
        <w:spacing w:before="120" w:after="0"/>
        <w:ind w:firstLine="708"/>
        <w:jc w:val="both"/>
        <w:rPr>
          <w:rFonts w:ascii="Times New Roman" w:eastAsia="Arial" w:hAnsi="Times New Roman" w:cs="Times New Roman"/>
          <w:spacing w:val="-10"/>
          <w:sz w:val="24"/>
          <w:szCs w:val="24"/>
          <w:lang w:eastAsia="tr-TR"/>
        </w:rPr>
      </w:pPr>
      <w:r w:rsidRPr="001B56FD">
        <w:rPr>
          <w:rFonts w:ascii="Times New Roman" w:eastAsia="Arial" w:hAnsi="Times New Roman" w:cs="Times New Roman"/>
          <w:spacing w:val="-10"/>
          <w:sz w:val="24"/>
          <w:szCs w:val="24"/>
          <w:lang w:eastAsia="tr-TR"/>
        </w:rPr>
        <w:t>Hükümetimiz Programında asgari ücretin net 1300 Türk Lirasına yükseltilmesi yönünde Komisyona teklifte bulunulacağı belirtilmiştir.</w:t>
      </w:r>
      <w:r w:rsidR="00687825" w:rsidRPr="001B56FD">
        <w:rPr>
          <w:rFonts w:ascii="Times New Roman" w:eastAsia="Arial" w:hAnsi="Times New Roman" w:cs="Times New Roman"/>
          <w:spacing w:val="-10"/>
          <w:sz w:val="24"/>
          <w:szCs w:val="24"/>
          <w:lang w:eastAsia="tr-TR"/>
        </w:rPr>
        <w:t xml:space="preserve"> Bu kapsamda;</w:t>
      </w:r>
    </w:p>
    <w:p w:rsidR="00687825" w:rsidRPr="001B56FD" w:rsidRDefault="00687825" w:rsidP="00687825">
      <w:pPr>
        <w:widowControl w:val="0"/>
        <w:spacing w:before="120" w:after="0"/>
        <w:ind w:firstLine="708"/>
        <w:jc w:val="both"/>
        <w:rPr>
          <w:rFonts w:ascii="Times New Roman" w:eastAsia="Arial" w:hAnsi="Times New Roman" w:cs="Times New Roman"/>
          <w:spacing w:val="-10"/>
          <w:sz w:val="24"/>
          <w:szCs w:val="24"/>
          <w:lang w:eastAsia="tr-TR"/>
        </w:rPr>
      </w:pPr>
      <w:r w:rsidRPr="001B56FD">
        <w:rPr>
          <w:rFonts w:ascii="Times New Roman" w:eastAsia="Arial" w:hAnsi="Times New Roman" w:cs="Times New Roman"/>
          <w:spacing w:val="-10"/>
          <w:sz w:val="24"/>
          <w:szCs w:val="24"/>
          <w:lang w:eastAsia="tr-TR"/>
        </w:rPr>
        <w:t xml:space="preserve">%11 ARTIŞTAKİ MALİYET </w:t>
      </w:r>
      <w:r w:rsidRPr="001B56FD">
        <w:rPr>
          <w:rFonts w:ascii="Times New Roman" w:eastAsia="Arial" w:hAnsi="Times New Roman" w:cs="Times New Roman"/>
          <w:spacing w:val="-10"/>
          <w:sz w:val="24"/>
          <w:szCs w:val="24"/>
          <w:lang w:eastAsia="tr-TR"/>
        </w:rPr>
        <w:tab/>
      </w:r>
      <w:r w:rsidRPr="001B56FD">
        <w:rPr>
          <w:rFonts w:ascii="Times New Roman" w:eastAsia="Arial" w:hAnsi="Times New Roman" w:cs="Times New Roman"/>
          <w:spacing w:val="-10"/>
          <w:sz w:val="24"/>
          <w:szCs w:val="24"/>
          <w:lang w:eastAsia="tr-TR"/>
        </w:rPr>
        <w:tab/>
        <w:t xml:space="preserve">              1660,28 TL</w:t>
      </w:r>
    </w:p>
    <w:p w:rsidR="00687825" w:rsidRPr="001B56FD" w:rsidRDefault="00687825" w:rsidP="00687825">
      <w:pPr>
        <w:widowControl w:val="0"/>
        <w:spacing w:before="120" w:after="0"/>
        <w:ind w:firstLine="708"/>
        <w:jc w:val="both"/>
        <w:rPr>
          <w:rFonts w:ascii="Times New Roman" w:eastAsia="Arial" w:hAnsi="Times New Roman" w:cs="Times New Roman"/>
          <w:spacing w:val="-10"/>
          <w:sz w:val="24"/>
          <w:szCs w:val="24"/>
          <w:lang w:eastAsia="tr-TR"/>
        </w:rPr>
      </w:pPr>
      <w:r w:rsidRPr="001B56FD">
        <w:rPr>
          <w:rFonts w:ascii="Times New Roman" w:eastAsia="Arial" w:hAnsi="Times New Roman" w:cs="Times New Roman"/>
          <w:spacing w:val="-10"/>
          <w:sz w:val="24"/>
          <w:szCs w:val="24"/>
          <w:lang w:eastAsia="tr-TR"/>
        </w:rPr>
        <w:t>1300 TL OLDUĞUNDAKİ MALİYET             1935,23 TL</w:t>
      </w:r>
      <w:r w:rsidRPr="001B56FD">
        <w:rPr>
          <w:rFonts w:ascii="Times New Roman" w:eastAsia="Arial" w:hAnsi="Times New Roman" w:cs="Times New Roman"/>
          <w:spacing w:val="-10"/>
          <w:sz w:val="24"/>
          <w:szCs w:val="24"/>
          <w:lang w:eastAsia="tr-TR"/>
        </w:rPr>
        <w:tab/>
      </w:r>
    </w:p>
    <w:p w:rsidR="00687825" w:rsidRDefault="00687825" w:rsidP="00687825">
      <w:pPr>
        <w:widowControl w:val="0"/>
        <w:spacing w:before="120" w:after="0"/>
        <w:jc w:val="both"/>
        <w:rPr>
          <w:rFonts w:ascii="Times New Roman" w:eastAsia="Arial" w:hAnsi="Times New Roman" w:cs="Times New Roman"/>
          <w:spacing w:val="-10"/>
          <w:sz w:val="24"/>
          <w:szCs w:val="24"/>
          <w:lang w:eastAsia="tr-TR"/>
        </w:rPr>
      </w:pPr>
      <w:proofErr w:type="gramStart"/>
      <w:r w:rsidRPr="001B56FD">
        <w:rPr>
          <w:rFonts w:ascii="Times New Roman" w:eastAsia="Arial" w:hAnsi="Times New Roman" w:cs="Times New Roman"/>
          <w:spacing w:val="-10"/>
          <w:sz w:val="24"/>
          <w:szCs w:val="24"/>
          <w:lang w:eastAsia="tr-TR"/>
        </w:rPr>
        <w:t>olacaktır</w:t>
      </w:r>
      <w:proofErr w:type="gramEnd"/>
      <w:r w:rsidRPr="001B56FD">
        <w:rPr>
          <w:rFonts w:ascii="Times New Roman" w:eastAsia="Arial" w:hAnsi="Times New Roman" w:cs="Times New Roman"/>
          <w:spacing w:val="-10"/>
          <w:sz w:val="24"/>
          <w:szCs w:val="24"/>
          <w:lang w:eastAsia="tr-TR"/>
        </w:rPr>
        <w:t>.</w:t>
      </w:r>
    </w:p>
    <w:p w:rsidR="00976DE6" w:rsidRDefault="00976DE6" w:rsidP="00687825">
      <w:pPr>
        <w:widowControl w:val="0"/>
        <w:spacing w:before="120" w:after="0"/>
        <w:jc w:val="both"/>
        <w:rPr>
          <w:rFonts w:ascii="Times New Roman" w:eastAsia="Arial" w:hAnsi="Times New Roman" w:cs="Times New Roman"/>
          <w:spacing w:val="-10"/>
          <w:sz w:val="24"/>
          <w:szCs w:val="24"/>
          <w:lang w:eastAsia="tr-TR"/>
        </w:rPr>
      </w:pPr>
    </w:p>
    <w:p w:rsidR="00976DE6" w:rsidRPr="001B56FD" w:rsidRDefault="00976DE6" w:rsidP="00687825">
      <w:pPr>
        <w:widowControl w:val="0"/>
        <w:spacing w:before="120" w:after="0"/>
        <w:jc w:val="both"/>
        <w:rPr>
          <w:rFonts w:ascii="Times New Roman" w:eastAsia="Arial" w:hAnsi="Times New Roman" w:cs="Times New Roman"/>
          <w:spacing w:val="-10"/>
          <w:sz w:val="24"/>
          <w:szCs w:val="24"/>
          <w:lang w:eastAsia="tr-TR"/>
        </w:rPr>
      </w:pPr>
    </w:p>
    <w:p w:rsidR="00687825" w:rsidRPr="001B56FD" w:rsidRDefault="00687825" w:rsidP="00687825">
      <w:pPr>
        <w:widowControl w:val="0"/>
        <w:spacing w:before="120" w:after="0"/>
        <w:jc w:val="both"/>
        <w:rPr>
          <w:rFonts w:ascii="Times New Roman" w:eastAsia="Arial" w:hAnsi="Times New Roman" w:cs="Times New Roman"/>
          <w:spacing w:val="-10"/>
          <w:sz w:val="24"/>
          <w:szCs w:val="24"/>
          <w:lang w:eastAsia="tr-TR"/>
        </w:rPr>
      </w:pPr>
      <w:r w:rsidRPr="001B56FD">
        <w:rPr>
          <w:rFonts w:ascii="Times New Roman" w:eastAsia="Arial" w:hAnsi="Times New Roman" w:cs="Times New Roman"/>
          <w:spacing w:val="-10"/>
          <w:sz w:val="24"/>
          <w:szCs w:val="24"/>
          <w:lang w:eastAsia="tr-TR"/>
        </w:rPr>
        <w:lastRenderedPageBreak/>
        <w:t>İşverenlerimizin ek maliyetlerini azaltmak amacıyla;</w:t>
      </w:r>
    </w:p>
    <w:p w:rsidR="00EB40A1" w:rsidRPr="001B56FD" w:rsidRDefault="001B56FD" w:rsidP="00687825">
      <w:pPr>
        <w:widowControl w:val="0"/>
        <w:numPr>
          <w:ilvl w:val="0"/>
          <w:numId w:val="2"/>
        </w:numPr>
        <w:spacing w:before="120" w:after="0"/>
        <w:jc w:val="both"/>
        <w:rPr>
          <w:rFonts w:ascii="Times New Roman" w:eastAsia="Arial" w:hAnsi="Times New Roman" w:cs="Times New Roman"/>
          <w:spacing w:val="-10"/>
          <w:sz w:val="24"/>
          <w:szCs w:val="24"/>
          <w:lang w:eastAsia="tr-TR"/>
        </w:rPr>
      </w:pPr>
      <w:r w:rsidRPr="001B56FD">
        <w:rPr>
          <w:rFonts w:ascii="Times New Roman" w:eastAsia="Arial" w:hAnsi="Times New Roman" w:cs="Times New Roman"/>
          <w:spacing w:val="-10"/>
          <w:sz w:val="24"/>
          <w:szCs w:val="24"/>
          <w:lang w:eastAsia="tr-TR"/>
        </w:rPr>
        <w:t>274 TL’lik işverene ek maliyetin %40’ı olan 110 TL’si Hazine tarafından karşılanacaktır.</w:t>
      </w:r>
    </w:p>
    <w:p w:rsidR="00EB40A1" w:rsidRPr="001B56FD" w:rsidRDefault="001B56FD" w:rsidP="00687825">
      <w:pPr>
        <w:widowControl w:val="0"/>
        <w:numPr>
          <w:ilvl w:val="0"/>
          <w:numId w:val="2"/>
        </w:numPr>
        <w:spacing w:before="120" w:after="0"/>
        <w:jc w:val="both"/>
        <w:rPr>
          <w:rFonts w:ascii="Times New Roman" w:eastAsia="Arial" w:hAnsi="Times New Roman" w:cs="Times New Roman"/>
          <w:spacing w:val="-10"/>
          <w:sz w:val="24"/>
          <w:szCs w:val="24"/>
          <w:lang w:eastAsia="tr-TR"/>
        </w:rPr>
      </w:pPr>
      <w:r w:rsidRPr="001B56FD">
        <w:rPr>
          <w:rFonts w:ascii="Times New Roman" w:eastAsia="Arial" w:hAnsi="Times New Roman" w:cs="Times New Roman"/>
          <w:spacing w:val="-10"/>
          <w:sz w:val="24"/>
          <w:szCs w:val="24"/>
          <w:lang w:eastAsia="tr-TR"/>
        </w:rPr>
        <w:t>Örnek: Asgari ücret düzeyinde 10 işçi çalıştıran bir işyerinde 2.749,5 TL olan ilave maliyetin 1.100 TL’si Hazine tarafından karşılanacaktır.</w:t>
      </w:r>
    </w:p>
    <w:p w:rsidR="00EB40A1" w:rsidRPr="001B56FD" w:rsidRDefault="00687825" w:rsidP="001B56FD">
      <w:pPr>
        <w:pStyle w:val="Gvdemetni0"/>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Bu destekten;</w:t>
      </w:r>
      <w:r w:rsidR="001B56FD" w:rsidRPr="001B56FD">
        <w:rPr>
          <w:rFonts w:ascii="Times New Roman" w:hAnsi="Times New Roman" w:cs="Times New Roman"/>
          <w:sz w:val="24"/>
          <w:szCs w:val="24"/>
        </w:rPr>
        <w:t xml:space="preserve"> işyerinde 2015 itibariyle 1.300 TL ücret düzeyinin altında çalışan tüm işçiler ile asgari ücret düzeyinden yeni işe alınacak işçilerin de yüzde 10’u yararlanacaktır. </w:t>
      </w:r>
    </w:p>
    <w:p w:rsidR="001B56FD" w:rsidRPr="001B56FD" w:rsidRDefault="001B56FD" w:rsidP="001B56FD">
      <w:pPr>
        <w:pStyle w:val="Gvdemetni0"/>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Bu destekten yararlanma şartları şunlardır:</w:t>
      </w:r>
    </w:p>
    <w:p w:rsidR="00EB40A1" w:rsidRPr="001B56FD" w:rsidRDefault="001B56FD" w:rsidP="001B56FD">
      <w:pPr>
        <w:pStyle w:val="Gvdemetni0"/>
        <w:numPr>
          <w:ilvl w:val="0"/>
          <w:numId w:val="4"/>
        </w:numPr>
        <w:spacing w:after="0" w:line="276" w:lineRule="auto"/>
        <w:rPr>
          <w:rFonts w:ascii="Times New Roman" w:hAnsi="Times New Roman" w:cs="Times New Roman"/>
          <w:sz w:val="24"/>
          <w:szCs w:val="24"/>
        </w:rPr>
      </w:pPr>
      <w:r w:rsidRPr="001B56FD">
        <w:rPr>
          <w:rFonts w:ascii="Times New Roman" w:hAnsi="Times New Roman" w:cs="Times New Roman"/>
          <w:sz w:val="24"/>
          <w:szCs w:val="24"/>
        </w:rPr>
        <w:t xml:space="preserve">Asgari ücretli çalışmak, </w:t>
      </w:r>
    </w:p>
    <w:p w:rsidR="00EB40A1" w:rsidRPr="001B56FD" w:rsidRDefault="001B56FD" w:rsidP="001B56FD">
      <w:pPr>
        <w:pStyle w:val="Gvdemetni0"/>
        <w:numPr>
          <w:ilvl w:val="0"/>
          <w:numId w:val="4"/>
        </w:numPr>
        <w:spacing w:after="0" w:line="276" w:lineRule="auto"/>
        <w:rPr>
          <w:rFonts w:ascii="Times New Roman" w:hAnsi="Times New Roman" w:cs="Times New Roman"/>
          <w:sz w:val="24"/>
          <w:szCs w:val="24"/>
        </w:rPr>
      </w:pPr>
      <w:r w:rsidRPr="001B56FD">
        <w:rPr>
          <w:rFonts w:ascii="Times New Roman" w:hAnsi="Times New Roman" w:cs="Times New Roman"/>
          <w:sz w:val="24"/>
          <w:szCs w:val="24"/>
        </w:rPr>
        <w:t>2015 yılında SGK prim ve hizmet belgelerinde net asgari ücretin 1.000,54 TL ile 1.300 TL arasında bildirilmesi esastır.</w:t>
      </w:r>
    </w:p>
    <w:p w:rsidR="00EB40A1" w:rsidRPr="001B56FD" w:rsidRDefault="001B56FD" w:rsidP="001B56FD">
      <w:pPr>
        <w:pStyle w:val="Gvdemetni0"/>
        <w:numPr>
          <w:ilvl w:val="0"/>
          <w:numId w:val="4"/>
        </w:numPr>
        <w:spacing w:after="0" w:line="276" w:lineRule="auto"/>
        <w:rPr>
          <w:rFonts w:ascii="Times New Roman" w:hAnsi="Times New Roman" w:cs="Times New Roman"/>
          <w:sz w:val="24"/>
          <w:szCs w:val="24"/>
        </w:rPr>
      </w:pPr>
      <w:r w:rsidRPr="001B56FD">
        <w:rPr>
          <w:rFonts w:ascii="Times New Roman" w:hAnsi="Times New Roman" w:cs="Times New Roman"/>
          <w:sz w:val="24"/>
          <w:szCs w:val="24"/>
        </w:rPr>
        <w:t xml:space="preserve">Bir önceki yılın aynı aylarını esas almak şartıyla, işyerinde çalışan asgari ücretli sayısının %10 ilave artışına kadar destek sağlanacaktır. </w:t>
      </w:r>
    </w:p>
    <w:p w:rsidR="00EB40A1" w:rsidRPr="001B56FD" w:rsidRDefault="001B56FD" w:rsidP="001B56FD">
      <w:pPr>
        <w:pStyle w:val="Gvdemetni0"/>
        <w:numPr>
          <w:ilvl w:val="0"/>
          <w:numId w:val="4"/>
        </w:numPr>
        <w:spacing w:after="0" w:line="276" w:lineRule="auto"/>
        <w:rPr>
          <w:rFonts w:ascii="Times New Roman" w:hAnsi="Times New Roman" w:cs="Times New Roman"/>
          <w:sz w:val="24"/>
          <w:szCs w:val="24"/>
        </w:rPr>
      </w:pPr>
      <w:r w:rsidRPr="001B56FD">
        <w:rPr>
          <w:rFonts w:ascii="Times New Roman" w:hAnsi="Times New Roman" w:cs="Times New Roman"/>
          <w:sz w:val="24"/>
          <w:szCs w:val="24"/>
        </w:rPr>
        <w:t>1-9 arasında sigortalı çalıştıran işyerleri için de ilave asgari ücretli çalışan bir sigortalı daha istihdam etme avantajı getirilmiştir. (%10’dan yararlanamayacakları için bu destek sağlanmıştır.)</w:t>
      </w:r>
    </w:p>
    <w:p w:rsidR="00EB40A1" w:rsidRPr="001B56FD" w:rsidRDefault="001B56FD" w:rsidP="001B56FD">
      <w:pPr>
        <w:pStyle w:val="Gvdemetni0"/>
        <w:numPr>
          <w:ilvl w:val="0"/>
          <w:numId w:val="4"/>
        </w:numPr>
        <w:spacing w:after="0" w:line="276" w:lineRule="auto"/>
        <w:rPr>
          <w:rFonts w:ascii="Times New Roman" w:hAnsi="Times New Roman" w:cs="Times New Roman"/>
          <w:sz w:val="24"/>
          <w:szCs w:val="24"/>
        </w:rPr>
      </w:pPr>
      <w:r w:rsidRPr="001B56FD">
        <w:rPr>
          <w:rFonts w:ascii="Times New Roman" w:hAnsi="Times New Roman" w:cs="Times New Roman"/>
          <w:sz w:val="24"/>
          <w:szCs w:val="24"/>
        </w:rPr>
        <w:t xml:space="preserve">2016 yılındaki yeni açılacak işyerlerinde asgari ücretli çalışacaklar için de bu kapsam geçerlidir. </w:t>
      </w:r>
    </w:p>
    <w:p w:rsidR="00EB40A1" w:rsidRPr="001B56FD" w:rsidRDefault="001B56FD" w:rsidP="001B56FD">
      <w:pPr>
        <w:pStyle w:val="Gvdemetni0"/>
        <w:numPr>
          <w:ilvl w:val="0"/>
          <w:numId w:val="4"/>
        </w:numPr>
        <w:spacing w:after="0" w:line="276" w:lineRule="auto"/>
        <w:rPr>
          <w:rFonts w:ascii="Times New Roman" w:hAnsi="Times New Roman" w:cs="Times New Roman"/>
          <w:sz w:val="24"/>
          <w:szCs w:val="24"/>
        </w:rPr>
      </w:pPr>
      <w:r w:rsidRPr="001B56FD">
        <w:rPr>
          <w:rFonts w:ascii="Times New Roman" w:hAnsi="Times New Roman" w:cs="Times New Roman"/>
          <w:sz w:val="24"/>
          <w:szCs w:val="24"/>
        </w:rPr>
        <w:t xml:space="preserve">Ayrıca, özel sektör maden işyerleri de tek asgari ücret için bu destekten faydalanacaktır. </w:t>
      </w:r>
    </w:p>
    <w:p w:rsidR="001B56FD" w:rsidRPr="001B56FD" w:rsidRDefault="001B56FD" w:rsidP="001B56FD">
      <w:pPr>
        <w:pStyle w:val="Gvdemetni0"/>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Bu destekten 8,5 milyon sigortalının yanı sıra asgari ücret düzeyinden yeni işe alınacak %10’luk ilave sigortalı ile yeni açılan işyerlerindeki istihdam sağlanacakların yararlanacağı öngörülmektedir.</w:t>
      </w:r>
    </w:p>
    <w:p w:rsidR="001B56FD" w:rsidRPr="001B56FD" w:rsidRDefault="001B56FD" w:rsidP="001B56FD">
      <w:pPr>
        <w:pStyle w:val="Gvdemetni0"/>
        <w:spacing w:before="120" w:after="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Sağlanan desteğe ilişkin maliyetler aşağıdaki şekildedir:</w:t>
      </w:r>
    </w:p>
    <w:tbl>
      <w:tblPr>
        <w:tblStyle w:val="TabloKlavuzu"/>
        <w:tblW w:w="5000" w:type="pct"/>
        <w:tblLook w:val="0600" w:firstRow="0" w:lastRow="0" w:firstColumn="0" w:lastColumn="0" w:noHBand="1" w:noVBand="1"/>
      </w:tblPr>
      <w:tblGrid>
        <w:gridCol w:w="2275"/>
        <w:gridCol w:w="1083"/>
        <w:gridCol w:w="1285"/>
        <w:gridCol w:w="1611"/>
        <w:gridCol w:w="1557"/>
        <w:gridCol w:w="1477"/>
      </w:tblGrid>
      <w:tr w:rsidR="001B56FD" w:rsidRPr="001B56FD" w:rsidTr="001B56FD">
        <w:trPr>
          <w:trHeight w:val="1012"/>
        </w:trPr>
        <w:tc>
          <w:tcPr>
            <w:tcW w:w="1225" w:type="pct"/>
            <w:hideMark/>
          </w:tcPr>
          <w:p w:rsidR="001B56FD" w:rsidRPr="001B56FD" w:rsidRDefault="001B56FD" w:rsidP="001B56FD">
            <w:pPr>
              <w:textAlignment w:val="bottom"/>
              <w:rPr>
                <w:rFonts w:ascii="Times New Roman" w:eastAsia="Times New Roman" w:hAnsi="Times New Roman" w:cs="Times New Roman"/>
                <w:sz w:val="24"/>
                <w:szCs w:val="24"/>
                <w:lang w:eastAsia="tr-TR"/>
              </w:rPr>
            </w:pPr>
            <w:r w:rsidRPr="001B56FD">
              <w:rPr>
                <w:rFonts w:ascii="Times New Roman" w:eastAsia="Times New Roman" w:hAnsi="Times New Roman" w:cs="Times New Roman"/>
                <w:b/>
                <w:bCs/>
                <w:color w:val="000000"/>
                <w:kern w:val="24"/>
                <w:sz w:val="24"/>
                <w:szCs w:val="24"/>
                <w:lang w:eastAsia="tr-TR"/>
              </w:rPr>
              <w:t>Milyon TL</w:t>
            </w:r>
          </w:p>
        </w:tc>
        <w:tc>
          <w:tcPr>
            <w:tcW w:w="1274" w:type="pct"/>
            <w:gridSpan w:val="2"/>
            <w:hideMark/>
          </w:tcPr>
          <w:p w:rsidR="001B56FD" w:rsidRPr="001B56FD" w:rsidRDefault="001B56FD" w:rsidP="001B56FD">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b/>
                <w:bCs/>
                <w:color w:val="000000"/>
                <w:kern w:val="24"/>
                <w:sz w:val="24"/>
                <w:szCs w:val="24"/>
                <w:lang w:eastAsia="tr-TR"/>
              </w:rPr>
              <w:t>Asgari Ücret Düzeyi</w:t>
            </w:r>
          </w:p>
        </w:tc>
        <w:tc>
          <w:tcPr>
            <w:tcW w:w="867" w:type="pct"/>
            <w:vMerge w:val="restart"/>
            <w:hideMark/>
          </w:tcPr>
          <w:p w:rsidR="001B56FD" w:rsidRPr="001B56FD" w:rsidRDefault="001B56FD" w:rsidP="001B56FD">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b/>
                <w:bCs/>
                <w:color w:val="000000"/>
                <w:kern w:val="24"/>
                <w:sz w:val="24"/>
                <w:szCs w:val="24"/>
                <w:lang w:eastAsia="tr-TR"/>
              </w:rPr>
              <w:t>Devletçe Karşılanan Kişi Başı Maliyet</w:t>
            </w:r>
          </w:p>
        </w:tc>
        <w:tc>
          <w:tcPr>
            <w:tcW w:w="838" w:type="pct"/>
            <w:vMerge w:val="restart"/>
            <w:hideMark/>
          </w:tcPr>
          <w:p w:rsidR="001B56FD" w:rsidRPr="001B56FD" w:rsidRDefault="001B56FD" w:rsidP="001B56FD">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b/>
                <w:bCs/>
                <w:color w:val="000000"/>
                <w:kern w:val="24"/>
                <w:sz w:val="24"/>
                <w:szCs w:val="24"/>
                <w:lang w:eastAsia="tr-TR"/>
              </w:rPr>
              <w:t>Özel Sektör İşverenleri için toplam Maliyet</w:t>
            </w:r>
          </w:p>
        </w:tc>
        <w:tc>
          <w:tcPr>
            <w:tcW w:w="795" w:type="pct"/>
            <w:vMerge w:val="restart"/>
            <w:hideMark/>
          </w:tcPr>
          <w:p w:rsidR="001B56FD" w:rsidRPr="001B56FD" w:rsidRDefault="001B56FD" w:rsidP="001B56FD">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b/>
                <w:bCs/>
                <w:color w:val="000000"/>
                <w:kern w:val="24"/>
                <w:sz w:val="24"/>
                <w:szCs w:val="24"/>
                <w:lang w:eastAsia="tr-TR"/>
              </w:rPr>
              <w:t>Kamunun Sağladığı Destek</w:t>
            </w:r>
          </w:p>
        </w:tc>
      </w:tr>
      <w:tr w:rsidR="001B56FD" w:rsidRPr="001B56FD" w:rsidTr="001B56FD">
        <w:trPr>
          <w:trHeight w:val="757"/>
        </w:trPr>
        <w:tc>
          <w:tcPr>
            <w:tcW w:w="1225" w:type="pct"/>
            <w:hideMark/>
          </w:tcPr>
          <w:p w:rsidR="001B56FD" w:rsidRPr="001B56FD" w:rsidRDefault="001B56FD" w:rsidP="001B56FD">
            <w:pPr>
              <w:textAlignment w:val="center"/>
              <w:rPr>
                <w:rFonts w:ascii="Times New Roman" w:eastAsia="Times New Roman" w:hAnsi="Times New Roman" w:cs="Times New Roman"/>
                <w:sz w:val="24"/>
                <w:szCs w:val="24"/>
                <w:lang w:eastAsia="tr-TR"/>
              </w:rPr>
            </w:pPr>
          </w:p>
        </w:tc>
        <w:tc>
          <w:tcPr>
            <w:tcW w:w="583" w:type="pct"/>
            <w:hideMark/>
          </w:tcPr>
          <w:p w:rsidR="001B56FD" w:rsidRPr="001B56FD" w:rsidRDefault="001B56FD" w:rsidP="001B56FD">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b/>
                <w:bCs/>
                <w:color w:val="000000"/>
                <w:kern w:val="24"/>
                <w:sz w:val="24"/>
                <w:szCs w:val="24"/>
                <w:lang w:eastAsia="tr-TR"/>
              </w:rPr>
              <w:t xml:space="preserve">Brüt Asgari Ücret </w:t>
            </w:r>
          </w:p>
        </w:tc>
        <w:tc>
          <w:tcPr>
            <w:tcW w:w="692" w:type="pct"/>
            <w:hideMark/>
          </w:tcPr>
          <w:p w:rsidR="001B56FD" w:rsidRPr="001B56FD" w:rsidRDefault="001B56FD" w:rsidP="001B56FD">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b/>
                <w:bCs/>
                <w:color w:val="000000"/>
                <w:kern w:val="24"/>
                <w:sz w:val="24"/>
                <w:szCs w:val="24"/>
                <w:lang w:eastAsia="tr-TR"/>
              </w:rPr>
              <w:t xml:space="preserve">İşverene Maliyet </w:t>
            </w:r>
          </w:p>
        </w:tc>
        <w:tc>
          <w:tcPr>
            <w:tcW w:w="867" w:type="pct"/>
            <w:vMerge/>
            <w:hideMark/>
          </w:tcPr>
          <w:p w:rsidR="001B56FD" w:rsidRPr="001B56FD" w:rsidRDefault="001B56FD" w:rsidP="001B56FD">
            <w:pPr>
              <w:rPr>
                <w:rFonts w:ascii="Times New Roman" w:eastAsia="Times New Roman" w:hAnsi="Times New Roman" w:cs="Times New Roman"/>
                <w:sz w:val="24"/>
                <w:szCs w:val="24"/>
                <w:lang w:eastAsia="tr-TR"/>
              </w:rPr>
            </w:pPr>
          </w:p>
        </w:tc>
        <w:tc>
          <w:tcPr>
            <w:tcW w:w="838" w:type="pct"/>
            <w:vMerge/>
            <w:hideMark/>
          </w:tcPr>
          <w:p w:rsidR="001B56FD" w:rsidRPr="001B56FD" w:rsidRDefault="001B56FD" w:rsidP="001B56FD">
            <w:pPr>
              <w:rPr>
                <w:rFonts w:ascii="Times New Roman" w:eastAsia="Times New Roman" w:hAnsi="Times New Roman" w:cs="Times New Roman"/>
                <w:sz w:val="24"/>
                <w:szCs w:val="24"/>
                <w:lang w:eastAsia="tr-TR"/>
              </w:rPr>
            </w:pPr>
          </w:p>
        </w:tc>
        <w:tc>
          <w:tcPr>
            <w:tcW w:w="795" w:type="pct"/>
            <w:vMerge/>
            <w:hideMark/>
          </w:tcPr>
          <w:p w:rsidR="001B56FD" w:rsidRPr="001B56FD" w:rsidRDefault="001B56FD" w:rsidP="001B56FD">
            <w:pPr>
              <w:rPr>
                <w:rFonts w:ascii="Times New Roman" w:eastAsia="Times New Roman" w:hAnsi="Times New Roman" w:cs="Times New Roman"/>
                <w:sz w:val="24"/>
                <w:szCs w:val="24"/>
                <w:lang w:eastAsia="tr-TR"/>
              </w:rPr>
            </w:pPr>
          </w:p>
        </w:tc>
      </w:tr>
      <w:tr w:rsidR="001B56FD" w:rsidRPr="001B56FD" w:rsidTr="00BF0EE5">
        <w:trPr>
          <w:trHeight w:val="532"/>
        </w:trPr>
        <w:tc>
          <w:tcPr>
            <w:tcW w:w="1225" w:type="pct"/>
            <w:vAlign w:val="center"/>
            <w:hideMark/>
          </w:tcPr>
          <w:p w:rsidR="001B56FD" w:rsidRPr="001B56FD" w:rsidRDefault="001B56FD" w:rsidP="00BF0EE5">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b/>
                <w:bCs/>
                <w:color w:val="000000"/>
                <w:kern w:val="24"/>
                <w:sz w:val="24"/>
                <w:szCs w:val="24"/>
                <w:lang w:eastAsia="tr-TR"/>
              </w:rPr>
              <w:t>İşverene 110 TL Teşvik</w:t>
            </w:r>
          </w:p>
        </w:tc>
        <w:tc>
          <w:tcPr>
            <w:tcW w:w="583" w:type="pct"/>
            <w:vAlign w:val="center"/>
            <w:hideMark/>
          </w:tcPr>
          <w:p w:rsidR="001B56FD" w:rsidRPr="001B56FD" w:rsidRDefault="001B56FD" w:rsidP="00BF0EE5">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color w:val="000000"/>
                <w:kern w:val="24"/>
                <w:sz w:val="24"/>
                <w:szCs w:val="24"/>
                <w:lang w:eastAsia="tr-TR"/>
              </w:rPr>
              <w:t>1.647</w:t>
            </w:r>
          </w:p>
        </w:tc>
        <w:tc>
          <w:tcPr>
            <w:tcW w:w="692" w:type="pct"/>
            <w:vAlign w:val="center"/>
            <w:hideMark/>
          </w:tcPr>
          <w:p w:rsidR="001B56FD" w:rsidRPr="001B56FD" w:rsidRDefault="001B56FD" w:rsidP="00BF0EE5">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color w:val="000000"/>
                <w:kern w:val="24"/>
                <w:sz w:val="24"/>
                <w:szCs w:val="24"/>
                <w:lang w:eastAsia="tr-TR"/>
              </w:rPr>
              <w:t>1.825</w:t>
            </w:r>
          </w:p>
        </w:tc>
        <w:tc>
          <w:tcPr>
            <w:tcW w:w="867" w:type="pct"/>
            <w:vAlign w:val="center"/>
            <w:hideMark/>
          </w:tcPr>
          <w:p w:rsidR="001B56FD" w:rsidRPr="001B56FD" w:rsidRDefault="001B56FD" w:rsidP="00BF0EE5">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color w:val="000000"/>
                <w:kern w:val="24"/>
                <w:sz w:val="24"/>
                <w:szCs w:val="24"/>
                <w:lang w:eastAsia="tr-TR"/>
              </w:rPr>
              <w:t>110</w:t>
            </w:r>
          </w:p>
        </w:tc>
        <w:tc>
          <w:tcPr>
            <w:tcW w:w="838" w:type="pct"/>
            <w:vAlign w:val="center"/>
            <w:hideMark/>
          </w:tcPr>
          <w:p w:rsidR="001B56FD" w:rsidRPr="001B56FD" w:rsidRDefault="001B56FD" w:rsidP="00BF0EE5">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color w:val="000000"/>
                <w:kern w:val="24"/>
                <w:sz w:val="24"/>
                <w:szCs w:val="24"/>
                <w:lang w:eastAsia="tr-TR"/>
              </w:rPr>
              <w:t>20.079*</w:t>
            </w:r>
          </w:p>
        </w:tc>
        <w:tc>
          <w:tcPr>
            <w:tcW w:w="795" w:type="pct"/>
            <w:vAlign w:val="center"/>
            <w:hideMark/>
          </w:tcPr>
          <w:p w:rsidR="001B56FD" w:rsidRPr="001B56FD" w:rsidRDefault="001B56FD" w:rsidP="00BF0EE5">
            <w:pPr>
              <w:jc w:val="center"/>
              <w:textAlignment w:val="center"/>
              <w:rPr>
                <w:rFonts w:ascii="Times New Roman" w:eastAsia="Times New Roman" w:hAnsi="Times New Roman" w:cs="Times New Roman"/>
                <w:sz w:val="24"/>
                <w:szCs w:val="24"/>
                <w:lang w:eastAsia="tr-TR"/>
              </w:rPr>
            </w:pPr>
            <w:r w:rsidRPr="001B56FD">
              <w:rPr>
                <w:rFonts w:ascii="Times New Roman" w:eastAsia="Times New Roman" w:hAnsi="Times New Roman" w:cs="Times New Roman"/>
                <w:color w:val="000000"/>
                <w:kern w:val="24"/>
                <w:sz w:val="24"/>
                <w:szCs w:val="24"/>
                <w:lang w:eastAsia="tr-TR"/>
              </w:rPr>
              <w:t>9.733</w:t>
            </w:r>
          </w:p>
        </w:tc>
      </w:tr>
    </w:tbl>
    <w:p w:rsidR="00976DE6" w:rsidRDefault="001B56FD" w:rsidP="00976DE6">
      <w:pPr>
        <w:pStyle w:val="Gvdemetni0"/>
        <w:spacing w:before="120" w:line="276" w:lineRule="auto"/>
        <w:ind w:firstLine="0"/>
        <w:rPr>
          <w:rFonts w:ascii="Times New Roman" w:hAnsi="Times New Roman" w:cs="Times New Roman"/>
          <w:sz w:val="24"/>
          <w:szCs w:val="24"/>
        </w:rPr>
      </w:pPr>
      <w:r w:rsidRPr="001B56FD">
        <w:rPr>
          <w:rFonts w:ascii="Times New Roman" w:hAnsi="Times New Roman" w:cs="Times New Roman"/>
          <w:sz w:val="24"/>
          <w:szCs w:val="24"/>
        </w:rPr>
        <w:t>*20,1 milyar TL’lik işveren maliyeti %11 asgari ücret artışına göre ilave yükü ifade etmektedir. %11 artışlı brüt asgari ücret 1413 TL olup, neti 1116 TL’dir.</w:t>
      </w:r>
    </w:p>
    <w:p w:rsidR="00240E22" w:rsidRPr="001B56FD" w:rsidRDefault="00240E22" w:rsidP="00976DE6">
      <w:pPr>
        <w:pStyle w:val="Gvdemetni0"/>
        <w:spacing w:before="120" w:line="276" w:lineRule="auto"/>
        <w:ind w:firstLine="708"/>
        <w:rPr>
          <w:rFonts w:ascii="Times New Roman" w:hAnsi="Times New Roman" w:cs="Times New Roman"/>
          <w:sz w:val="24"/>
          <w:szCs w:val="24"/>
        </w:rPr>
      </w:pPr>
      <w:r w:rsidRPr="001B56FD">
        <w:rPr>
          <w:rFonts w:ascii="Times New Roman" w:hAnsi="Times New Roman" w:cs="Times New Roman"/>
          <w:sz w:val="24"/>
          <w:szCs w:val="24"/>
        </w:rPr>
        <w:t xml:space="preserve">Bu minvalde </w:t>
      </w:r>
      <w:r w:rsidR="00687825" w:rsidRPr="001B56FD">
        <w:rPr>
          <w:rFonts w:ascii="Times New Roman" w:hAnsi="Times New Roman" w:cs="Times New Roman"/>
          <w:sz w:val="24"/>
          <w:szCs w:val="24"/>
        </w:rPr>
        <w:t>net 1300 TL olarak gerçekleşen 2016 yılı asgari ücretinin hayırlı olmasını</w:t>
      </w:r>
      <w:r w:rsidRPr="001B56FD">
        <w:rPr>
          <w:rFonts w:ascii="Times New Roman" w:hAnsi="Times New Roman" w:cs="Times New Roman"/>
          <w:sz w:val="24"/>
          <w:szCs w:val="24"/>
        </w:rPr>
        <w:t xml:space="preserve"> temenni ediyorum.</w:t>
      </w:r>
    </w:p>
    <w:p w:rsidR="00240E22" w:rsidRPr="001B56FD" w:rsidRDefault="00240E22" w:rsidP="005B6359">
      <w:pPr>
        <w:spacing w:before="120" w:after="0"/>
        <w:ind w:firstLine="709"/>
        <w:jc w:val="both"/>
        <w:rPr>
          <w:rFonts w:ascii="Times New Roman" w:hAnsi="Times New Roman" w:cs="Times New Roman"/>
          <w:sz w:val="24"/>
          <w:szCs w:val="24"/>
        </w:rPr>
      </w:pPr>
    </w:p>
    <w:sectPr w:rsidR="00240E22" w:rsidRPr="001B56F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1B" w:rsidRDefault="00615F1B" w:rsidP="00976DE6">
      <w:pPr>
        <w:spacing w:after="0" w:line="240" w:lineRule="auto"/>
      </w:pPr>
      <w:r>
        <w:separator/>
      </w:r>
    </w:p>
  </w:endnote>
  <w:endnote w:type="continuationSeparator" w:id="0">
    <w:p w:rsidR="00615F1B" w:rsidRDefault="00615F1B" w:rsidP="0097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1B" w:rsidRDefault="00615F1B" w:rsidP="00976DE6">
      <w:pPr>
        <w:spacing w:after="0" w:line="240" w:lineRule="auto"/>
      </w:pPr>
      <w:r>
        <w:separator/>
      </w:r>
    </w:p>
  </w:footnote>
  <w:footnote w:type="continuationSeparator" w:id="0">
    <w:p w:rsidR="00615F1B" w:rsidRDefault="00615F1B" w:rsidP="00976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ook w:val="01E0" w:firstRow="1" w:lastRow="1" w:firstColumn="1" w:lastColumn="1" w:noHBand="0" w:noVBand="0"/>
    </w:tblPr>
    <w:tblGrid>
      <w:gridCol w:w="2328"/>
      <w:gridCol w:w="5520"/>
      <w:gridCol w:w="1800"/>
    </w:tblGrid>
    <w:tr w:rsidR="00976DE6" w:rsidRPr="00976DE6" w:rsidTr="00976DE6">
      <w:tc>
        <w:tcPr>
          <w:tcW w:w="2328" w:type="dxa"/>
          <w:hideMark/>
        </w:tcPr>
        <w:p w:rsidR="00976DE6" w:rsidRPr="00976DE6" w:rsidRDefault="00976DE6" w:rsidP="00976DE6">
          <w:pPr>
            <w:tabs>
              <w:tab w:val="center" w:pos="4536"/>
              <w:tab w:val="right" w:pos="9072"/>
            </w:tabs>
            <w:spacing w:after="0" w:line="240" w:lineRule="auto"/>
            <w:rPr>
              <w:rFonts w:ascii="Times New Roman" w:eastAsia="Times New Roman" w:hAnsi="Times New Roman" w:cs="Times New Roman"/>
              <w:sz w:val="24"/>
              <w:szCs w:val="24"/>
            </w:rPr>
          </w:pPr>
          <w:r w:rsidRPr="00976DE6">
            <w:rPr>
              <w:rFonts w:ascii="Times New Roman" w:eastAsia="Times New Roman" w:hAnsi="Times New Roman" w:cs="Times New Roman"/>
              <w:b/>
              <w:noProof/>
              <w:sz w:val="24"/>
              <w:szCs w:val="24"/>
              <w:lang w:eastAsia="tr-TR"/>
            </w:rPr>
            <w:drawing>
              <wp:inline distT="0" distB="0" distL="0" distR="0" wp14:anchorId="798CBD7B" wp14:editId="56FC0E89">
                <wp:extent cx="1266190" cy="791210"/>
                <wp:effectExtent l="0" t="0" r="0" b="8890"/>
                <wp:docPr id="3" name="Resim 7" descr="yeni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yeni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791210"/>
                        </a:xfrm>
                        <a:prstGeom prst="rect">
                          <a:avLst/>
                        </a:prstGeom>
                        <a:noFill/>
                        <a:ln>
                          <a:noFill/>
                        </a:ln>
                      </pic:spPr>
                    </pic:pic>
                  </a:graphicData>
                </a:graphic>
              </wp:inline>
            </w:drawing>
          </w:r>
        </w:p>
      </w:tc>
      <w:tc>
        <w:tcPr>
          <w:tcW w:w="5520" w:type="dxa"/>
        </w:tcPr>
        <w:p w:rsidR="00976DE6" w:rsidRPr="00976DE6" w:rsidRDefault="00976DE6" w:rsidP="00976DE6">
          <w:pPr>
            <w:tabs>
              <w:tab w:val="left" w:pos="648"/>
              <w:tab w:val="center" w:pos="2652"/>
              <w:tab w:val="center" w:pos="4536"/>
              <w:tab w:val="right" w:pos="9072"/>
            </w:tabs>
            <w:spacing w:after="0" w:line="240" w:lineRule="auto"/>
            <w:rPr>
              <w:rFonts w:ascii="Times New Roman" w:eastAsia="Times New Roman" w:hAnsi="Times New Roman" w:cs="Times New Roman"/>
              <w:sz w:val="24"/>
              <w:szCs w:val="24"/>
            </w:rPr>
          </w:pPr>
          <w:r w:rsidRPr="00976DE6">
            <w:rPr>
              <w:rFonts w:ascii="Times New Roman" w:eastAsia="Times New Roman" w:hAnsi="Times New Roman" w:cs="Times New Roman"/>
              <w:sz w:val="24"/>
              <w:szCs w:val="24"/>
            </w:rPr>
            <w:tab/>
          </w:r>
          <w:r w:rsidRPr="00976DE6">
            <w:rPr>
              <w:rFonts w:ascii="Times New Roman" w:eastAsia="Times New Roman" w:hAnsi="Times New Roman" w:cs="Times New Roman"/>
              <w:sz w:val="24"/>
              <w:szCs w:val="24"/>
            </w:rPr>
            <w:tab/>
            <w:t>T.C.</w:t>
          </w:r>
        </w:p>
        <w:p w:rsidR="00976DE6" w:rsidRPr="00976DE6" w:rsidRDefault="00976DE6" w:rsidP="00976DE6">
          <w:pPr>
            <w:tabs>
              <w:tab w:val="center" w:pos="4536"/>
              <w:tab w:val="right" w:pos="9072"/>
            </w:tabs>
            <w:spacing w:after="0" w:line="240" w:lineRule="auto"/>
            <w:jc w:val="center"/>
            <w:rPr>
              <w:rFonts w:ascii="Times New Roman" w:eastAsia="Times New Roman" w:hAnsi="Times New Roman" w:cs="Times New Roman"/>
              <w:sz w:val="24"/>
              <w:szCs w:val="24"/>
            </w:rPr>
          </w:pPr>
          <w:r w:rsidRPr="00976DE6">
            <w:rPr>
              <w:rFonts w:ascii="Times New Roman" w:eastAsia="Times New Roman" w:hAnsi="Times New Roman" w:cs="Times New Roman"/>
              <w:sz w:val="24"/>
              <w:szCs w:val="24"/>
            </w:rPr>
            <w:t>ÇALIŞMA VE SOSYAL GÜVENLİK BAKANLIĞI</w:t>
          </w:r>
        </w:p>
        <w:p w:rsidR="00976DE6" w:rsidRPr="00976DE6" w:rsidRDefault="00976DE6" w:rsidP="00976DE6">
          <w:pPr>
            <w:tabs>
              <w:tab w:val="center" w:pos="4536"/>
              <w:tab w:val="right" w:pos="9072"/>
            </w:tabs>
            <w:spacing w:after="0" w:line="240" w:lineRule="auto"/>
            <w:jc w:val="center"/>
            <w:rPr>
              <w:rFonts w:ascii="Times New Roman" w:eastAsia="Times New Roman" w:hAnsi="Times New Roman" w:cs="Times New Roman"/>
              <w:sz w:val="24"/>
              <w:szCs w:val="24"/>
            </w:rPr>
          </w:pPr>
          <w:r w:rsidRPr="00976DE6">
            <w:rPr>
              <w:rFonts w:ascii="Times New Roman" w:eastAsia="Times New Roman" w:hAnsi="Times New Roman" w:cs="Times New Roman"/>
              <w:sz w:val="24"/>
              <w:szCs w:val="24"/>
            </w:rPr>
            <w:t>Çalışma Genel Müdürlüğü</w:t>
          </w:r>
        </w:p>
        <w:p w:rsidR="00976DE6" w:rsidRPr="00976DE6" w:rsidRDefault="00976DE6" w:rsidP="00976DE6">
          <w:pPr>
            <w:tabs>
              <w:tab w:val="center" w:pos="4536"/>
              <w:tab w:val="right" w:pos="9072"/>
            </w:tabs>
            <w:spacing w:after="0" w:line="240" w:lineRule="auto"/>
            <w:rPr>
              <w:rFonts w:ascii="Times New Roman" w:eastAsia="Times New Roman" w:hAnsi="Times New Roman" w:cs="Times New Roman"/>
              <w:sz w:val="24"/>
              <w:szCs w:val="24"/>
            </w:rPr>
          </w:pPr>
        </w:p>
      </w:tc>
      <w:tc>
        <w:tcPr>
          <w:tcW w:w="1800" w:type="dxa"/>
        </w:tcPr>
        <w:p w:rsidR="00976DE6" w:rsidRPr="00976DE6" w:rsidRDefault="00976DE6" w:rsidP="00976DE6">
          <w:pPr>
            <w:tabs>
              <w:tab w:val="center" w:pos="4536"/>
              <w:tab w:val="right" w:pos="9072"/>
            </w:tabs>
            <w:spacing w:after="0" w:line="240" w:lineRule="auto"/>
            <w:rPr>
              <w:rFonts w:ascii="Times New Roman" w:eastAsia="Times New Roman" w:hAnsi="Times New Roman" w:cs="Times New Roman"/>
              <w:sz w:val="24"/>
              <w:szCs w:val="24"/>
            </w:rPr>
          </w:pPr>
        </w:p>
      </w:tc>
    </w:tr>
  </w:tbl>
  <w:p w:rsidR="00976DE6" w:rsidRDefault="00976D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9E4"/>
    <w:multiLevelType w:val="hybridMultilevel"/>
    <w:tmpl w:val="6CF46622"/>
    <w:lvl w:ilvl="0" w:tplc="B07403D0">
      <w:start w:val="1"/>
      <w:numFmt w:val="bullet"/>
      <w:lvlText w:val="•"/>
      <w:lvlJc w:val="left"/>
      <w:pPr>
        <w:tabs>
          <w:tab w:val="num" w:pos="720"/>
        </w:tabs>
        <w:ind w:left="720" w:hanging="360"/>
      </w:pPr>
      <w:rPr>
        <w:rFonts w:ascii="Arial" w:hAnsi="Arial" w:hint="default"/>
      </w:rPr>
    </w:lvl>
    <w:lvl w:ilvl="1" w:tplc="A3580378" w:tentative="1">
      <w:start w:val="1"/>
      <w:numFmt w:val="bullet"/>
      <w:lvlText w:val="•"/>
      <w:lvlJc w:val="left"/>
      <w:pPr>
        <w:tabs>
          <w:tab w:val="num" w:pos="1440"/>
        </w:tabs>
        <w:ind w:left="1440" w:hanging="360"/>
      </w:pPr>
      <w:rPr>
        <w:rFonts w:ascii="Arial" w:hAnsi="Arial" w:hint="default"/>
      </w:rPr>
    </w:lvl>
    <w:lvl w:ilvl="2" w:tplc="749268CA" w:tentative="1">
      <w:start w:val="1"/>
      <w:numFmt w:val="bullet"/>
      <w:lvlText w:val="•"/>
      <w:lvlJc w:val="left"/>
      <w:pPr>
        <w:tabs>
          <w:tab w:val="num" w:pos="2160"/>
        </w:tabs>
        <w:ind w:left="2160" w:hanging="360"/>
      </w:pPr>
      <w:rPr>
        <w:rFonts w:ascii="Arial" w:hAnsi="Arial" w:hint="default"/>
      </w:rPr>
    </w:lvl>
    <w:lvl w:ilvl="3" w:tplc="9B6ABCB0" w:tentative="1">
      <w:start w:val="1"/>
      <w:numFmt w:val="bullet"/>
      <w:lvlText w:val="•"/>
      <w:lvlJc w:val="left"/>
      <w:pPr>
        <w:tabs>
          <w:tab w:val="num" w:pos="2880"/>
        </w:tabs>
        <w:ind w:left="2880" w:hanging="360"/>
      </w:pPr>
      <w:rPr>
        <w:rFonts w:ascii="Arial" w:hAnsi="Arial" w:hint="default"/>
      </w:rPr>
    </w:lvl>
    <w:lvl w:ilvl="4" w:tplc="1B52741E" w:tentative="1">
      <w:start w:val="1"/>
      <w:numFmt w:val="bullet"/>
      <w:lvlText w:val="•"/>
      <w:lvlJc w:val="left"/>
      <w:pPr>
        <w:tabs>
          <w:tab w:val="num" w:pos="3600"/>
        </w:tabs>
        <w:ind w:left="3600" w:hanging="360"/>
      </w:pPr>
      <w:rPr>
        <w:rFonts w:ascii="Arial" w:hAnsi="Arial" w:hint="default"/>
      </w:rPr>
    </w:lvl>
    <w:lvl w:ilvl="5" w:tplc="0B143D78" w:tentative="1">
      <w:start w:val="1"/>
      <w:numFmt w:val="bullet"/>
      <w:lvlText w:val="•"/>
      <w:lvlJc w:val="left"/>
      <w:pPr>
        <w:tabs>
          <w:tab w:val="num" w:pos="4320"/>
        </w:tabs>
        <w:ind w:left="4320" w:hanging="360"/>
      </w:pPr>
      <w:rPr>
        <w:rFonts w:ascii="Arial" w:hAnsi="Arial" w:hint="default"/>
      </w:rPr>
    </w:lvl>
    <w:lvl w:ilvl="6" w:tplc="799E1C36" w:tentative="1">
      <w:start w:val="1"/>
      <w:numFmt w:val="bullet"/>
      <w:lvlText w:val="•"/>
      <w:lvlJc w:val="left"/>
      <w:pPr>
        <w:tabs>
          <w:tab w:val="num" w:pos="5040"/>
        </w:tabs>
        <w:ind w:left="5040" w:hanging="360"/>
      </w:pPr>
      <w:rPr>
        <w:rFonts w:ascii="Arial" w:hAnsi="Arial" w:hint="default"/>
      </w:rPr>
    </w:lvl>
    <w:lvl w:ilvl="7" w:tplc="C486DD08" w:tentative="1">
      <w:start w:val="1"/>
      <w:numFmt w:val="bullet"/>
      <w:lvlText w:val="•"/>
      <w:lvlJc w:val="left"/>
      <w:pPr>
        <w:tabs>
          <w:tab w:val="num" w:pos="5760"/>
        </w:tabs>
        <w:ind w:left="5760" w:hanging="360"/>
      </w:pPr>
      <w:rPr>
        <w:rFonts w:ascii="Arial" w:hAnsi="Arial" w:hint="default"/>
      </w:rPr>
    </w:lvl>
    <w:lvl w:ilvl="8" w:tplc="0F06AB1E" w:tentative="1">
      <w:start w:val="1"/>
      <w:numFmt w:val="bullet"/>
      <w:lvlText w:val="•"/>
      <w:lvlJc w:val="left"/>
      <w:pPr>
        <w:tabs>
          <w:tab w:val="num" w:pos="6480"/>
        </w:tabs>
        <w:ind w:left="6480" w:hanging="360"/>
      </w:pPr>
      <w:rPr>
        <w:rFonts w:ascii="Arial" w:hAnsi="Arial" w:hint="default"/>
      </w:rPr>
    </w:lvl>
  </w:abstractNum>
  <w:abstractNum w:abstractNumId="1">
    <w:nsid w:val="42E7508C"/>
    <w:multiLevelType w:val="hybridMultilevel"/>
    <w:tmpl w:val="C4103CF4"/>
    <w:lvl w:ilvl="0" w:tplc="CB96C550">
      <w:start w:val="1"/>
      <w:numFmt w:val="bullet"/>
      <w:lvlText w:val="•"/>
      <w:lvlJc w:val="left"/>
      <w:pPr>
        <w:tabs>
          <w:tab w:val="num" w:pos="720"/>
        </w:tabs>
        <w:ind w:left="720" w:hanging="360"/>
      </w:pPr>
      <w:rPr>
        <w:rFonts w:ascii="Arial" w:hAnsi="Arial" w:hint="default"/>
      </w:rPr>
    </w:lvl>
    <w:lvl w:ilvl="1" w:tplc="34C01648" w:tentative="1">
      <w:start w:val="1"/>
      <w:numFmt w:val="bullet"/>
      <w:lvlText w:val="•"/>
      <w:lvlJc w:val="left"/>
      <w:pPr>
        <w:tabs>
          <w:tab w:val="num" w:pos="1440"/>
        </w:tabs>
        <w:ind w:left="1440" w:hanging="360"/>
      </w:pPr>
      <w:rPr>
        <w:rFonts w:ascii="Arial" w:hAnsi="Arial" w:hint="default"/>
      </w:rPr>
    </w:lvl>
    <w:lvl w:ilvl="2" w:tplc="46BE67C2" w:tentative="1">
      <w:start w:val="1"/>
      <w:numFmt w:val="bullet"/>
      <w:lvlText w:val="•"/>
      <w:lvlJc w:val="left"/>
      <w:pPr>
        <w:tabs>
          <w:tab w:val="num" w:pos="2160"/>
        </w:tabs>
        <w:ind w:left="2160" w:hanging="360"/>
      </w:pPr>
      <w:rPr>
        <w:rFonts w:ascii="Arial" w:hAnsi="Arial" w:hint="default"/>
      </w:rPr>
    </w:lvl>
    <w:lvl w:ilvl="3" w:tplc="EEFA9D26" w:tentative="1">
      <w:start w:val="1"/>
      <w:numFmt w:val="bullet"/>
      <w:lvlText w:val="•"/>
      <w:lvlJc w:val="left"/>
      <w:pPr>
        <w:tabs>
          <w:tab w:val="num" w:pos="2880"/>
        </w:tabs>
        <w:ind w:left="2880" w:hanging="360"/>
      </w:pPr>
      <w:rPr>
        <w:rFonts w:ascii="Arial" w:hAnsi="Arial" w:hint="default"/>
      </w:rPr>
    </w:lvl>
    <w:lvl w:ilvl="4" w:tplc="63A8C08C" w:tentative="1">
      <w:start w:val="1"/>
      <w:numFmt w:val="bullet"/>
      <w:lvlText w:val="•"/>
      <w:lvlJc w:val="left"/>
      <w:pPr>
        <w:tabs>
          <w:tab w:val="num" w:pos="3600"/>
        </w:tabs>
        <w:ind w:left="3600" w:hanging="360"/>
      </w:pPr>
      <w:rPr>
        <w:rFonts w:ascii="Arial" w:hAnsi="Arial" w:hint="default"/>
      </w:rPr>
    </w:lvl>
    <w:lvl w:ilvl="5" w:tplc="35380BC2" w:tentative="1">
      <w:start w:val="1"/>
      <w:numFmt w:val="bullet"/>
      <w:lvlText w:val="•"/>
      <w:lvlJc w:val="left"/>
      <w:pPr>
        <w:tabs>
          <w:tab w:val="num" w:pos="4320"/>
        </w:tabs>
        <w:ind w:left="4320" w:hanging="360"/>
      </w:pPr>
      <w:rPr>
        <w:rFonts w:ascii="Arial" w:hAnsi="Arial" w:hint="default"/>
      </w:rPr>
    </w:lvl>
    <w:lvl w:ilvl="6" w:tplc="5B22A99E" w:tentative="1">
      <w:start w:val="1"/>
      <w:numFmt w:val="bullet"/>
      <w:lvlText w:val="•"/>
      <w:lvlJc w:val="left"/>
      <w:pPr>
        <w:tabs>
          <w:tab w:val="num" w:pos="5040"/>
        </w:tabs>
        <w:ind w:left="5040" w:hanging="360"/>
      </w:pPr>
      <w:rPr>
        <w:rFonts w:ascii="Arial" w:hAnsi="Arial" w:hint="default"/>
      </w:rPr>
    </w:lvl>
    <w:lvl w:ilvl="7" w:tplc="A71A0A2A" w:tentative="1">
      <w:start w:val="1"/>
      <w:numFmt w:val="bullet"/>
      <w:lvlText w:val="•"/>
      <w:lvlJc w:val="left"/>
      <w:pPr>
        <w:tabs>
          <w:tab w:val="num" w:pos="5760"/>
        </w:tabs>
        <w:ind w:left="5760" w:hanging="360"/>
      </w:pPr>
      <w:rPr>
        <w:rFonts w:ascii="Arial" w:hAnsi="Arial" w:hint="default"/>
      </w:rPr>
    </w:lvl>
    <w:lvl w:ilvl="8" w:tplc="37A63AFC" w:tentative="1">
      <w:start w:val="1"/>
      <w:numFmt w:val="bullet"/>
      <w:lvlText w:val="•"/>
      <w:lvlJc w:val="left"/>
      <w:pPr>
        <w:tabs>
          <w:tab w:val="num" w:pos="6480"/>
        </w:tabs>
        <w:ind w:left="6480" w:hanging="360"/>
      </w:pPr>
      <w:rPr>
        <w:rFonts w:ascii="Arial" w:hAnsi="Arial" w:hint="default"/>
      </w:rPr>
    </w:lvl>
  </w:abstractNum>
  <w:abstractNum w:abstractNumId="2">
    <w:nsid w:val="43886F91"/>
    <w:multiLevelType w:val="hybridMultilevel"/>
    <w:tmpl w:val="BA26EC9E"/>
    <w:lvl w:ilvl="0" w:tplc="F3780D1C">
      <w:start w:val="1"/>
      <w:numFmt w:val="bullet"/>
      <w:lvlText w:val="•"/>
      <w:lvlJc w:val="left"/>
      <w:pPr>
        <w:tabs>
          <w:tab w:val="num" w:pos="720"/>
        </w:tabs>
        <w:ind w:left="720" w:hanging="360"/>
      </w:pPr>
      <w:rPr>
        <w:rFonts w:ascii="Arial" w:hAnsi="Arial" w:hint="default"/>
      </w:rPr>
    </w:lvl>
    <w:lvl w:ilvl="1" w:tplc="667ACB94" w:tentative="1">
      <w:start w:val="1"/>
      <w:numFmt w:val="bullet"/>
      <w:lvlText w:val="•"/>
      <w:lvlJc w:val="left"/>
      <w:pPr>
        <w:tabs>
          <w:tab w:val="num" w:pos="1440"/>
        </w:tabs>
        <w:ind w:left="1440" w:hanging="360"/>
      </w:pPr>
      <w:rPr>
        <w:rFonts w:ascii="Arial" w:hAnsi="Arial" w:hint="default"/>
      </w:rPr>
    </w:lvl>
    <w:lvl w:ilvl="2" w:tplc="888E32B8" w:tentative="1">
      <w:start w:val="1"/>
      <w:numFmt w:val="bullet"/>
      <w:lvlText w:val="•"/>
      <w:lvlJc w:val="left"/>
      <w:pPr>
        <w:tabs>
          <w:tab w:val="num" w:pos="2160"/>
        </w:tabs>
        <w:ind w:left="2160" w:hanging="360"/>
      </w:pPr>
      <w:rPr>
        <w:rFonts w:ascii="Arial" w:hAnsi="Arial" w:hint="default"/>
      </w:rPr>
    </w:lvl>
    <w:lvl w:ilvl="3" w:tplc="45681BB6" w:tentative="1">
      <w:start w:val="1"/>
      <w:numFmt w:val="bullet"/>
      <w:lvlText w:val="•"/>
      <w:lvlJc w:val="left"/>
      <w:pPr>
        <w:tabs>
          <w:tab w:val="num" w:pos="2880"/>
        </w:tabs>
        <w:ind w:left="2880" w:hanging="360"/>
      </w:pPr>
      <w:rPr>
        <w:rFonts w:ascii="Arial" w:hAnsi="Arial" w:hint="default"/>
      </w:rPr>
    </w:lvl>
    <w:lvl w:ilvl="4" w:tplc="8A0A1A80" w:tentative="1">
      <w:start w:val="1"/>
      <w:numFmt w:val="bullet"/>
      <w:lvlText w:val="•"/>
      <w:lvlJc w:val="left"/>
      <w:pPr>
        <w:tabs>
          <w:tab w:val="num" w:pos="3600"/>
        </w:tabs>
        <w:ind w:left="3600" w:hanging="360"/>
      </w:pPr>
      <w:rPr>
        <w:rFonts w:ascii="Arial" w:hAnsi="Arial" w:hint="default"/>
      </w:rPr>
    </w:lvl>
    <w:lvl w:ilvl="5" w:tplc="0722DC86" w:tentative="1">
      <w:start w:val="1"/>
      <w:numFmt w:val="bullet"/>
      <w:lvlText w:val="•"/>
      <w:lvlJc w:val="left"/>
      <w:pPr>
        <w:tabs>
          <w:tab w:val="num" w:pos="4320"/>
        </w:tabs>
        <w:ind w:left="4320" w:hanging="360"/>
      </w:pPr>
      <w:rPr>
        <w:rFonts w:ascii="Arial" w:hAnsi="Arial" w:hint="default"/>
      </w:rPr>
    </w:lvl>
    <w:lvl w:ilvl="6" w:tplc="B630D684" w:tentative="1">
      <w:start w:val="1"/>
      <w:numFmt w:val="bullet"/>
      <w:lvlText w:val="•"/>
      <w:lvlJc w:val="left"/>
      <w:pPr>
        <w:tabs>
          <w:tab w:val="num" w:pos="5040"/>
        </w:tabs>
        <w:ind w:left="5040" w:hanging="360"/>
      </w:pPr>
      <w:rPr>
        <w:rFonts w:ascii="Arial" w:hAnsi="Arial" w:hint="default"/>
      </w:rPr>
    </w:lvl>
    <w:lvl w:ilvl="7" w:tplc="0988EA32" w:tentative="1">
      <w:start w:val="1"/>
      <w:numFmt w:val="bullet"/>
      <w:lvlText w:val="•"/>
      <w:lvlJc w:val="left"/>
      <w:pPr>
        <w:tabs>
          <w:tab w:val="num" w:pos="5760"/>
        </w:tabs>
        <w:ind w:left="5760" w:hanging="360"/>
      </w:pPr>
      <w:rPr>
        <w:rFonts w:ascii="Arial" w:hAnsi="Arial" w:hint="default"/>
      </w:rPr>
    </w:lvl>
    <w:lvl w:ilvl="8" w:tplc="28222B6A" w:tentative="1">
      <w:start w:val="1"/>
      <w:numFmt w:val="bullet"/>
      <w:lvlText w:val="•"/>
      <w:lvlJc w:val="left"/>
      <w:pPr>
        <w:tabs>
          <w:tab w:val="num" w:pos="6480"/>
        </w:tabs>
        <w:ind w:left="6480" w:hanging="360"/>
      </w:pPr>
      <w:rPr>
        <w:rFonts w:ascii="Arial" w:hAnsi="Arial" w:hint="default"/>
      </w:rPr>
    </w:lvl>
  </w:abstractNum>
  <w:abstractNum w:abstractNumId="3">
    <w:nsid w:val="4D94702B"/>
    <w:multiLevelType w:val="hybridMultilevel"/>
    <w:tmpl w:val="EAAC6A3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7750B43"/>
    <w:multiLevelType w:val="hybridMultilevel"/>
    <w:tmpl w:val="9A0AEC52"/>
    <w:lvl w:ilvl="0" w:tplc="880A6B5C">
      <w:start w:val="1"/>
      <w:numFmt w:val="bullet"/>
      <w:lvlText w:val=""/>
      <w:lvlJc w:val="left"/>
      <w:pPr>
        <w:tabs>
          <w:tab w:val="num" w:pos="720"/>
        </w:tabs>
        <w:ind w:left="720" w:hanging="360"/>
      </w:pPr>
      <w:rPr>
        <w:rFonts w:ascii="Wingdings" w:hAnsi="Wingdings" w:hint="default"/>
      </w:rPr>
    </w:lvl>
    <w:lvl w:ilvl="1" w:tplc="455C61D6" w:tentative="1">
      <w:start w:val="1"/>
      <w:numFmt w:val="bullet"/>
      <w:lvlText w:val=""/>
      <w:lvlJc w:val="left"/>
      <w:pPr>
        <w:tabs>
          <w:tab w:val="num" w:pos="1440"/>
        </w:tabs>
        <w:ind w:left="1440" w:hanging="360"/>
      </w:pPr>
      <w:rPr>
        <w:rFonts w:ascii="Wingdings" w:hAnsi="Wingdings" w:hint="default"/>
      </w:rPr>
    </w:lvl>
    <w:lvl w:ilvl="2" w:tplc="EEE2DC24" w:tentative="1">
      <w:start w:val="1"/>
      <w:numFmt w:val="bullet"/>
      <w:lvlText w:val=""/>
      <w:lvlJc w:val="left"/>
      <w:pPr>
        <w:tabs>
          <w:tab w:val="num" w:pos="2160"/>
        </w:tabs>
        <w:ind w:left="2160" w:hanging="360"/>
      </w:pPr>
      <w:rPr>
        <w:rFonts w:ascii="Wingdings" w:hAnsi="Wingdings" w:hint="default"/>
      </w:rPr>
    </w:lvl>
    <w:lvl w:ilvl="3" w:tplc="F7309DA0" w:tentative="1">
      <w:start w:val="1"/>
      <w:numFmt w:val="bullet"/>
      <w:lvlText w:val=""/>
      <w:lvlJc w:val="left"/>
      <w:pPr>
        <w:tabs>
          <w:tab w:val="num" w:pos="2880"/>
        </w:tabs>
        <w:ind w:left="2880" w:hanging="360"/>
      </w:pPr>
      <w:rPr>
        <w:rFonts w:ascii="Wingdings" w:hAnsi="Wingdings" w:hint="default"/>
      </w:rPr>
    </w:lvl>
    <w:lvl w:ilvl="4" w:tplc="AC40808A" w:tentative="1">
      <w:start w:val="1"/>
      <w:numFmt w:val="bullet"/>
      <w:lvlText w:val=""/>
      <w:lvlJc w:val="left"/>
      <w:pPr>
        <w:tabs>
          <w:tab w:val="num" w:pos="3600"/>
        </w:tabs>
        <w:ind w:left="3600" w:hanging="360"/>
      </w:pPr>
      <w:rPr>
        <w:rFonts w:ascii="Wingdings" w:hAnsi="Wingdings" w:hint="default"/>
      </w:rPr>
    </w:lvl>
    <w:lvl w:ilvl="5" w:tplc="A1048174" w:tentative="1">
      <w:start w:val="1"/>
      <w:numFmt w:val="bullet"/>
      <w:lvlText w:val=""/>
      <w:lvlJc w:val="left"/>
      <w:pPr>
        <w:tabs>
          <w:tab w:val="num" w:pos="4320"/>
        </w:tabs>
        <w:ind w:left="4320" w:hanging="360"/>
      </w:pPr>
      <w:rPr>
        <w:rFonts w:ascii="Wingdings" w:hAnsi="Wingdings" w:hint="default"/>
      </w:rPr>
    </w:lvl>
    <w:lvl w:ilvl="6" w:tplc="CFB4D4AE" w:tentative="1">
      <w:start w:val="1"/>
      <w:numFmt w:val="bullet"/>
      <w:lvlText w:val=""/>
      <w:lvlJc w:val="left"/>
      <w:pPr>
        <w:tabs>
          <w:tab w:val="num" w:pos="5040"/>
        </w:tabs>
        <w:ind w:left="5040" w:hanging="360"/>
      </w:pPr>
      <w:rPr>
        <w:rFonts w:ascii="Wingdings" w:hAnsi="Wingdings" w:hint="default"/>
      </w:rPr>
    </w:lvl>
    <w:lvl w:ilvl="7" w:tplc="BFF23DCC" w:tentative="1">
      <w:start w:val="1"/>
      <w:numFmt w:val="bullet"/>
      <w:lvlText w:val=""/>
      <w:lvlJc w:val="left"/>
      <w:pPr>
        <w:tabs>
          <w:tab w:val="num" w:pos="5760"/>
        </w:tabs>
        <w:ind w:left="5760" w:hanging="360"/>
      </w:pPr>
      <w:rPr>
        <w:rFonts w:ascii="Wingdings" w:hAnsi="Wingdings" w:hint="default"/>
      </w:rPr>
    </w:lvl>
    <w:lvl w:ilvl="8" w:tplc="1064219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22"/>
    <w:rsid w:val="001B56FD"/>
    <w:rsid w:val="001F1ED7"/>
    <w:rsid w:val="00240E22"/>
    <w:rsid w:val="00253825"/>
    <w:rsid w:val="00292B1B"/>
    <w:rsid w:val="005B6359"/>
    <w:rsid w:val="005D7C8B"/>
    <w:rsid w:val="00615F1B"/>
    <w:rsid w:val="00687825"/>
    <w:rsid w:val="006C3F68"/>
    <w:rsid w:val="00815F94"/>
    <w:rsid w:val="00976DE6"/>
    <w:rsid w:val="00B65AD6"/>
    <w:rsid w:val="00BF0EE5"/>
    <w:rsid w:val="00EB40A1"/>
    <w:rsid w:val="00F20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40E22"/>
    <w:rPr>
      <w:color w:val="0000FF" w:themeColor="hyperlink"/>
      <w:u w:val="single"/>
    </w:rPr>
  </w:style>
  <w:style w:type="character" w:customStyle="1" w:styleId="Gvdemetni">
    <w:name w:val="Gövde metni_"/>
    <w:basedOn w:val="VarsaylanParagrafYazTipi"/>
    <w:link w:val="Gvdemetni0"/>
    <w:locked/>
    <w:rsid w:val="00240E22"/>
    <w:rPr>
      <w:rFonts w:ascii="Arial" w:eastAsia="Arial" w:hAnsi="Arial" w:cs="Arial"/>
      <w:spacing w:val="-10"/>
      <w:sz w:val="30"/>
      <w:szCs w:val="30"/>
      <w:shd w:val="clear" w:color="auto" w:fill="FFFFFF"/>
    </w:rPr>
  </w:style>
  <w:style w:type="paragraph" w:customStyle="1" w:styleId="Gvdemetni0">
    <w:name w:val="Gövde metni"/>
    <w:basedOn w:val="Normal"/>
    <w:link w:val="Gvdemetni"/>
    <w:rsid w:val="00240E22"/>
    <w:pPr>
      <w:widowControl w:val="0"/>
      <w:shd w:val="clear" w:color="auto" w:fill="FFFFFF"/>
      <w:spacing w:after="300" w:line="322" w:lineRule="exact"/>
      <w:ind w:hanging="380"/>
      <w:jc w:val="both"/>
    </w:pPr>
    <w:rPr>
      <w:rFonts w:ascii="Arial" w:eastAsia="Arial" w:hAnsi="Arial" w:cs="Arial"/>
      <w:spacing w:val="-10"/>
      <w:sz w:val="30"/>
      <w:szCs w:val="30"/>
    </w:rPr>
  </w:style>
  <w:style w:type="paragraph" w:styleId="BalonMetni">
    <w:name w:val="Balloon Text"/>
    <w:basedOn w:val="Normal"/>
    <w:link w:val="BalonMetniChar"/>
    <w:uiPriority w:val="99"/>
    <w:semiHidden/>
    <w:unhideWhenUsed/>
    <w:rsid w:val="00240E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E22"/>
    <w:rPr>
      <w:rFonts w:ascii="Tahoma" w:hAnsi="Tahoma" w:cs="Tahoma"/>
      <w:sz w:val="16"/>
      <w:szCs w:val="16"/>
    </w:rPr>
  </w:style>
  <w:style w:type="paragraph" w:styleId="ResimYazs">
    <w:name w:val="caption"/>
    <w:basedOn w:val="Normal"/>
    <w:next w:val="Normal"/>
    <w:uiPriority w:val="35"/>
    <w:unhideWhenUsed/>
    <w:qFormat/>
    <w:rsid w:val="00240E22"/>
    <w:pPr>
      <w:spacing w:line="240" w:lineRule="auto"/>
    </w:pPr>
    <w:rPr>
      <w:b/>
      <w:bCs/>
      <w:color w:val="4F81BD" w:themeColor="accent1"/>
      <w:sz w:val="18"/>
      <w:szCs w:val="18"/>
    </w:rPr>
  </w:style>
  <w:style w:type="paragraph" w:styleId="NormalWeb">
    <w:name w:val="Normal (Web)"/>
    <w:basedOn w:val="Normal"/>
    <w:uiPriority w:val="99"/>
    <w:unhideWhenUsed/>
    <w:rsid w:val="005B635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Liste-Vurgu1">
    <w:name w:val="Light List Accent 1"/>
    <w:basedOn w:val="NormalTablo"/>
    <w:uiPriority w:val="61"/>
    <w:rsid w:val="005B63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5B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76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6DE6"/>
  </w:style>
  <w:style w:type="paragraph" w:styleId="Altbilgi">
    <w:name w:val="footer"/>
    <w:basedOn w:val="Normal"/>
    <w:link w:val="AltbilgiChar"/>
    <w:uiPriority w:val="99"/>
    <w:unhideWhenUsed/>
    <w:rsid w:val="00976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40E22"/>
    <w:rPr>
      <w:color w:val="0000FF" w:themeColor="hyperlink"/>
      <w:u w:val="single"/>
    </w:rPr>
  </w:style>
  <w:style w:type="character" w:customStyle="1" w:styleId="Gvdemetni">
    <w:name w:val="Gövde metni_"/>
    <w:basedOn w:val="VarsaylanParagrafYazTipi"/>
    <w:link w:val="Gvdemetni0"/>
    <w:locked/>
    <w:rsid w:val="00240E22"/>
    <w:rPr>
      <w:rFonts w:ascii="Arial" w:eastAsia="Arial" w:hAnsi="Arial" w:cs="Arial"/>
      <w:spacing w:val="-10"/>
      <w:sz w:val="30"/>
      <w:szCs w:val="30"/>
      <w:shd w:val="clear" w:color="auto" w:fill="FFFFFF"/>
    </w:rPr>
  </w:style>
  <w:style w:type="paragraph" w:customStyle="1" w:styleId="Gvdemetni0">
    <w:name w:val="Gövde metni"/>
    <w:basedOn w:val="Normal"/>
    <w:link w:val="Gvdemetni"/>
    <w:rsid w:val="00240E22"/>
    <w:pPr>
      <w:widowControl w:val="0"/>
      <w:shd w:val="clear" w:color="auto" w:fill="FFFFFF"/>
      <w:spacing w:after="300" w:line="322" w:lineRule="exact"/>
      <w:ind w:hanging="380"/>
      <w:jc w:val="both"/>
    </w:pPr>
    <w:rPr>
      <w:rFonts w:ascii="Arial" w:eastAsia="Arial" w:hAnsi="Arial" w:cs="Arial"/>
      <w:spacing w:val="-10"/>
      <w:sz w:val="30"/>
      <w:szCs w:val="30"/>
    </w:rPr>
  </w:style>
  <w:style w:type="paragraph" w:styleId="BalonMetni">
    <w:name w:val="Balloon Text"/>
    <w:basedOn w:val="Normal"/>
    <w:link w:val="BalonMetniChar"/>
    <w:uiPriority w:val="99"/>
    <w:semiHidden/>
    <w:unhideWhenUsed/>
    <w:rsid w:val="00240E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E22"/>
    <w:rPr>
      <w:rFonts w:ascii="Tahoma" w:hAnsi="Tahoma" w:cs="Tahoma"/>
      <w:sz w:val="16"/>
      <w:szCs w:val="16"/>
    </w:rPr>
  </w:style>
  <w:style w:type="paragraph" w:styleId="ResimYazs">
    <w:name w:val="caption"/>
    <w:basedOn w:val="Normal"/>
    <w:next w:val="Normal"/>
    <w:uiPriority w:val="35"/>
    <w:unhideWhenUsed/>
    <w:qFormat/>
    <w:rsid w:val="00240E22"/>
    <w:pPr>
      <w:spacing w:line="240" w:lineRule="auto"/>
    </w:pPr>
    <w:rPr>
      <w:b/>
      <w:bCs/>
      <w:color w:val="4F81BD" w:themeColor="accent1"/>
      <w:sz w:val="18"/>
      <w:szCs w:val="18"/>
    </w:rPr>
  </w:style>
  <w:style w:type="paragraph" w:styleId="NormalWeb">
    <w:name w:val="Normal (Web)"/>
    <w:basedOn w:val="Normal"/>
    <w:uiPriority w:val="99"/>
    <w:unhideWhenUsed/>
    <w:rsid w:val="005B635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AkListe-Vurgu1">
    <w:name w:val="Light List Accent 1"/>
    <w:basedOn w:val="NormalTablo"/>
    <w:uiPriority w:val="61"/>
    <w:rsid w:val="005B63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5B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76D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6DE6"/>
  </w:style>
  <w:style w:type="paragraph" w:styleId="Altbilgi">
    <w:name w:val="footer"/>
    <w:basedOn w:val="Normal"/>
    <w:link w:val="AltbilgiChar"/>
    <w:uiPriority w:val="99"/>
    <w:unhideWhenUsed/>
    <w:rsid w:val="00976D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853">
      <w:bodyDiv w:val="1"/>
      <w:marLeft w:val="0"/>
      <w:marRight w:val="0"/>
      <w:marTop w:val="0"/>
      <w:marBottom w:val="0"/>
      <w:divBdr>
        <w:top w:val="none" w:sz="0" w:space="0" w:color="auto"/>
        <w:left w:val="none" w:sz="0" w:space="0" w:color="auto"/>
        <w:bottom w:val="none" w:sz="0" w:space="0" w:color="auto"/>
        <w:right w:val="none" w:sz="0" w:space="0" w:color="auto"/>
      </w:divBdr>
    </w:div>
    <w:div w:id="228225532">
      <w:bodyDiv w:val="1"/>
      <w:marLeft w:val="0"/>
      <w:marRight w:val="0"/>
      <w:marTop w:val="0"/>
      <w:marBottom w:val="0"/>
      <w:divBdr>
        <w:top w:val="none" w:sz="0" w:space="0" w:color="auto"/>
        <w:left w:val="none" w:sz="0" w:space="0" w:color="auto"/>
        <w:bottom w:val="none" w:sz="0" w:space="0" w:color="auto"/>
        <w:right w:val="none" w:sz="0" w:space="0" w:color="auto"/>
      </w:divBdr>
    </w:div>
    <w:div w:id="447970708">
      <w:bodyDiv w:val="1"/>
      <w:marLeft w:val="0"/>
      <w:marRight w:val="0"/>
      <w:marTop w:val="0"/>
      <w:marBottom w:val="0"/>
      <w:divBdr>
        <w:top w:val="none" w:sz="0" w:space="0" w:color="auto"/>
        <w:left w:val="none" w:sz="0" w:space="0" w:color="auto"/>
        <w:bottom w:val="none" w:sz="0" w:space="0" w:color="auto"/>
        <w:right w:val="none" w:sz="0" w:space="0" w:color="auto"/>
      </w:divBdr>
    </w:div>
    <w:div w:id="497114275">
      <w:bodyDiv w:val="1"/>
      <w:marLeft w:val="0"/>
      <w:marRight w:val="0"/>
      <w:marTop w:val="0"/>
      <w:marBottom w:val="0"/>
      <w:divBdr>
        <w:top w:val="none" w:sz="0" w:space="0" w:color="auto"/>
        <w:left w:val="none" w:sz="0" w:space="0" w:color="auto"/>
        <w:bottom w:val="none" w:sz="0" w:space="0" w:color="auto"/>
        <w:right w:val="none" w:sz="0" w:space="0" w:color="auto"/>
      </w:divBdr>
      <w:divsChild>
        <w:div w:id="611789520">
          <w:marLeft w:val="547"/>
          <w:marRight w:val="0"/>
          <w:marTop w:val="106"/>
          <w:marBottom w:val="0"/>
          <w:divBdr>
            <w:top w:val="none" w:sz="0" w:space="0" w:color="auto"/>
            <w:left w:val="none" w:sz="0" w:space="0" w:color="auto"/>
            <w:bottom w:val="none" w:sz="0" w:space="0" w:color="auto"/>
            <w:right w:val="none" w:sz="0" w:space="0" w:color="auto"/>
          </w:divBdr>
        </w:div>
        <w:div w:id="833951816">
          <w:marLeft w:val="547"/>
          <w:marRight w:val="0"/>
          <w:marTop w:val="106"/>
          <w:marBottom w:val="0"/>
          <w:divBdr>
            <w:top w:val="none" w:sz="0" w:space="0" w:color="auto"/>
            <w:left w:val="none" w:sz="0" w:space="0" w:color="auto"/>
            <w:bottom w:val="none" w:sz="0" w:space="0" w:color="auto"/>
            <w:right w:val="none" w:sz="0" w:space="0" w:color="auto"/>
          </w:divBdr>
        </w:div>
        <w:div w:id="506142099">
          <w:marLeft w:val="547"/>
          <w:marRight w:val="0"/>
          <w:marTop w:val="106"/>
          <w:marBottom w:val="0"/>
          <w:divBdr>
            <w:top w:val="none" w:sz="0" w:space="0" w:color="auto"/>
            <w:left w:val="none" w:sz="0" w:space="0" w:color="auto"/>
            <w:bottom w:val="none" w:sz="0" w:space="0" w:color="auto"/>
            <w:right w:val="none" w:sz="0" w:space="0" w:color="auto"/>
          </w:divBdr>
        </w:div>
      </w:divsChild>
    </w:div>
    <w:div w:id="641811858">
      <w:bodyDiv w:val="1"/>
      <w:marLeft w:val="0"/>
      <w:marRight w:val="0"/>
      <w:marTop w:val="0"/>
      <w:marBottom w:val="0"/>
      <w:divBdr>
        <w:top w:val="none" w:sz="0" w:space="0" w:color="auto"/>
        <w:left w:val="none" w:sz="0" w:space="0" w:color="auto"/>
        <w:bottom w:val="none" w:sz="0" w:space="0" w:color="auto"/>
        <w:right w:val="none" w:sz="0" w:space="0" w:color="auto"/>
      </w:divBdr>
    </w:div>
    <w:div w:id="1139420970">
      <w:bodyDiv w:val="1"/>
      <w:marLeft w:val="0"/>
      <w:marRight w:val="0"/>
      <w:marTop w:val="0"/>
      <w:marBottom w:val="0"/>
      <w:divBdr>
        <w:top w:val="none" w:sz="0" w:space="0" w:color="auto"/>
        <w:left w:val="none" w:sz="0" w:space="0" w:color="auto"/>
        <w:bottom w:val="none" w:sz="0" w:space="0" w:color="auto"/>
        <w:right w:val="none" w:sz="0" w:space="0" w:color="auto"/>
      </w:divBdr>
    </w:div>
    <w:div w:id="1175151551">
      <w:bodyDiv w:val="1"/>
      <w:marLeft w:val="0"/>
      <w:marRight w:val="0"/>
      <w:marTop w:val="0"/>
      <w:marBottom w:val="0"/>
      <w:divBdr>
        <w:top w:val="none" w:sz="0" w:space="0" w:color="auto"/>
        <w:left w:val="none" w:sz="0" w:space="0" w:color="auto"/>
        <w:bottom w:val="none" w:sz="0" w:space="0" w:color="auto"/>
        <w:right w:val="none" w:sz="0" w:space="0" w:color="auto"/>
      </w:divBdr>
      <w:divsChild>
        <w:div w:id="2059817908">
          <w:marLeft w:val="720"/>
          <w:marRight w:val="0"/>
          <w:marTop w:val="154"/>
          <w:marBottom w:val="0"/>
          <w:divBdr>
            <w:top w:val="none" w:sz="0" w:space="0" w:color="auto"/>
            <w:left w:val="none" w:sz="0" w:space="0" w:color="auto"/>
            <w:bottom w:val="none" w:sz="0" w:space="0" w:color="auto"/>
            <w:right w:val="none" w:sz="0" w:space="0" w:color="auto"/>
          </w:divBdr>
        </w:div>
      </w:divsChild>
    </w:div>
    <w:div w:id="1255093228">
      <w:bodyDiv w:val="1"/>
      <w:marLeft w:val="0"/>
      <w:marRight w:val="0"/>
      <w:marTop w:val="0"/>
      <w:marBottom w:val="0"/>
      <w:divBdr>
        <w:top w:val="none" w:sz="0" w:space="0" w:color="auto"/>
        <w:left w:val="none" w:sz="0" w:space="0" w:color="auto"/>
        <w:bottom w:val="none" w:sz="0" w:space="0" w:color="auto"/>
        <w:right w:val="none" w:sz="0" w:space="0" w:color="auto"/>
      </w:divBdr>
    </w:div>
    <w:div w:id="1287353005">
      <w:bodyDiv w:val="1"/>
      <w:marLeft w:val="0"/>
      <w:marRight w:val="0"/>
      <w:marTop w:val="0"/>
      <w:marBottom w:val="0"/>
      <w:divBdr>
        <w:top w:val="none" w:sz="0" w:space="0" w:color="auto"/>
        <w:left w:val="none" w:sz="0" w:space="0" w:color="auto"/>
        <w:bottom w:val="none" w:sz="0" w:space="0" w:color="auto"/>
        <w:right w:val="none" w:sz="0" w:space="0" w:color="auto"/>
      </w:divBdr>
      <w:divsChild>
        <w:div w:id="635529762">
          <w:marLeft w:val="720"/>
          <w:marRight w:val="0"/>
          <w:marTop w:val="154"/>
          <w:marBottom w:val="0"/>
          <w:divBdr>
            <w:top w:val="none" w:sz="0" w:space="0" w:color="auto"/>
            <w:left w:val="none" w:sz="0" w:space="0" w:color="auto"/>
            <w:bottom w:val="none" w:sz="0" w:space="0" w:color="auto"/>
            <w:right w:val="none" w:sz="0" w:space="0" w:color="auto"/>
          </w:divBdr>
        </w:div>
        <w:div w:id="1824618636">
          <w:marLeft w:val="720"/>
          <w:marRight w:val="0"/>
          <w:marTop w:val="154"/>
          <w:marBottom w:val="0"/>
          <w:divBdr>
            <w:top w:val="none" w:sz="0" w:space="0" w:color="auto"/>
            <w:left w:val="none" w:sz="0" w:space="0" w:color="auto"/>
            <w:bottom w:val="none" w:sz="0" w:space="0" w:color="auto"/>
            <w:right w:val="none" w:sz="0" w:space="0" w:color="auto"/>
          </w:divBdr>
        </w:div>
      </w:divsChild>
    </w:div>
    <w:div w:id="1485077193">
      <w:bodyDiv w:val="1"/>
      <w:marLeft w:val="0"/>
      <w:marRight w:val="0"/>
      <w:marTop w:val="0"/>
      <w:marBottom w:val="0"/>
      <w:divBdr>
        <w:top w:val="none" w:sz="0" w:space="0" w:color="auto"/>
        <w:left w:val="none" w:sz="0" w:space="0" w:color="auto"/>
        <w:bottom w:val="none" w:sz="0" w:space="0" w:color="auto"/>
        <w:right w:val="none" w:sz="0" w:space="0" w:color="auto"/>
      </w:divBdr>
    </w:div>
    <w:div w:id="1519808440">
      <w:bodyDiv w:val="1"/>
      <w:marLeft w:val="0"/>
      <w:marRight w:val="0"/>
      <w:marTop w:val="0"/>
      <w:marBottom w:val="0"/>
      <w:divBdr>
        <w:top w:val="none" w:sz="0" w:space="0" w:color="auto"/>
        <w:left w:val="none" w:sz="0" w:space="0" w:color="auto"/>
        <w:bottom w:val="none" w:sz="0" w:space="0" w:color="auto"/>
        <w:right w:val="none" w:sz="0" w:space="0" w:color="auto"/>
      </w:divBdr>
      <w:divsChild>
        <w:div w:id="1791433915">
          <w:marLeft w:val="547"/>
          <w:marRight w:val="0"/>
          <w:marTop w:val="106"/>
          <w:marBottom w:val="0"/>
          <w:divBdr>
            <w:top w:val="none" w:sz="0" w:space="0" w:color="auto"/>
            <w:left w:val="none" w:sz="0" w:space="0" w:color="auto"/>
            <w:bottom w:val="none" w:sz="0" w:space="0" w:color="auto"/>
            <w:right w:val="none" w:sz="0" w:space="0" w:color="auto"/>
          </w:divBdr>
        </w:div>
        <w:div w:id="453527805">
          <w:marLeft w:val="547"/>
          <w:marRight w:val="0"/>
          <w:marTop w:val="106"/>
          <w:marBottom w:val="0"/>
          <w:divBdr>
            <w:top w:val="none" w:sz="0" w:space="0" w:color="auto"/>
            <w:left w:val="none" w:sz="0" w:space="0" w:color="auto"/>
            <w:bottom w:val="none" w:sz="0" w:space="0" w:color="auto"/>
            <w:right w:val="none" w:sz="0" w:space="0" w:color="auto"/>
          </w:divBdr>
        </w:div>
        <w:div w:id="558177316">
          <w:marLeft w:val="547"/>
          <w:marRight w:val="0"/>
          <w:marTop w:val="106"/>
          <w:marBottom w:val="0"/>
          <w:divBdr>
            <w:top w:val="none" w:sz="0" w:space="0" w:color="auto"/>
            <w:left w:val="none" w:sz="0" w:space="0" w:color="auto"/>
            <w:bottom w:val="none" w:sz="0" w:space="0" w:color="auto"/>
            <w:right w:val="none" w:sz="0" w:space="0" w:color="auto"/>
          </w:divBdr>
        </w:div>
        <w:div w:id="1693068409">
          <w:marLeft w:val="547"/>
          <w:marRight w:val="0"/>
          <w:marTop w:val="106"/>
          <w:marBottom w:val="0"/>
          <w:divBdr>
            <w:top w:val="none" w:sz="0" w:space="0" w:color="auto"/>
            <w:left w:val="none" w:sz="0" w:space="0" w:color="auto"/>
            <w:bottom w:val="none" w:sz="0" w:space="0" w:color="auto"/>
            <w:right w:val="none" w:sz="0" w:space="0" w:color="auto"/>
          </w:divBdr>
        </w:div>
        <w:div w:id="2145845884">
          <w:marLeft w:val="547"/>
          <w:marRight w:val="0"/>
          <w:marTop w:val="106"/>
          <w:marBottom w:val="0"/>
          <w:divBdr>
            <w:top w:val="none" w:sz="0" w:space="0" w:color="auto"/>
            <w:left w:val="none" w:sz="0" w:space="0" w:color="auto"/>
            <w:bottom w:val="none" w:sz="0" w:space="0" w:color="auto"/>
            <w:right w:val="none" w:sz="0" w:space="0" w:color="auto"/>
          </w:divBdr>
        </w:div>
        <w:div w:id="1483767022">
          <w:marLeft w:val="547"/>
          <w:marRight w:val="0"/>
          <w:marTop w:val="106"/>
          <w:marBottom w:val="0"/>
          <w:divBdr>
            <w:top w:val="none" w:sz="0" w:space="0" w:color="auto"/>
            <w:left w:val="none" w:sz="0" w:space="0" w:color="auto"/>
            <w:bottom w:val="none" w:sz="0" w:space="0" w:color="auto"/>
            <w:right w:val="none" w:sz="0" w:space="0" w:color="auto"/>
          </w:divBdr>
        </w:div>
      </w:divsChild>
    </w:div>
    <w:div w:id="1553230846">
      <w:bodyDiv w:val="1"/>
      <w:marLeft w:val="0"/>
      <w:marRight w:val="0"/>
      <w:marTop w:val="0"/>
      <w:marBottom w:val="0"/>
      <w:divBdr>
        <w:top w:val="none" w:sz="0" w:space="0" w:color="auto"/>
        <w:left w:val="none" w:sz="0" w:space="0" w:color="auto"/>
        <w:bottom w:val="none" w:sz="0" w:space="0" w:color="auto"/>
        <w:right w:val="none" w:sz="0" w:space="0" w:color="auto"/>
      </w:divBdr>
    </w:div>
    <w:div w:id="1576083331">
      <w:bodyDiv w:val="1"/>
      <w:marLeft w:val="0"/>
      <w:marRight w:val="0"/>
      <w:marTop w:val="0"/>
      <w:marBottom w:val="0"/>
      <w:divBdr>
        <w:top w:val="none" w:sz="0" w:space="0" w:color="auto"/>
        <w:left w:val="none" w:sz="0" w:space="0" w:color="auto"/>
        <w:bottom w:val="none" w:sz="0" w:space="0" w:color="auto"/>
        <w:right w:val="none" w:sz="0" w:space="0" w:color="auto"/>
      </w:divBdr>
    </w:div>
    <w:div w:id="1590384607">
      <w:bodyDiv w:val="1"/>
      <w:marLeft w:val="0"/>
      <w:marRight w:val="0"/>
      <w:marTop w:val="0"/>
      <w:marBottom w:val="0"/>
      <w:divBdr>
        <w:top w:val="none" w:sz="0" w:space="0" w:color="auto"/>
        <w:left w:val="none" w:sz="0" w:space="0" w:color="auto"/>
        <w:bottom w:val="none" w:sz="0" w:space="0" w:color="auto"/>
        <w:right w:val="none" w:sz="0" w:space="0" w:color="auto"/>
      </w:divBdr>
    </w:div>
    <w:div w:id="1775246863">
      <w:bodyDiv w:val="1"/>
      <w:marLeft w:val="0"/>
      <w:marRight w:val="0"/>
      <w:marTop w:val="0"/>
      <w:marBottom w:val="0"/>
      <w:divBdr>
        <w:top w:val="none" w:sz="0" w:space="0" w:color="auto"/>
        <w:left w:val="none" w:sz="0" w:space="0" w:color="auto"/>
        <w:bottom w:val="none" w:sz="0" w:space="0" w:color="auto"/>
        <w:right w:val="none" w:sz="0" w:space="0" w:color="auto"/>
      </w:divBdr>
      <w:divsChild>
        <w:div w:id="1874608483">
          <w:marLeft w:val="720"/>
          <w:marRight w:val="0"/>
          <w:marTop w:val="154"/>
          <w:marBottom w:val="0"/>
          <w:divBdr>
            <w:top w:val="none" w:sz="0" w:space="0" w:color="auto"/>
            <w:left w:val="none" w:sz="0" w:space="0" w:color="auto"/>
            <w:bottom w:val="none" w:sz="0" w:space="0" w:color="auto"/>
            <w:right w:val="none" w:sz="0" w:space="0" w:color="auto"/>
          </w:divBdr>
        </w:div>
        <w:div w:id="885987949">
          <w:marLeft w:val="720"/>
          <w:marRight w:val="0"/>
          <w:marTop w:val="154"/>
          <w:marBottom w:val="0"/>
          <w:divBdr>
            <w:top w:val="none" w:sz="0" w:space="0" w:color="auto"/>
            <w:left w:val="none" w:sz="0" w:space="0" w:color="auto"/>
            <w:bottom w:val="none" w:sz="0" w:space="0" w:color="auto"/>
            <w:right w:val="none" w:sz="0" w:space="0" w:color="auto"/>
          </w:divBdr>
        </w:div>
      </w:divsChild>
    </w:div>
    <w:div w:id="1807817047">
      <w:bodyDiv w:val="1"/>
      <w:marLeft w:val="0"/>
      <w:marRight w:val="0"/>
      <w:marTop w:val="0"/>
      <w:marBottom w:val="0"/>
      <w:divBdr>
        <w:top w:val="none" w:sz="0" w:space="0" w:color="auto"/>
        <w:left w:val="none" w:sz="0" w:space="0" w:color="auto"/>
        <w:bottom w:val="none" w:sz="0" w:space="0" w:color="auto"/>
        <w:right w:val="none" w:sz="0" w:space="0" w:color="auto"/>
      </w:divBdr>
      <w:divsChild>
        <w:div w:id="2037851451">
          <w:marLeft w:val="547"/>
          <w:marRight w:val="0"/>
          <w:marTop w:val="106"/>
          <w:marBottom w:val="0"/>
          <w:divBdr>
            <w:top w:val="none" w:sz="0" w:space="0" w:color="auto"/>
            <w:left w:val="none" w:sz="0" w:space="0" w:color="auto"/>
            <w:bottom w:val="none" w:sz="0" w:space="0" w:color="auto"/>
            <w:right w:val="none" w:sz="0" w:space="0" w:color="auto"/>
          </w:divBdr>
        </w:div>
        <w:div w:id="1091125112">
          <w:marLeft w:val="547"/>
          <w:marRight w:val="0"/>
          <w:marTop w:val="106"/>
          <w:marBottom w:val="0"/>
          <w:divBdr>
            <w:top w:val="none" w:sz="0" w:space="0" w:color="auto"/>
            <w:left w:val="none" w:sz="0" w:space="0" w:color="auto"/>
            <w:bottom w:val="none" w:sz="0" w:space="0" w:color="auto"/>
            <w:right w:val="none" w:sz="0" w:space="0" w:color="auto"/>
          </w:divBdr>
        </w:div>
        <w:div w:id="824510651">
          <w:marLeft w:val="547"/>
          <w:marRight w:val="0"/>
          <w:marTop w:val="106"/>
          <w:marBottom w:val="0"/>
          <w:divBdr>
            <w:top w:val="none" w:sz="0" w:space="0" w:color="auto"/>
            <w:left w:val="none" w:sz="0" w:space="0" w:color="auto"/>
            <w:bottom w:val="none" w:sz="0" w:space="0" w:color="auto"/>
            <w:right w:val="none" w:sz="0" w:space="0" w:color="auto"/>
          </w:divBdr>
        </w:div>
        <w:div w:id="1198085686">
          <w:marLeft w:val="547"/>
          <w:marRight w:val="0"/>
          <w:marTop w:val="106"/>
          <w:marBottom w:val="0"/>
          <w:divBdr>
            <w:top w:val="none" w:sz="0" w:space="0" w:color="auto"/>
            <w:left w:val="none" w:sz="0" w:space="0" w:color="auto"/>
            <w:bottom w:val="none" w:sz="0" w:space="0" w:color="auto"/>
            <w:right w:val="none" w:sz="0" w:space="0" w:color="auto"/>
          </w:divBdr>
        </w:div>
        <w:div w:id="252008775">
          <w:marLeft w:val="547"/>
          <w:marRight w:val="0"/>
          <w:marTop w:val="106"/>
          <w:marBottom w:val="0"/>
          <w:divBdr>
            <w:top w:val="none" w:sz="0" w:space="0" w:color="auto"/>
            <w:left w:val="none" w:sz="0" w:space="0" w:color="auto"/>
            <w:bottom w:val="none" w:sz="0" w:space="0" w:color="auto"/>
            <w:right w:val="none" w:sz="0" w:space="0" w:color="auto"/>
          </w:divBdr>
        </w:div>
        <w:div w:id="1091320285">
          <w:marLeft w:val="547"/>
          <w:marRight w:val="0"/>
          <w:marTop w:val="106"/>
          <w:marBottom w:val="0"/>
          <w:divBdr>
            <w:top w:val="none" w:sz="0" w:space="0" w:color="auto"/>
            <w:left w:val="none" w:sz="0" w:space="0" w:color="auto"/>
            <w:bottom w:val="none" w:sz="0" w:space="0" w:color="auto"/>
            <w:right w:val="none" w:sz="0" w:space="0" w:color="auto"/>
          </w:divBdr>
        </w:div>
      </w:divsChild>
    </w:div>
    <w:div w:id="1967268701">
      <w:bodyDiv w:val="1"/>
      <w:marLeft w:val="0"/>
      <w:marRight w:val="0"/>
      <w:marTop w:val="0"/>
      <w:marBottom w:val="0"/>
      <w:divBdr>
        <w:top w:val="none" w:sz="0" w:space="0" w:color="auto"/>
        <w:left w:val="none" w:sz="0" w:space="0" w:color="auto"/>
        <w:bottom w:val="none" w:sz="0" w:space="0" w:color="auto"/>
        <w:right w:val="none" w:sz="0" w:space="0" w:color="auto"/>
      </w:divBdr>
    </w:div>
    <w:div w:id="2027978402">
      <w:bodyDiv w:val="1"/>
      <w:marLeft w:val="0"/>
      <w:marRight w:val="0"/>
      <w:marTop w:val="0"/>
      <w:marBottom w:val="0"/>
      <w:divBdr>
        <w:top w:val="none" w:sz="0" w:space="0" w:color="auto"/>
        <w:left w:val="none" w:sz="0" w:space="0" w:color="auto"/>
        <w:bottom w:val="none" w:sz="0" w:space="0" w:color="auto"/>
        <w:right w:val="none" w:sz="0" w:space="0" w:color="auto"/>
      </w:divBdr>
      <w:divsChild>
        <w:div w:id="1916435861">
          <w:marLeft w:val="547"/>
          <w:marRight w:val="0"/>
          <w:marTop w:val="106"/>
          <w:marBottom w:val="0"/>
          <w:divBdr>
            <w:top w:val="none" w:sz="0" w:space="0" w:color="auto"/>
            <w:left w:val="none" w:sz="0" w:space="0" w:color="auto"/>
            <w:bottom w:val="none" w:sz="0" w:space="0" w:color="auto"/>
            <w:right w:val="none" w:sz="0" w:space="0" w:color="auto"/>
          </w:divBdr>
        </w:div>
        <w:div w:id="511067026">
          <w:marLeft w:val="547"/>
          <w:marRight w:val="0"/>
          <w:marTop w:val="106"/>
          <w:marBottom w:val="0"/>
          <w:divBdr>
            <w:top w:val="none" w:sz="0" w:space="0" w:color="auto"/>
            <w:left w:val="none" w:sz="0" w:space="0" w:color="auto"/>
            <w:bottom w:val="none" w:sz="0" w:space="0" w:color="auto"/>
            <w:right w:val="none" w:sz="0" w:space="0" w:color="auto"/>
          </w:divBdr>
        </w:div>
        <w:div w:id="1227104325">
          <w:marLeft w:val="547"/>
          <w:marRight w:val="0"/>
          <w:marTop w:val="106"/>
          <w:marBottom w:val="0"/>
          <w:divBdr>
            <w:top w:val="none" w:sz="0" w:space="0" w:color="auto"/>
            <w:left w:val="none" w:sz="0" w:space="0" w:color="auto"/>
            <w:bottom w:val="none" w:sz="0" w:space="0" w:color="auto"/>
            <w:right w:val="none" w:sz="0" w:space="0" w:color="auto"/>
          </w:divBdr>
        </w:div>
        <w:div w:id="1923638118">
          <w:marLeft w:val="547"/>
          <w:marRight w:val="0"/>
          <w:marTop w:val="106"/>
          <w:marBottom w:val="0"/>
          <w:divBdr>
            <w:top w:val="none" w:sz="0" w:space="0" w:color="auto"/>
            <w:left w:val="none" w:sz="0" w:space="0" w:color="auto"/>
            <w:bottom w:val="none" w:sz="0" w:space="0" w:color="auto"/>
            <w:right w:val="none" w:sz="0" w:space="0" w:color="auto"/>
          </w:divBdr>
        </w:div>
        <w:div w:id="1868982771">
          <w:marLeft w:val="547"/>
          <w:marRight w:val="0"/>
          <w:marTop w:val="106"/>
          <w:marBottom w:val="0"/>
          <w:divBdr>
            <w:top w:val="none" w:sz="0" w:space="0" w:color="auto"/>
            <w:left w:val="none" w:sz="0" w:space="0" w:color="auto"/>
            <w:bottom w:val="none" w:sz="0" w:space="0" w:color="auto"/>
            <w:right w:val="none" w:sz="0" w:space="0" w:color="auto"/>
          </w:divBdr>
        </w:div>
        <w:div w:id="92353632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'[artış oranları.xlsx]Sayfa1'!$E$4</c:f>
              <c:strCache>
                <c:ptCount val="1"/>
                <c:pt idx="0">
                  <c:v>Nominal Artış Oranı(%)</c:v>
                </c:pt>
              </c:strCache>
            </c:strRef>
          </c:tx>
          <c:invertIfNegative val="0"/>
          <c:dLbls>
            <c:txPr>
              <a:bodyPr/>
              <a:lstStyle/>
              <a:p>
                <a:pPr>
                  <a:defRPr sz="1050" b="1">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dLbls>
          <c:cat>
            <c:numRef>
              <c:f>'[artış oranları.xlsx]Sayfa1'!$D$5:$D$18</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'[artış oranları.xlsx]Sayfa1'!$E$5:$E$18</c:f>
              <c:numCache>
                <c:formatCode>0.0</c:formatCode>
                <c:ptCount val="14"/>
                <c:pt idx="0">
                  <c:v>21.97552517240004</c:v>
                </c:pt>
                <c:pt idx="1">
                  <c:v>45.14705882352942</c:v>
                </c:pt>
                <c:pt idx="2">
                  <c:v>10.030395136778125</c:v>
                </c:pt>
                <c:pt idx="3">
                  <c:v>8.6556169429097736</c:v>
                </c:pt>
                <c:pt idx="4">
                  <c:v>10.169491525423723</c:v>
                </c:pt>
                <c:pt idx="5">
                  <c:v>9.1794871794871824</c:v>
                </c:pt>
                <c:pt idx="6">
                  <c:v>8.5016439643024881</c:v>
                </c:pt>
                <c:pt idx="7">
                  <c:v>9.7402597402597451</c:v>
                </c:pt>
                <c:pt idx="8">
                  <c:v>10.059171597633139</c:v>
                </c:pt>
                <c:pt idx="9">
                  <c:v>12.365591397849457</c:v>
                </c:pt>
                <c:pt idx="10">
                  <c:v>8.612440191387563</c:v>
                </c:pt>
                <c:pt idx="11">
                  <c:v>11.013215859030836</c:v>
                </c:pt>
                <c:pt idx="12">
                  <c:v>12.301587301587304</c:v>
                </c:pt>
                <c:pt idx="13">
                  <c:v>29.328621908127218</c:v>
                </c:pt>
              </c:numCache>
            </c:numRef>
          </c:val>
        </c:ser>
        <c:ser>
          <c:idx val="1"/>
          <c:order val="1"/>
          <c:tx>
            <c:strRef>
              <c:f>'[artış oranları.xlsx]Sayfa1'!$F$4</c:f>
              <c:strCache>
                <c:ptCount val="1"/>
                <c:pt idx="0">
                  <c:v>Reel Artış Oranı (%)</c:v>
                </c:pt>
              </c:strCache>
            </c:strRef>
          </c:tx>
          <c:invertIfNegative val="0"/>
          <c:dLbls>
            <c:dLbl>
              <c:idx val="3"/>
              <c:layout>
                <c:manualLayout>
                  <c:x val="-1.5336462052098325E-3"/>
                  <c:y val="8.1770775308308605E-2"/>
                </c:manualLayout>
              </c:layout>
              <c:showLegendKey val="0"/>
              <c:showVal val="1"/>
              <c:showCatName val="0"/>
              <c:showSerName val="0"/>
              <c:showPercent val="0"/>
              <c:showBubbleSize val="0"/>
            </c:dLbl>
            <c:dLbl>
              <c:idx val="5"/>
              <c:layout>
                <c:manualLayout>
                  <c:x val="0"/>
                  <c:y val="9.4160286718658393E-2"/>
                </c:manualLayout>
              </c:layout>
              <c:showLegendKey val="0"/>
              <c:showVal val="1"/>
              <c:showCatName val="0"/>
              <c:showSerName val="0"/>
              <c:showPercent val="0"/>
              <c:showBubbleSize val="0"/>
            </c:dLbl>
            <c:dLbl>
              <c:idx val="8"/>
              <c:layout>
                <c:manualLayout>
                  <c:x val="7.6682310260491621E-3"/>
                  <c:y val="9.1682384436588438E-2"/>
                </c:manualLayout>
              </c:layout>
              <c:showLegendKey val="0"/>
              <c:showVal val="1"/>
              <c:showCatName val="0"/>
              <c:showSerName val="0"/>
              <c:showPercent val="0"/>
              <c:showBubbleSize val="0"/>
            </c:dLbl>
            <c:txPr>
              <a:bodyPr/>
              <a:lstStyle/>
              <a:p>
                <a:pPr>
                  <a:defRPr sz="1050" b="1">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0"/>
          </c:dLbls>
          <c:cat>
            <c:numRef>
              <c:f>'[artış oranları.xlsx]Sayfa1'!$D$5:$D$18</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'[artış oranları.xlsx]Sayfa1'!$F$5:$F$18</c:f>
              <c:numCache>
                <c:formatCode>0.0</c:formatCode>
                <c:ptCount val="14"/>
                <c:pt idx="0">
                  <c:v>3.0585901128555832</c:v>
                </c:pt>
                <c:pt idx="1">
                  <c:v>32.773216858690972</c:v>
                </c:pt>
                <c:pt idx="2">
                  <c:v>2.1448153887654371</c:v>
                </c:pt>
                <c:pt idx="3">
                  <c:v>-0.90687009310555311</c:v>
                </c:pt>
                <c:pt idx="4">
                  <c:v>1.6417488010182808</c:v>
                </c:pt>
                <c:pt idx="5">
                  <c:v>-0.80002982056407745</c:v>
                </c:pt>
                <c:pt idx="6">
                  <c:v>1.85078753806674</c:v>
                </c:pt>
                <c:pt idx="7">
                  <c:v>3.1393418611463773</c:v>
                </c:pt>
                <c:pt idx="8">
                  <c:v>-0.353850975434014</c:v>
                </c:pt>
                <c:pt idx="9">
                  <c:v>5.8455080989538715</c:v>
                </c:pt>
                <c:pt idx="10">
                  <c:v>1.1289014817388789</c:v>
                </c:pt>
                <c:pt idx="11">
                  <c:v>2.6284698706025864</c:v>
                </c:pt>
                <c:pt idx="12">
                  <c:v>5.5466046067549826</c:v>
                </c:pt>
              </c:numCache>
            </c:numRef>
          </c:val>
        </c:ser>
        <c:dLbls>
          <c:showLegendKey val="0"/>
          <c:showVal val="0"/>
          <c:showCatName val="0"/>
          <c:showSerName val="0"/>
          <c:showPercent val="0"/>
          <c:showBubbleSize val="0"/>
        </c:dLbls>
        <c:gapWidth val="75"/>
        <c:shape val="box"/>
        <c:axId val="137346048"/>
        <c:axId val="134076032"/>
        <c:axId val="0"/>
      </c:bar3DChart>
      <c:catAx>
        <c:axId val="137346048"/>
        <c:scaling>
          <c:orientation val="minMax"/>
        </c:scaling>
        <c:delete val="0"/>
        <c:axPos val="b"/>
        <c:numFmt formatCode="General" sourceLinked="1"/>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tr-TR"/>
          </a:p>
        </c:txPr>
        <c:crossAx val="134076032"/>
        <c:crosses val="autoZero"/>
        <c:auto val="1"/>
        <c:lblAlgn val="ctr"/>
        <c:lblOffset val="100"/>
        <c:noMultiLvlLbl val="0"/>
      </c:catAx>
      <c:valAx>
        <c:axId val="134076032"/>
        <c:scaling>
          <c:orientation val="minMax"/>
        </c:scaling>
        <c:delete val="0"/>
        <c:axPos val="l"/>
        <c:majorGridlines/>
        <c:numFmt formatCode="0.0"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tr-TR"/>
          </a:p>
        </c:txPr>
        <c:crossAx val="137346048"/>
        <c:crosses val="autoZero"/>
        <c:crossBetween val="between"/>
        <c:majorUnit val="3"/>
        <c:minorUnit val="1"/>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2015-12-30T15:31:00Z</cp:lastPrinted>
  <dcterms:created xsi:type="dcterms:W3CDTF">2015-12-30T15:31:00Z</dcterms:created>
  <dcterms:modified xsi:type="dcterms:W3CDTF">2015-12-30T15:31:00Z</dcterms:modified>
</cp:coreProperties>
</file>