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C7B" w14:textId="77777777" w:rsidR="002C6563" w:rsidRPr="002C6563" w:rsidRDefault="002C6563" w:rsidP="002C6563">
      <w:pPr>
        <w:spacing w:after="0" w:line="240" w:lineRule="atLeast"/>
        <w:ind w:firstLine="567"/>
        <w:jc w:val="righ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EK- I</w:t>
      </w:r>
    </w:p>
    <w:p w14:paraId="53977F2B"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r w:rsidRPr="002C6563">
        <w:rPr>
          <w:rFonts w:ascii="Calibri" w:eastAsia="Times New Roman" w:hAnsi="Calibri" w:cs="Calibri"/>
          <w:b/>
          <w:bCs/>
          <w:color w:val="000000"/>
          <w:kern w:val="0"/>
          <w:lang w:eastAsia="tr-TR"/>
          <w14:ligatures w14:val="none"/>
        </w:rPr>
        <w:t>Hassas ve az hassas su alanlarının belirlenmesinde esaslar:</w:t>
      </w:r>
    </w:p>
    <w:p w14:paraId="75F66F35"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r w:rsidRPr="002C6563">
        <w:rPr>
          <w:rFonts w:ascii="Calibri" w:eastAsia="Times New Roman" w:hAnsi="Calibri" w:cs="Calibri"/>
          <w:color w:val="000000"/>
          <w:kern w:val="0"/>
          <w:lang w:eastAsia="tr-TR"/>
          <w14:ligatures w14:val="none"/>
        </w:rPr>
        <w:t>A) Hassas su alanları</w:t>
      </w:r>
    </w:p>
    <w:p w14:paraId="0A153540"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Su alanları aşağıdaki gruplardan birine girmesi halinde hassas su alanı olarak belirlenir:</w:t>
      </w:r>
    </w:p>
    <w:p w14:paraId="6AA8886D"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a) </w:t>
      </w:r>
      <w:proofErr w:type="spellStart"/>
      <w:r w:rsidRPr="002C6563">
        <w:rPr>
          <w:rFonts w:ascii="Calibri" w:eastAsia="Times New Roman" w:hAnsi="Calibri" w:cs="Calibri"/>
          <w:color w:val="000000"/>
          <w:kern w:val="0"/>
          <w:lang w:eastAsia="tr-TR"/>
          <w14:ligatures w14:val="none"/>
        </w:rPr>
        <w:t>Ötrofik</w:t>
      </w:r>
      <w:proofErr w:type="spellEnd"/>
      <w:r w:rsidRPr="002C6563">
        <w:rPr>
          <w:rFonts w:ascii="Calibri" w:eastAsia="Times New Roman" w:hAnsi="Calibri" w:cs="Calibri"/>
          <w:color w:val="000000"/>
          <w:kern w:val="0"/>
          <w:lang w:eastAsia="tr-TR"/>
          <w14:ligatures w14:val="none"/>
        </w:rPr>
        <w:t xml:space="preserve"> olduğu belirlenen ya da eğer gerekli önlemler alınmazsa yakın gelecekte </w:t>
      </w:r>
      <w:proofErr w:type="spellStart"/>
      <w:r w:rsidRPr="002C6563">
        <w:rPr>
          <w:rFonts w:ascii="Calibri" w:eastAsia="Times New Roman" w:hAnsi="Calibri" w:cs="Calibri"/>
          <w:color w:val="000000"/>
          <w:kern w:val="0"/>
          <w:lang w:eastAsia="tr-TR"/>
          <w14:ligatures w14:val="none"/>
        </w:rPr>
        <w:t>ötrofik</w:t>
      </w:r>
      <w:proofErr w:type="spellEnd"/>
      <w:r w:rsidRPr="002C6563">
        <w:rPr>
          <w:rFonts w:ascii="Calibri" w:eastAsia="Times New Roman" w:hAnsi="Calibri" w:cs="Calibri"/>
          <w:color w:val="000000"/>
          <w:kern w:val="0"/>
          <w:lang w:eastAsia="tr-TR"/>
          <w14:ligatures w14:val="none"/>
        </w:rPr>
        <w:t xml:space="preserve"> hale gelecek doğal tatlı su gölleri, diğer tatlı su kaynakları, haliçler ve kıyı suları. Bu gibi alanlarda aşağıdaki hususlar dikkate alınarak, hangi besin maddesinin ileri arıtmayla azaltılacağı değerlendirilir;</w:t>
      </w:r>
    </w:p>
    <w:p w14:paraId="5E86B5EE"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1) Su değişiminin az olduğu, bu nedenle birikimin meydana gelebileceği göller ve aynı özellikleri taşıyan göllere ulaşan akarsularda; arıtımın ötrofikasyonun önlenmesi üzerinde herhangi bir etkisi varsa, fosfor giderimi arıtmaya eklenmelidir. Büyük toplama alanlarından deşarjların yapıldığı yerlerde ayrıca azot giderimi de </w:t>
      </w:r>
      <w:proofErr w:type="spellStart"/>
      <w:r w:rsidRPr="002C6563">
        <w:rPr>
          <w:rFonts w:ascii="Calibri" w:eastAsia="Times New Roman" w:hAnsi="Calibri" w:cs="Calibri"/>
          <w:color w:val="000000"/>
          <w:kern w:val="0"/>
          <w:lang w:eastAsia="tr-TR"/>
          <w14:ligatures w14:val="none"/>
        </w:rPr>
        <w:t>sözkonusu</w:t>
      </w:r>
      <w:proofErr w:type="spellEnd"/>
      <w:r w:rsidRPr="002C6563">
        <w:rPr>
          <w:rFonts w:ascii="Calibri" w:eastAsia="Times New Roman" w:hAnsi="Calibri" w:cs="Calibri"/>
          <w:color w:val="000000"/>
          <w:kern w:val="0"/>
          <w:lang w:eastAsia="tr-TR"/>
          <w14:ligatures w14:val="none"/>
        </w:rPr>
        <w:t xml:space="preserve"> olabilir.</w:t>
      </w:r>
    </w:p>
    <w:p w14:paraId="70FE60B9"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2) Su değişiminin az olduğu veya yüksek miktarda besi maddesi girdisi olan haliçler, koylar ya da diğer kıyı sularında; arıtımın ötrofikasyonun önlenmesi üzerinde herhangi bir etkisi varsa, büyük yerleşim yerlerinden bu alanlara yapılacak deşarjlarda fosfor ve/veya azot giderimi arıtmaya eklenmelidir.</w:t>
      </w:r>
    </w:p>
    <w:p w14:paraId="69D17D4F"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b) Önlem alınmaması halinde, 20/11/2005 tarihli ve 25999 sayılı Resmî </w:t>
      </w:r>
      <w:proofErr w:type="spellStart"/>
      <w:r w:rsidRPr="002C6563">
        <w:rPr>
          <w:rFonts w:ascii="Calibri" w:eastAsia="Times New Roman" w:hAnsi="Calibri" w:cs="Calibri"/>
          <w:color w:val="000000"/>
          <w:kern w:val="0"/>
          <w:lang w:eastAsia="tr-TR"/>
          <w14:ligatures w14:val="none"/>
        </w:rPr>
        <w:t>Gazete’de</w:t>
      </w:r>
      <w:proofErr w:type="spellEnd"/>
      <w:r w:rsidRPr="002C6563">
        <w:rPr>
          <w:rFonts w:ascii="Calibri" w:eastAsia="Times New Roman" w:hAnsi="Calibri" w:cs="Calibri"/>
          <w:color w:val="000000"/>
          <w:kern w:val="0"/>
          <w:lang w:eastAsia="tr-TR"/>
          <w14:ligatures w14:val="none"/>
        </w:rPr>
        <w:t xml:space="preserve"> yayımlanan İçme Suyu Elde Edilen veya Elde Edilmesi Planlanan Yüzeysel Suların Kalitesine İlişkin Yönetmelik’in ilgili hükümlerinde belirlenen düzeylerden daha yüksek nitrat konsan-</w:t>
      </w:r>
      <w:proofErr w:type="spellStart"/>
      <w:r w:rsidRPr="002C6563">
        <w:rPr>
          <w:rFonts w:ascii="Calibri" w:eastAsia="Times New Roman" w:hAnsi="Calibri" w:cs="Calibri"/>
          <w:color w:val="000000"/>
          <w:kern w:val="0"/>
          <w:lang w:eastAsia="tr-TR"/>
          <w14:ligatures w14:val="none"/>
        </w:rPr>
        <w:t>trasyonları</w:t>
      </w:r>
      <w:proofErr w:type="spellEnd"/>
      <w:r w:rsidRPr="002C6563">
        <w:rPr>
          <w:rFonts w:ascii="Calibri" w:eastAsia="Times New Roman" w:hAnsi="Calibri" w:cs="Calibri"/>
          <w:color w:val="000000"/>
          <w:kern w:val="0"/>
          <w:lang w:eastAsia="tr-TR"/>
          <w14:ligatures w14:val="none"/>
        </w:rPr>
        <w:t xml:space="preserve"> içerebilecek içme suyu temini amaçlanan yüzeysel su kaynakları,</w:t>
      </w:r>
    </w:p>
    <w:p w14:paraId="24C13351"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c) Diğer yönetmelik hükümlerine göre bu Yönetmeliğin 8 inci maddesinde belirtilenden daha ileri arıtma gerektiren alanlar.</w:t>
      </w:r>
    </w:p>
    <w:p w14:paraId="22DA6852"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B) Az hassas su alanları</w:t>
      </w:r>
    </w:p>
    <w:p w14:paraId="2FE0C69D"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Morfolojik, hidrolojik ya da özel hidrolik şartlara göre, atıksu deşarjının çevreyi olumsuz yönde etkilemediği deniz alanı az hassas su alanları olarak tanımlanır.</w:t>
      </w:r>
    </w:p>
    <w:p w14:paraId="5D30510C"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w:t>
      </w:r>
      <w:proofErr w:type="gramStart"/>
      <w:r w:rsidRPr="002C6563">
        <w:rPr>
          <w:rFonts w:ascii="Calibri" w:eastAsia="Times New Roman" w:hAnsi="Calibri" w:cs="Calibri"/>
          <w:color w:val="000000"/>
          <w:kern w:val="0"/>
          <w:lang w:eastAsia="tr-TR"/>
          <w14:ligatures w14:val="none"/>
        </w:rPr>
        <w:t>a )Az</w:t>
      </w:r>
      <w:proofErr w:type="gramEnd"/>
      <w:r w:rsidRPr="002C6563">
        <w:rPr>
          <w:rFonts w:ascii="Calibri" w:eastAsia="Times New Roman" w:hAnsi="Calibri" w:cs="Calibri"/>
          <w:color w:val="000000"/>
          <w:kern w:val="0"/>
          <w:lang w:eastAsia="tr-TR"/>
          <w14:ligatures w14:val="none"/>
        </w:rPr>
        <w:t xml:space="preserve"> hassas su alanları belirlenirken, deşarj edilen atıksuların ağır çevre etkilerine neden olabilecek komşu alanlara transfer olabileceği riski de dikkate alınır.</w:t>
      </w:r>
    </w:p>
    <w:p w14:paraId="21A2154C"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b) Az hassas su alanları belirlenirken; su değişiminin çok olduğu ve ötrofikasyon ya da oksijen tüketimine maruz olmayan veya kentsel atıksu deşarjına bağlı olarak </w:t>
      </w:r>
      <w:proofErr w:type="spellStart"/>
      <w:r w:rsidRPr="002C6563">
        <w:rPr>
          <w:rFonts w:ascii="Calibri" w:eastAsia="Times New Roman" w:hAnsi="Calibri" w:cs="Calibri"/>
          <w:color w:val="000000"/>
          <w:kern w:val="0"/>
          <w:lang w:eastAsia="tr-TR"/>
          <w14:ligatures w14:val="none"/>
        </w:rPr>
        <w:t>ötrofik</w:t>
      </w:r>
      <w:proofErr w:type="spellEnd"/>
      <w:r w:rsidRPr="002C6563">
        <w:rPr>
          <w:rFonts w:ascii="Calibri" w:eastAsia="Times New Roman" w:hAnsi="Calibri" w:cs="Calibri"/>
          <w:color w:val="000000"/>
          <w:kern w:val="0"/>
          <w:lang w:eastAsia="tr-TR"/>
          <w14:ligatures w14:val="none"/>
        </w:rPr>
        <w:t xml:space="preserve"> hale gelmesi veya oksijen tüketimini artırması olasılığı bulunmayan açık koylar, haliçler ve diğer kıyı suları dikkate alınır.</w:t>
      </w:r>
    </w:p>
    <w:p w14:paraId="6217D994" w14:textId="77777777" w:rsidR="002C6563" w:rsidRPr="002C6563" w:rsidRDefault="002C6563" w:rsidP="002C6563">
      <w:pPr>
        <w:spacing w:after="0" w:line="240" w:lineRule="atLeast"/>
        <w:ind w:left="142" w:hanging="142"/>
        <w:jc w:val="righ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EK -II</w:t>
      </w:r>
    </w:p>
    <w:p w14:paraId="4802DBDB"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w:t>
      </w:r>
      <w:r w:rsidRPr="002C6563">
        <w:rPr>
          <w:rFonts w:ascii="inherit" w:eastAsia="Times New Roman" w:hAnsi="inherit" w:cs="Calibri"/>
          <w:b/>
          <w:bCs/>
          <w:color w:val="000000"/>
          <w:kern w:val="0"/>
          <w:sz w:val="24"/>
          <w:szCs w:val="24"/>
          <w:lang w:eastAsia="tr-TR"/>
          <w14:ligatures w14:val="none"/>
        </w:rPr>
        <w:t>İzleme ve sonuçların değerlendirilmesi</w:t>
      </w:r>
    </w:p>
    <w:p w14:paraId="30B93946"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r w:rsidRPr="002C6563">
        <w:rPr>
          <w:rFonts w:ascii="Calibri" w:eastAsia="Times New Roman" w:hAnsi="Calibri" w:cs="Calibri"/>
          <w:color w:val="000000"/>
          <w:kern w:val="0"/>
          <w:lang w:eastAsia="tr-TR"/>
          <w14:ligatures w14:val="none"/>
        </w:rPr>
        <w:t>Bakanlık aşağıda tanımlanan gereklilikler düzeyinde bir izleme metodunun uygulanmasını sağlar.</w:t>
      </w:r>
    </w:p>
    <w:p w14:paraId="4CD70EAA"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a) Bu Yönetmelikte belirlenen atıksu deşarjları ile ilgili hükümlere uyumu izlemek için, debi orantılı ya da zamana dayalı 24 saatlik kompozit numuneler, çıkış noktalarında ve eğer gerekli olursa arıtma tesisleri girişlerinde iyi tanımlanmış aynı örnekleme noktalarında toplanır.</w:t>
      </w:r>
    </w:p>
    <w:p w14:paraId="715A8099"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Örneklerin alınması ile analizi arasındaki zaman aralığında örneklerin bozulmasını en aza indirmeyi amaçlayacak uluslararası </w:t>
      </w:r>
      <w:proofErr w:type="spellStart"/>
      <w:r w:rsidRPr="002C6563">
        <w:rPr>
          <w:rFonts w:ascii="Calibri" w:eastAsia="Times New Roman" w:hAnsi="Calibri" w:cs="Calibri"/>
          <w:color w:val="000000"/>
          <w:kern w:val="0"/>
          <w:lang w:eastAsia="tr-TR"/>
          <w14:ligatures w14:val="none"/>
        </w:rPr>
        <w:t>laboratuar</w:t>
      </w:r>
      <w:proofErr w:type="spellEnd"/>
      <w:r w:rsidRPr="002C6563">
        <w:rPr>
          <w:rFonts w:ascii="Calibri" w:eastAsia="Times New Roman" w:hAnsi="Calibri" w:cs="Calibri"/>
          <w:color w:val="000000"/>
          <w:kern w:val="0"/>
          <w:lang w:eastAsia="tr-TR"/>
          <w14:ligatures w14:val="none"/>
        </w:rPr>
        <w:t xml:space="preserve"> uygulamaları sağlanır.</w:t>
      </w:r>
    </w:p>
    <w:p w14:paraId="38045C8D"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b) Yıllık asgari örnek sayısı arıtma tesisinin boyutuna göre belirlenir ve yıl boyunca aşağıdaki aralıklarla toplanır:</w:t>
      </w:r>
    </w:p>
    <w:p w14:paraId="1A5F6784"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2000 ila 9999 </w:t>
      </w:r>
      <w:proofErr w:type="spellStart"/>
      <w:proofErr w:type="gramStart"/>
      <w:r w:rsidRPr="002C6563">
        <w:rPr>
          <w:rFonts w:ascii="Calibri" w:eastAsia="Times New Roman" w:hAnsi="Calibri" w:cs="Calibri"/>
          <w:color w:val="000000"/>
          <w:kern w:val="0"/>
          <w:lang w:eastAsia="tr-TR"/>
          <w14:ligatures w14:val="none"/>
        </w:rPr>
        <w:t>E.N.:İlk</w:t>
      </w:r>
      <w:proofErr w:type="spellEnd"/>
      <w:proofErr w:type="gramEnd"/>
      <w:r w:rsidRPr="002C6563">
        <w:rPr>
          <w:rFonts w:ascii="Calibri" w:eastAsia="Times New Roman" w:hAnsi="Calibri" w:cs="Calibri"/>
          <w:color w:val="000000"/>
          <w:kern w:val="0"/>
          <w:lang w:eastAsia="tr-TR"/>
          <w14:ligatures w14:val="none"/>
        </w:rPr>
        <w:t xml:space="preserve"> yıl boyunca 12 örnek. Eğer ilk yıl boyunca bu Yönetmelik hükümlerine uyulduğu gösterilebilirse, izleyen yıllarda dört örnek; eğer dört örnekten birisi deşarj standartlarına uymazsa, takip eden yıl içinde 12 örnek alınmalıdır.</w:t>
      </w:r>
    </w:p>
    <w:p w14:paraId="5912E1B5"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10000 ila 49999 E.N.: 12 örnek</w:t>
      </w:r>
    </w:p>
    <w:p w14:paraId="4469C3C8"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50000 E.N. ya da üzeri: 24 örnek</w:t>
      </w:r>
    </w:p>
    <w:p w14:paraId="2888A022"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lastRenderedPageBreak/>
        <w:t xml:space="preserve">                c) Eğer su örneklerinin, her bir ilgili parametre için parametrik değere uygunluğu aşağıdaki şekilde gösterilirse, arıtılmış </w:t>
      </w:r>
      <w:proofErr w:type="spellStart"/>
      <w:r w:rsidRPr="002C6563">
        <w:rPr>
          <w:rFonts w:ascii="Calibri" w:eastAsia="Times New Roman" w:hAnsi="Calibri" w:cs="Calibri"/>
          <w:color w:val="000000"/>
          <w:kern w:val="0"/>
          <w:lang w:eastAsia="tr-TR"/>
          <w14:ligatures w14:val="none"/>
        </w:rPr>
        <w:t>atıksuyun</w:t>
      </w:r>
      <w:proofErr w:type="spellEnd"/>
      <w:r w:rsidRPr="002C6563">
        <w:rPr>
          <w:rFonts w:ascii="Calibri" w:eastAsia="Times New Roman" w:hAnsi="Calibri" w:cs="Calibri"/>
          <w:color w:val="000000"/>
          <w:kern w:val="0"/>
          <w:lang w:eastAsia="tr-TR"/>
          <w14:ligatures w14:val="none"/>
        </w:rPr>
        <w:t xml:space="preserve"> ilgili parametrelere uygun olduğu varsayılır:</w:t>
      </w:r>
    </w:p>
    <w:p w14:paraId="1C73EEFA"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1) Tablo 1 ve birincil arıtma tanımında belirlenen parametreler için, konsantrasyon </w:t>
      </w:r>
      <w:r w:rsidRPr="002C6563">
        <w:rPr>
          <w:rFonts w:ascii="inherit" w:eastAsia="Times New Roman" w:hAnsi="inherit" w:cs="Calibri"/>
          <w:b/>
          <w:bCs/>
          <w:color w:val="000000"/>
          <w:kern w:val="0"/>
          <w:sz w:val="24"/>
          <w:szCs w:val="24"/>
          <w:lang w:eastAsia="tr-TR"/>
          <w14:ligatures w14:val="none"/>
        </w:rPr>
        <w:t xml:space="preserve">(Değişik </w:t>
      </w:r>
      <w:proofErr w:type="gramStart"/>
      <w:r w:rsidRPr="002C6563">
        <w:rPr>
          <w:rFonts w:ascii="inherit" w:eastAsia="Times New Roman" w:hAnsi="inherit" w:cs="Calibri"/>
          <w:b/>
          <w:bCs/>
          <w:color w:val="000000"/>
          <w:kern w:val="0"/>
          <w:sz w:val="24"/>
          <w:szCs w:val="24"/>
          <w:lang w:eastAsia="tr-TR"/>
          <w14:ligatures w14:val="none"/>
        </w:rPr>
        <w:t>ibare:RG</w:t>
      </w:r>
      <w:proofErr w:type="gramEnd"/>
      <w:r w:rsidRPr="002C6563">
        <w:rPr>
          <w:rFonts w:ascii="inherit" w:eastAsia="Times New Roman" w:hAnsi="inherit" w:cs="Calibri"/>
          <w:b/>
          <w:bCs/>
          <w:color w:val="000000"/>
          <w:kern w:val="0"/>
          <w:sz w:val="24"/>
          <w:szCs w:val="24"/>
          <w:lang w:eastAsia="tr-TR"/>
          <w14:ligatures w14:val="none"/>
        </w:rPr>
        <w:t>-8/12/2023-32393)</w:t>
      </w:r>
      <w:r w:rsidRPr="002C6563">
        <w:rPr>
          <w:rFonts w:ascii="Calibri" w:eastAsia="Times New Roman" w:hAnsi="Calibri" w:cs="Calibri"/>
          <w:color w:val="000000"/>
          <w:kern w:val="0"/>
          <w:lang w:eastAsia="tr-TR"/>
          <w14:ligatures w14:val="none"/>
        </w:rPr>
        <w:t> </w:t>
      </w:r>
      <w:r w:rsidRPr="002C6563">
        <w:rPr>
          <w:rFonts w:ascii="inherit" w:eastAsia="Times New Roman" w:hAnsi="inherit" w:cs="Times New Roman"/>
          <w:color w:val="000000"/>
          <w:kern w:val="0"/>
          <w:sz w:val="18"/>
          <w:szCs w:val="18"/>
          <w:u w:val="single"/>
          <w:lang w:eastAsia="tr-TR"/>
          <w14:ligatures w14:val="none"/>
        </w:rPr>
        <w:t>değerlerinin</w:t>
      </w:r>
      <w:r w:rsidRPr="002C6563">
        <w:rPr>
          <w:rFonts w:ascii="inherit" w:eastAsia="Times New Roman" w:hAnsi="inherit" w:cs="Times New Roman"/>
          <w:color w:val="000000"/>
          <w:kern w:val="0"/>
          <w:sz w:val="18"/>
          <w:szCs w:val="18"/>
          <w:lang w:eastAsia="tr-TR"/>
          <w14:ligatures w14:val="none"/>
        </w:rPr>
        <w:t> </w:t>
      </w:r>
      <w:r w:rsidRPr="002C6563">
        <w:rPr>
          <w:rFonts w:ascii="Calibri" w:eastAsia="Times New Roman" w:hAnsi="Calibri" w:cs="Calibri"/>
          <w:color w:val="000000"/>
          <w:kern w:val="0"/>
          <w:lang w:eastAsia="tr-TR"/>
          <w14:ligatures w14:val="none"/>
        </w:rPr>
        <w:t>Tablo 3’teki izin verilen maksimum uyumsuz örnek sayısına,</w:t>
      </w:r>
    </w:p>
    <w:p w14:paraId="26A3B042"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xml:space="preserve">              2) Tablo 1’de konsantrasyon olarak ifade edilen parametreler için, normal işletme şartlarında alınan başarısız örnek sayıları parametrik değerlerden </w:t>
      </w:r>
      <w:proofErr w:type="gramStart"/>
      <w:r w:rsidRPr="002C6563">
        <w:rPr>
          <w:rFonts w:ascii="Calibri" w:eastAsia="Times New Roman" w:hAnsi="Calibri" w:cs="Calibri"/>
          <w:color w:val="000000"/>
          <w:kern w:val="0"/>
          <w:lang w:eastAsia="tr-TR"/>
          <w14:ligatures w14:val="none"/>
        </w:rPr>
        <w:t>% 100</w:t>
      </w:r>
      <w:proofErr w:type="gramEnd"/>
      <w:r w:rsidRPr="002C6563">
        <w:rPr>
          <w:rFonts w:ascii="Calibri" w:eastAsia="Times New Roman" w:hAnsi="Calibri" w:cs="Calibri"/>
          <w:color w:val="000000"/>
          <w:kern w:val="0"/>
          <w:lang w:eastAsia="tr-TR"/>
          <w14:ligatures w14:val="none"/>
        </w:rPr>
        <w:t xml:space="preserve">’den fazla sapmamalıdır. Konsantrasyon olarak ifade edilen toplam askıda katı maddelere ilişkin parametrik değerler için sapmalar ise </w:t>
      </w:r>
      <w:proofErr w:type="gramStart"/>
      <w:r w:rsidRPr="002C6563">
        <w:rPr>
          <w:rFonts w:ascii="Calibri" w:eastAsia="Times New Roman" w:hAnsi="Calibri" w:cs="Calibri"/>
          <w:color w:val="000000"/>
          <w:kern w:val="0"/>
          <w:lang w:eastAsia="tr-TR"/>
          <w14:ligatures w14:val="none"/>
        </w:rPr>
        <w:t>% 150</w:t>
      </w:r>
      <w:proofErr w:type="gramEnd"/>
      <w:r w:rsidRPr="002C6563">
        <w:rPr>
          <w:rFonts w:ascii="Calibri" w:eastAsia="Times New Roman" w:hAnsi="Calibri" w:cs="Calibri"/>
          <w:color w:val="000000"/>
          <w:kern w:val="0"/>
          <w:lang w:eastAsia="tr-TR"/>
          <w14:ligatures w14:val="none"/>
        </w:rPr>
        <w:t>’ye kadar kabul edilebilir;</w:t>
      </w:r>
    </w:p>
    <w:p w14:paraId="70AD99BB"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3) Tablo 2’de belirlenen parametrelerden her biri için alınan ve ölçülen örneklerin yıllık ortalama değerleri ilgili parametrenin Tablo 2’de verilen değerlerini sağlamalıdır.</w:t>
      </w:r>
    </w:p>
    <w:p w14:paraId="4EEF9F42"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d) Söz konusu su kalitesi için, yoğun yağış gibi olağanüstü şartlar sonucu aşırı değerler oluştuğu zaman bu değerler dikkate alınmaz.</w:t>
      </w:r>
    </w:p>
    <w:p w14:paraId="59BD786C" w14:textId="77777777" w:rsidR="002C6563" w:rsidRPr="002C6563" w:rsidRDefault="002C6563" w:rsidP="002C6563">
      <w:pPr>
        <w:spacing w:after="0" w:line="240" w:lineRule="atLeast"/>
        <w:ind w:left="142" w:hanging="142"/>
        <w:jc w:val="righ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EK- III</w:t>
      </w:r>
    </w:p>
    <w:p w14:paraId="54C1B215"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r w:rsidRPr="002C6563">
        <w:rPr>
          <w:rFonts w:ascii="Calibri" w:eastAsia="Times New Roman" w:hAnsi="Calibri" w:cs="Calibri"/>
          <w:color w:val="000000"/>
          <w:kern w:val="0"/>
          <w:lang w:eastAsia="tr-TR"/>
          <w14:ligatures w14:val="none"/>
        </w:rPr>
        <w:t>  Endüstriyel sektörler</w:t>
      </w:r>
    </w:p>
    <w:p w14:paraId="25D9AA38"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a) Süt ve Süt Ürünleri</w:t>
      </w:r>
    </w:p>
    <w:p w14:paraId="2A63F0F9"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b) Meyve, sebze ürünleri ile diğer gıda bitkilerinin işlenmesi</w:t>
      </w:r>
    </w:p>
    <w:p w14:paraId="57205700"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c) Alkolsüz içeceklerin imalatı ve şişelenmesi</w:t>
      </w:r>
    </w:p>
    <w:p w14:paraId="0EB66CFA"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d) Patates işleme</w:t>
      </w:r>
    </w:p>
    <w:p w14:paraId="077F5B5C"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e) Et endüstrisi</w:t>
      </w:r>
    </w:p>
    <w:p w14:paraId="3BE0962A"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f) Bira fabrikaları</w:t>
      </w:r>
    </w:p>
    <w:p w14:paraId="31ED9683"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g) Alkol ve alkollü içeceklerin üretimi</w:t>
      </w:r>
    </w:p>
    <w:p w14:paraId="02B3DD7C"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h) Bitkisel ürünlerden hayvan yemi imalatı</w:t>
      </w:r>
    </w:p>
    <w:p w14:paraId="494492DF"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i) Hayvan postu, derisi ve kemiklerinden jelatin ve tutkal imalatı</w:t>
      </w:r>
    </w:p>
    <w:p w14:paraId="66C35106"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j) Malt imalathaneleri</w:t>
      </w:r>
    </w:p>
    <w:p w14:paraId="6E08461E"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k) Balık işleme endüstrisi</w:t>
      </w:r>
    </w:p>
    <w:p w14:paraId="4E76DF2A" w14:textId="77777777" w:rsidR="002C6563" w:rsidRPr="002C6563" w:rsidRDefault="002C6563" w:rsidP="002C6563">
      <w:pPr>
        <w:spacing w:after="0" w:line="305" w:lineRule="atLeast"/>
        <w:ind w:left="142" w:hanging="142"/>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l) Benzer Diğer Sektörler</w:t>
      </w:r>
    </w:p>
    <w:p w14:paraId="415C283F" w14:textId="77777777" w:rsidR="002C6563" w:rsidRPr="002C6563" w:rsidRDefault="002C6563" w:rsidP="002C6563">
      <w:pPr>
        <w:spacing w:after="0" w:line="240" w:lineRule="atLeast"/>
        <w:ind w:firstLine="567"/>
        <w:jc w:val="righ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0780D880" w14:textId="77777777" w:rsidR="002C6563" w:rsidRPr="002C6563" w:rsidRDefault="002C6563" w:rsidP="002C6563">
      <w:pPr>
        <w:spacing w:after="0" w:line="305" w:lineRule="atLeas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74FE5148" w14:textId="77777777" w:rsidR="002C6563" w:rsidRPr="002C6563" w:rsidRDefault="002C6563" w:rsidP="002C6563">
      <w:pPr>
        <w:spacing w:after="0" w:line="305" w:lineRule="atLeas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5B812C7E" w14:textId="77777777" w:rsidR="002C6563" w:rsidRPr="002C6563" w:rsidRDefault="002C6563" w:rsidP="002C6563">
      <w:pPr>
        <w:spacing w:after="0" w:line="305" w:lineRule="atLeas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0594C900" w14:textId="77777777" w:rsidR="002C6563" w:rsidRPr="002C6563" w:rsidRDefault="002C6563" w:rsidP="002C6563">
      <w:pPr>
        <w:spacing w:after="0" w:line="305" w:lineRule="atLeas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37EFB5B4" w14:textId="77777777" w:rsidR="002C6563" w:rsidRPr="002C6563" w:rsidRDefault="002C6563" w:rsidP="002C6563">
      <w:pPr>
        <w:spacing w:after="0" w:line="240" w:lineRule="atLeast"/>
        <w:ind w:firstLine="567"/>
        <w:jc w:val="righ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EK-IV</w:t>
      </w:r>
    </w:p>
    <w:p w14:paraId="021A96C8" w14:textId="77777777" w:rsidR="002C6563" w:rsidRPr="002C6563" w:rsidRDefault="002C6563" w:rsidP="002C6563">
      <w:pPr>
        <w:spacing w:after="0" w:line="305" w:lineRule="atLeast"/>
        <w:ind w:right="-142" w:firstLine="539"/>
        <w:jc w:val="center"/>
        <w:rPr>
          <w:rFonts w:ascii="Times New Roman" w:eastAsia="Times New Roman" w:hAnsi="Times New Roman" w:cs="Times New Roman"/>
          <w:color w:val="000000"/>
          <w:kern w:val="0"/>
          <w:sz w:val="24"/>
          <w:szCs w:val="24"/>
          <w:lang w:eastAsia="tr-TR"/>
          <w14:ligatures w14:val="none"/>
        </w:rPr>
      </w:pPr>
      <w:r w:rsidRPr="002C6563">
        <w:rPr>
          <w:rFonts w:ascii="inherit" w:eastAsia="Times New Roman" w:hAnsi="inherit" w:cs="Times New Roman"/>
          <w:b/>
          <w:bCs/>
          <w:color w:val="000000"/>
          <w:kern w:val="0"/>
          <w:sz w:val="24"/>
          <w:szCs w:val="24"/>
          <w:lang w:eastAsia="tr-TR"/>
          <w14:ligatures w14:val="none"/>
        </w:rPr>
        <w:t xml:space="preserve">(Değişik </w:t>
      </w:r>
      <w:proofErr w:type="gramStart"/>
      <w:r w:rsidRPr="002C6563">
        <w:rPr>
          <w:rFonts w:ascii="inherit" w:eastAsia="Times New Roman" w:hAnsi="inherit" w:cs="Times New Roman"/>
          <w:b/>
          <w:bCs/>
          <w:color w:val="000000"/>
          <w:kern w:val="0"/>
          <w:sz w:val="24"/>
          <w:szCs w:val="24"/>
          <w:lang w:eastAsia="tr-TR"/>
          <w14:ligatures w14:val="none"/>
        </w:rPr>
        <w:t>tablo:RG</w:t>
      </w:r>
      <w:proofErr w:type="gramEnd"/>
      <w:r w:rsidRPr="002C6563">
        <w:rPr>
          <w:rFonts w:ascii="inherit" w:eastAsia="Times New Roman" w:hAnsi="inherit" w:cs="Times New Roman"/>
          <w:b/>
          <w:bCs/>
          <w:color w:val="000000"/>
          <w:kern w:val="0"/>
          <w:sz w:val="24"/>
          <w:szCs w:val="24"/>
          <w:lang w:eastAsia="tr-TR"/>
          <w14:ligatures w14:val="none"/>
        </w:rPr>
        <w:t>-8/12/2023-32393)</w:t>
      </w:r>
    </w:p>
    <w:p w14:paraId="511728B5" w14:textId="77777777" w:rsidR="002C6563" w:rsidRPr="002C6563" w:rsidRDefault="002C6563" w:rsidP="002C6563">
      <w:pPr>
        <w:spacing w:after="0" w:line="305" w:lineRule="atLeast"/>
        <w:ind w:firstLine="539"/>
        <w:jc w:val="center"/>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Tablo 1</w:t>
      </w:r>
    </w:p>
    <w:p w14:paraId="00818E7D" w14:textId="77777777" w:rsidR="002C6563" w:rsidRPr="002C6563" w:rsidRDefault="002C6563" w:rsidP="002C65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6563">
        <w:rPr>
          <w:rFonts w:ascii="inherit" w:eastAsia="Times New Roman" w:hAnsi="inherit" w:cs="Times New Roman"/>
          <w:color w:val="000000"/>
          <w:kern w:val="0"/>
          <w:sz w:val="24"/>
          <w:szCs w:val="24"/>
          <w:lang w:eastAsia="tr-TR"/>
          <w14:ligatures w14:val="none"/>
        </w:rPr>
        <w:t>Kentsel atıksu arıtım tesislerinden ikincil arıtıma ilişkin deşarj limitleri</w:t>
      </w:r>
      <w:r w:rsidRPr="002C6563">
        <w:rPr>
          <w:rFonts w:ascii="inherit" w:eastAsia="Times New Roman" w:hAnsi="inherit" w:cs="Times New Roman"/>
          <w:color w:val="000000"/>
          <w:kern w:val="0"/>
          <w:sz w:val="24"/>
          <w:szCs w:val="24"/>
          <w:vertAlign w:val="superscript"/>
          <w:lang w:eastAsia="tr-TR"/>
          <w14:ligatures w14:val="none"/>
        </w:rPr>
        <w:t>*</w:t>
      </w:r>
    </w:p>
    <w:tbl>
      <w:tblPr>
        <w:tblpPr w:leftFromText="141" w:rightFromText="141" w:vertAnchor="text"/>
        <w:tblW w:w="6398" w:type="dxa"/>
        <w:tblCellMar>
          <w:left w:w="0" w:type="dxa"/>
          <w:right w:w="0" w:type="dxa"/>
        </w:tblCellMar>
        <w:tblLook w:val="04A0" w:firstRow="1" w:lastRow="0" w:firstColumn="1" w:lastColumn="0" w:noHBand="0" w:noVBand="1"/>
      </w:tblPr>
      <w:tblGrid>
        <w:gridCol w:w="3349"/>
        <w:gridCol w:w="3049"/>
      </w:tblGrid>
      <w:tr w:rsidR="002C6563" w:rsidRPr="002C6563" w14:paraId="6BF26E5F" w14:textId="77777777" w:rsidTr="002C6563">
        <w:tc>
          <w:tcPr>
            <w:tcW w:w="28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543F6A7"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Parametreler</w:t>
            </w:r>
          </w:p>
        </w:tc>
        <w:tc>
          <w:tcPr>
            <w:tcW w:w="35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5A22B6"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xml:space="preserve">Konsantrasyon </w:t>
            </w:r>
            <w:proofErr w:type="gramStart"/>
            <w:r w:rsidRPr="002C6563">
              <w:rPr>
                <w:rFonts w:ascii="inherit" w:eastAsia="Times New Roman" w:hAnsi="inherit" w:cs="Times New Roman"/>
                <w:color w:val="000000"/>
                <w:kern w:val="0"/>
                <w:sz w:val="24"/>
                <w:szCs w:val="24"/>
                <w:lang w:eastAsia="tr-TR"/>
                <w14:ligatures w14:val="none"/>
              </w:rPr>
              <w:t>( mg</w:t>
            </w:r>
            <w:proofErr w:type="gramEnd"/>
            <w:r w:rsidRPr="002C6563">
              <w:rPr>
                <w:rFonts w:ascii="inherit" w:eastAsia="Times New Roman" w:hAnsi="inherit" w:cs="Times New Roman"/>
                <w:color w:val="000000"/>
                <w:kern w:val="0"/>
                <w:sz w:val="24"/>
                <w:szCs w:val="24"/>
                <w:lang w:eastAsia="tr-TR"/>
                <w14:ligatures w14:val="none"/>
              </w:rPr>
              <w:t>/l)</w:t>
            </w:r>
          </w:p>
        </w:tc>
      </w:tr>
      <w:tr w:rsidR="002C6563" w:rsidRPr="002C6563" w14:paraId="27B11521" w14:textId="77777777" w:rsidTr="002C6563">
        <w:tc>
          <w:tcPr>
            <w:tcW w:w="28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8133A6"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Nitrifikasyonsuz</w:t>
            </w:r>
            <w:hyperlink r:id="rId4" w:anchor="_edn1" w:history="1">
              <w:r w:rsidRPr="002C6563">
                <w:rPr>
                  <w:rFonts w:ascii="inherit" w:eastAsia="Times New Roman" w:hAnsi="inherit" w:cs="Times New Roman"/>
                  <w:color w:val="0000FF"/>
                  <w:kern w:val="0"/>
                  <w:sz w:val="24"/>
                  <w:szCs w:val="24"/>
                  <w:u w:val="single"/>
                  <w:vertAlign w:val="superscript"/>
                  <w:lang w:eastAsia="tr-TR"/>
                  <w14:ligatures w14:val="none"/>
                </w:rPr>
                <w:t>1</w:t>
              </w:r>
            </w:hyperlink>
            <w:r w:rsidRPr="002C6563">
              <w:rPr>
                <w:rFonts w:ascii="inherit" w:eastAsia="Times New Roman" w:hAnsi="inherit" w:cs="Times New Roman"/>
                <w:color w:val="000000"/>
                <w:kern w:val="0"/>
                <w:sz w:val="24"/>
                <w:szCs w:val="24"/>
                <w:lang w:eastAsia="tr-TR"/>
                <w14:ligatures w14:val="none"/>
              </w:rPr>
              <w:t> Biyokimyasal oksijen ihtiyacı (20ºC’de BOİ</w:t>
            </w:r>
            <w:r w:rsidRPr="002C6563">
              <w:rPr>
                <w:rFonts w:ascii="inherit" w:eastAsia="Times New Roman" w:hAnsi="inherit" w:cs="Times New Roman"/>
                <w:color w:val="000000"/>
                <w:kern w:val="0"/>
                <w:sz w:val="24"/>
                <w:szCs w:val="24"/>
                <w:vertAlign w:val="subscript"/>
                <w:lang w:eastAsia="tr-TR"/>
                <w14:ligatures w14:val="none"/>
              </w:rPr>
              <w:t>5</w:t>
            </w:r>
            <w:r w:rsidRPr="002C6563">
              <w:rPr>
                <w:rFonts w:ascii="inherit" w:eastAsia="Times New Roman" w:hAnsi="inherit" w:cs="Times New Roman"/>
                <w:color w:val="000000"/>
                <w:kern w:val="0"/>
                <w:sz w:val="24"/>
                <w:szCs w:val="24"/>
                <w:lang w:eastAsia="tr-TR"/>
                <w14:ligatures w14:val="none"/>
              </w:rPr>
              <w:t>)</w:t>
            </w:r>
          </w:p>
        </w:tc>
        <w:tc>
          <w:tcPr>
            <w:tcW w:w="3543" w:type="dxa"/>
            <w:tcBorders>
              <w:top w:val="nil"/>
              <w:left w:val="nil"/>
              <w:bottom w:val="single" w:sz="8" w:space="0" w:color="auto"/>
              <w:right w:val="single" w:sz="8" w:space="0" w:color="auto"/>
            </w:tcBorders>
            <w:tcMar>
              <w:top w:w="0" w:type="dxa"/>
              <w:left w:w="70" w:type="dxa"/>
              <w:bottom w:w="0" w:type="dxa"/>
              <w:right w:w="70" w:type="dxa"/>
            </w:tcMar>
            <w:hideMark/>
          </w:tcPr>
          <w:p w14:paraId="4DA75693"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25</w:t>
            </w:r>
          </w:p>
        </w:tc>
      </w:tr>
      <w:tr w:rsidR="002C6563" w:rsidRPr="002C6563" w14:paraId="67E6FC6F" w14:textId="77777777" w:rsidTr="002C6563">
        <w:tc>
          <w:tcPr>
            <w:tcW w:w="28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F8450A7"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Kimyasal oksijen ihtiyacı (KOİ)</w:t>
            </w:r>
          </w:p>
        </w:tc>
        <w:tc>
          <w:tcPr>
            <w:tcW w:w="3543" w:type="dxa"/>
            <w:tcBorders>
              <w:top w:val="nil"/>
              <w:left w:val="nil"/>
              <w:bottom w:val="single" w:sz="8" w:space="0" w:color="auto"/>
              <w:right w:val="single" w:sz="8" w:space="0" w:color="auto"/>
            </w:tcBorders>
            <w:tcMar>
              <w:top w:w="0" w:type="dxa"/>
              <w:left w:w="70" w:type="dxa"/>
              <w:bottom w:w="0" w:type="dxa"/>
              <w:right w:w="70" w:type="dxa"/>
            </w:tcMar>
            <w:hideMark/>
          </w:tcPr>
          <w:p w14:paraId="22170351"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125</w:t>
            </w:r>
          </w:p>
        </w:tc>
      </w:tr>
      <w:tr w:rsidR="002C6563" w:rsidRPr="002C6563" w14:paraId="3B6AF6F4" w14:textId="77777777" w:rsidTr="002C6563">
        <w:tc>
          <w:tcPr>
            <w:tcW w:w="28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6F2F81"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Toplam askıda katı madde (TAKM)</w:t>
            </w:r>
          </w:p>
        </w:tc>
        <w:tc>
          <w:tcPr>
            <w:tcW w:w="3543" w:type="dxa"/>
            <w:tcBorders>
              <w:top w:val="nil"/>
              <w:left w:val="nil"/>
              <w:bottom w:val="single" w:sz="8" w:space="0" w:color="auto"/>
              <w:right w:val="single" w:sz="8" w:space="0" w:color="auto"/>
            </w:tcBorders>
            <w:tcMar>
              <w:top w:w="0" w:type="dxa"/>
              <w:left w:w="70" w:type="dxa"/>
              <w:bottom w:w="0" w:type="dxa"/>
              <w:right w:w="70" w:type="dxa"/>
            </w:tcMar>
            <w:hideMark/>
          </w:tcPr>
          <w:p w14:paraId="7B7E2108"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35</w:t>
            </w:r>
          </w:p>
          <w:p w14:paraId="30C62073"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w:t>
            </w:r>
          </w:p>
          <w:p w14:paraId="3BD7AF06"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35 Madde 8 (c)</w:t>
            </w:r>
          </w:p>
          <w:p w14:paraId="5C624B73"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xml:space="preserve">(10000 </w:t>
            </w:r>
            <w:proofErr w:type="spellStart"/>
            <w:r w:rsidRPr="002C6563">
              <w:rPr>
                <w:rFonts w:ascii="inherit" w:eastAsia="Times New Roman" w:hAnsi="inherit" w:cs="Times New Roman"/>
                <w:color w:val="000000"/>
                <w:kern w:val="0"/>
                <w:sz w:val="24"/>
                <w:szCs w:val="24"/>
                <w:lang w:eastAsia="tr-TR"/>
                <w14:ligatures w14:val="none"/>
              </w:rPr>
              <w:t>E.N.’den</w:t>
            </w:r>
            <w:proofErr w:type="spellEnd"/>
            <w:r w:rsidRPr="002C6563">
              <w:rPr>
                <w:rFonts w:ascii="inherit" w:eastAsia="Times New Roman" w:hAnsi="inherit" w:cs="Times New Roman"/>
                <w:color w:val="000000"/>
                <w:kern w:val="0"/>
                <w:sz w:val="24"/>
                <w:szCs w:val="24"/>
                <w:lang w:eastAsia="tr-TR"/>
                <w14:ligatures w14:val="none"/>
              </w:rPr>
              <w:t xml:space="preserve"> fazla)</w:t>
            </w:r>
          </w:p>
          <w:p w14:paraId="41F5658D"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w:t>
            </w:r>
          </w:p>
          <w:p w14:paraId="7E45A5D7"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60 Madde 8 (c)</w:t>
            </w:r>
          </w:p>
          <w:p w14:paraId="50F81E38"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lastRenderedPageBreak/>
              <w:t> (2000-10000</w:t>
            </w:r>
            <w:proofErr w:type="gramStart"/>
            <w:r w:rsidRPr="002C6563">
              <w:rPr>
                <w:rFonts w:ascii="inherit" w:eastAsia="Times New Roman" w:hAnsi="inherit" w:cs="Times New Roman"/>
                <w:color w:val="000000"/>
                <w:kern w:val="0"/>
                <w:sz w:val="24"/>
                <w:szCs w:val="24"/>
                <w:lang w:eastAsia="tr-TR"/>
                <w14:ligatures w14:val="none"/>
              </w:rPr>
              <w:t>E.N. )</w:t>
            </w:r>
            <w:proofErr w:type="gramEnd"/>
          </w:p>
          <w:p w14:paraId="59AC2096" w14:textId="77777777" w:rsidR="002C6563" w:rsidRPr="002C6563" w:rsidRDefault="002C6563" w:rsidP="002C6563">
            <w:pPr>
              <w:spacing w:after="0" w:line="240" w:lineRule="auto"/>
              <w:ind w:firstLine="567"/>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w:t>
            </w:r>
          </w:p>
        </w:tc>
      </w:tr>
    </w:tbl>
    <w:p w14:paraId="1190CE07"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inherit" w:eastAsia="Times New Roman" w:hAnsi="inherit" w:cs="Times New Roman"/>
          <w:color w:val="000000"/>
          <w:kern w:val="0"/>
          <w:sz w:val="24"/>
          <w:szCs w:val="24"/>
          <w:vertAlign w:val="superscript"/>
          <w:lang w:eastAsia="tr-TR"/>
          <w14:ligatures w14:val="none"/>
        </w:rPr>
        <w:lastRenderedPageBreak/>
        <w:t> </w:t>
      </w:r>
    </w:p>
    <w:p w14:paraId="7B3C9EC8"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5FA4605B"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40116D15"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7792994A"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4E0FA3D8"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490D67F7"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225A480C"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7C8ABB9D"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714C6C45"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1BE2852F"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5C1C2820"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3F3C3B7A"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04C287B9" w14:textId="77777777" w:rsidR="002C6563" w:rsidRPr="002C6563" w:rsidRDefault="002C6563" w:rsidP="002C6563">
      <w:pPr>
        <w:spacing w:after="0" w:line="240" w:lineRule="auto"/>
        <w:rPr>
          <w:rFonts w:ascii="Times New Roman" w:eastAsia="Times New Roman" w:hAnsi="Times New Roman" w:cs="Times New Roman"/>
          <w:color w:val="000000"/>
          <w:kern w:val="0"/>
          <w:sz w:val="24"/>
          <w:szCs w:val="24"/>
          <w:lang w:eastAsia="tr-TR"/>
          <w14:ligatures w14:val="none"/>
        </w:rPr>
      </w:pPr>
      <w:r w:rsidRPr="002C6563">
        <w:rPr>
          <w:rFonts w:ascii="inherit" w:eastAsia="Times New Roman" w:hAnsi="inherit" w:cs="Times New Roman"/>
          <w:color w:val="000000"/>
          <w:kern w:val="0"/>
          <w:sz w:val="24"/>
          <w:szCs w:val="24"/>
          <w:vertAlign w:val="superscript"/>
          <w:lang w:eastAsia="tr-TR"/>
          <w14:ligatures w14:val="none"/>
        </w:rPr>
        <w:t> 1</w:t>
      </w:r>
      <w:r w:rsidRPr="002C6563">
        <w:rPr>
          <w:rFonts w:ascii="Times New Roman" w:eastAsia="Times New Roman" w:hAnsi="Times New Roman" w:cs="Times New Roman"/>
          <w:color w:val="000000"/>
          <w:kern w:val="0"/>
          <w:sz w:val="24"/>
          <w:szCs w:val="24"/>
          <w:lang w:eastAsia="tr-TR"/>
          <w14:ligatures w14:val="none"/>
        </w:rPr>
        <w:t> Eğer BOİ</w:t>
      </w:r>
      <w:r w:rsidRPr="002C6563">
        <w:rPr>
          <w:rFonts w:ascii="inherit" w:eastAsia="Times New Roman" w:hAnsi="inherit" w:cs="Times New Roman"/>
          <w:color w:val="000000"/>
          <w:kern w:val="0"/>
          <w:sz w:val="24"/>
          <w:szCs w:val="24"/>
          <w:vertAlign w:val="subscript"/>
          <w:lang w:eastAsia="tr-TR"/>
          <w14:ligatures w14:val="none"/>
        </w:rPr>
        <w:t>5</w:t>
      </w:r>
      <w:r w:rsidRPr="002C6563">
        <w:rPr>
          <w:rFonts w:ascii="Times New Roman" w:eastAsia="Times New Roman" w:hAnsi="Times New Roman" w:cs="Times New Roman"/>
          <w:color w:val="000000"/>
          <w:kern w:val="0"/>
          <w:sz w:val="24"/>
          <w:szCs w:val="24"/>
          <w:lang w:eastAsia="tr-TR"/>
          <w14:ligatures w14:val="none"/>
        </w:rPr>
        <w:t xml:space="preserve"> ile yerine kullanılan parametre arasında korelasyon kurulabilirse, bu parametre bir başka parametre ile değiştirilebilir: toplam organik karbon (TOK) </w:t>
      </w:r>
      <w:proofErr w:type="gramStart"/>
      <w:r w:rsidRPr="002C6563">
        <w:rPr>
          <w:rFonts w:ascii="Times New Roman" w:eastAsia="Times New Roman" w:hAnsi="Times New Roman" w:cs="Times New Roman"/>
          <w:color w:val="000000"/>
          <w:kern w:val="0"/>
          <w:sz w:val="24"/>
          <w:szCs w:val="24"/>
          <w:lang w:eastAsia="tr-TR"/>
          <w14:ligatures w14:val="none"/>
        </w:rPr>
        <w:t>yada</w:t>
      </w:r>
      <w:proofErr w:type="gramEnd"/>
      <w:r w:rsidRPr="002C6563">
        <w:rPr>
          <w:rFonts w:ascii="Times New Roman" w:eastAsia="Times New Roman" w:hAnsi="Times New Roman" w:cs="Times New Roman"/>
          <w:color w:val="000000"/>
          <w:kern w:val="0"/>
          <w:sz w:val="24"/>
          <w:szCs w:val="24"/>
          <w:lang w:eastAsia="tr-TR"/>
          <w14:ligatures w14:val="none"/>
        </w:rPr>
        <w:t xml:space="preserve"> toplam oksijen ihtiyacı (TOİ) gibi.</w:t>
      </w:r>
    </w:p>
    <w:p w14:paraId="35DD73DD" w14:textId="77777777" w:rsidR="002C6563" w:rsidRPr="002C6563" w:rsidRDefault="002C6563" w:rsidP="002C6563">
      <w:pPr>
        <w:spacing w:after="0" w:line="240"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w:t>
      </w:r>
    </w:p>
    <w:p w14:paraId="0BB2ACD8" w14:textId="77777777" w:rsidR="002C6563" w:rsidRPr="002C6563" w:rsidRDefault="002C6563" w:rsidP="002C6563">
      <w:pPr>
        <w:spacing w:after="0" w:line="240"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w:t>
      </w:r>
    </w:p>
    <w:p w14:paraId="609D9FDA" w14:textId="77777777" w:rsidR="002C6563" w:rsidRPr="002C6563" w:rsidRDefault="002C6563" w:rsidP="002C6563">
      <w:pPr>
        <w:spacing w:after="0" w:line="240"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w:t>
      </w:r>
    </w:p>
    <w:p w14:paraId="1A0A4FAE" w14:textId="77777777" w:rsidR="002C6563" w:rsidRPr="002C6563" w:rsidRDefault="002C6563" w:rsidP="002C6563">
      <w:pPr>
        <w:spacing w:after="0" w:line="240"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w:t>
      </w:r>
    </w:p>
    <w:p w14:paraId="189F85C1" w14:textId="77777777" w:rsidR="002C6563" w:rsidRPr="002C6563" w:rsidRDefault="002C6563" w:rsidP="002C6563">
      <w:pPr>
        <w:spacing w:after="0" w:line="240"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t> </w:t>
      </w:r>
    </w:p>
    <w:p w14:paraId="3ADAF1CA"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i/>
          <w:iCs/>
          <w:color w:val="000000"/>
          <w:kern w:val="0"/>
          <w:lang w:eastAsia="tr-TR"/>
          <w14:ligatures w14:val="none"/>
        </w:rPr>
        <w:t> </w:t>
      </w:r>
    </w:p>
    <w:p w14:paraId="7C7AA074"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076A8CB0" w14:textId="77777777" w:rsidR="002C6563" w:rsidRPr="002C6563" w:rsidRDefault="002C6563" w:rsidP="002C6563">
      <w:pPr>
        <w:spacing w:after="0" w:line="305" w:lineRule="atLeast"/>
        <w:ind w:right="-142" w:firstLine="539"/>
        <w:jc w:val="center"/>
        <w:rPr>
          <w:rFonts w:ascii="Times New Roman" w:eastAsia="Times New Roman" w:hAnsi="Times New Roman" w:cs="Times New Roman"/>
          <w:color w:val="000000"/>
          <w:kern w:val="0"/>
          <w:sz w:val="24"/>
          <w:szCs w:val="24"/>
          <w:lang w:eastAsia="tr-TR"/>
          <w14:ligatures w14:val="none"/>
        </w:rPr>
      </w:pPr>
      <w:r w:rsidRPr="002C6563">
        <w:rPr>
          <w:rFonts w:ascii="inherit" w:eastAsia="Times New Roman" w:hAnsi="inherit" w:cs="Times New Roman"/>
          <w:b/>
          <w:bCs/>
          <w:color w:val="000000"/>
          <w:kern w:val="0"/>
          <w:sz w:val="24"/>
          <w:szCs w:val="24"/>
          <w:lang w:eastAsia="tr-TR"/>
          <w14:ligatures w14:val="none"/>
        </w:rPr>
        <w:t xml:space="preserve">(Değişik </w:t>
      </w:r>
      <w:proofErr w:type="gramStart"/>
      <w:r w:rsidRPr="002C6563">
        <w:rPr>
          <w:rFonts w:ascii="inherit" w:eastAsia="Times New Roman" w:hAnsi="inherit" w:cs="Times New Roman"/>
          <w:b/>
          <w:bCs/>
          <w:color w:val="000000"/>
          <w:kern w:val="0"/>
          <w:sz w:val="24"/>
          <w:szCs w:val="24"/>
          <w:lang w:eastAsia="tr-TR"/>
          <w14:ligatures w14:val="none"/>
        </w:rPr>
        <w:t>tablo:RG</w:t>
      </w:r>
      <w:proofErr w:type="gramEnd"/>
      <w:r w:rsidRPr="002C6563">
        <w:rPr>
          <w:rFonts w:ascii="inherit" w:eastAsia="Times New Roman" w:hAnsi="inherit" w:cs="Times New Roman"/>
          <w:b/>
          <w:bCs/>
          <w:color w:val="000000"/>
          <w:kern w:val="0"/>
          <w:sz w:val="24"/>
          <w:szCs w:val="24"/>
          <w:lang w:eastAsia="tr-TR"/>
          <w14:ligatures w14:val="none"/>
        </w:rPr>
        <w:t>-8/12/2023-32393)</w:t>
      </w:r>
    </w:p>
    <w:p w14:paraId="1DA3E9DF" w14:textId="77777777" w:rsidR="002C6563" w:rsidRPr="002C6563" w:rsidRDefault="002C6563" w:rsidP="002C6563">
      <w:pPr>
        <w:spacing w:after="0" w:line="240" w:lineRule="auto"/>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Tablo 2</w:t>
      </w:r>
    </w:p>
    <w:p w14:paraId="344FD0C0" w14:textId="77777777" w:rsidR="002C6563" w:rsidRPr="002C6563" w:rsidRDefault="002C6563" w:rsidP="002C6563">
      <w:pPr>
        <w:spacing w:after="0" w:line="240" w:lineRule="auto"/>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inherit" w:eastAsia="Times New Roman" w:hAnsi="inherit" w:cs="Times New Roman"/>
          <w:color w:val="000000"/>
          <w:kern w:val="0"/>
          <w:sz w:val="24"/>
          <w:szCs w:val="24"/>
          <w:lang w:eastAsia="tr-TR"/>
          <w14:ligatures w14:val="none"/>
        </w:rPr>
        <w:t>Kentsel atıksu arıtım tesislerinden ileri arıtıma ilişkin deşarj limitleri</w:t>
      </w:r>
      <w:r w:rsidRPr="002C6563">
        <w:rPr>
          <w:rFonts w:ascii="inherit" w:eastAsia="Times New Roman" w:hAnsi="inherit" w:cs="Times New Roman"/>
          <w:color w:val="000000"/>
          <w:kern w:val="0"/>
          <w:sz w:val="24"/>
          <w:szCs w:val="24"/>
          <w:vertAlign w:val="superscript"/>
          <w:lang w:eastAsia="tr-TR"/>
          <w14:ligatures w14:val="none"/>
        </w:rPr>
        <w:t>*</w:t>
      </w:r>
    </w:p>
    <w:p w14:paraId="75082D30" w14:textId="77777777" w:rsidR="002C6563" w:rsidRPr="002C6563" w:rsidRDefault="002C6563" w:rsidP="002C6563">
      <w:pPr>
        <w:spacing w:after="0" w:line="240" w:lineRule="auto"/>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tbl>
      <w:tblPr>
        <w:tblpPr w:leftFromText="141" w:rightFromText="141" w:vertAnchor="text"/>
        <w:tblW w:w="8214" w:type="dxa"/>
        <w:tblCellMar>
          <w:left w:w="0" w:type="dxa"/>
          <w:right w:w="0" w:type="dxa"/>
        </w:tblCellMar>
        <w:tblLook w:val="04A0" w:firstRow="1" w:lastRow="0" w:firstColumn="1" w:lastColumn="0" w:noHBand="0" w:noVBand="1"/>
      </w:tblPr>
      <w:tblGrid>
        <w:gridCol w:w="3095"/>
        <w:gridCol w:w="5119"/>
      </w:tblGrid>
      <w:tr w:rsidR="002C6563" w:rsidRPr="002C6563" w14:paraId="6874DACD" w14:textId="77777777" w:rsidTr="002C6563">
        <w:trPr>
          <w:trHeight w:val="287"/>
        </w:trPr>
        <w:tc>
          <w:tcPr>
            <w:tcW w:w="30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5BA89AA"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Parametreler</w:t>
            </w:r>
          </w:p>
        </w:tc>
        <w:tc>
          <w:tcPr>
            <w:tcW w:w="5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402914"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Konsantrasyon</w:t>
            </w:r>
          </w:p>
        </w:tc>
      </w:tr>
      <w:tr w:rsidR="002C6563" w:rsidRPr="002C6563" w14:paraId="368E89DA" w14:textId="77777777" w:rsidTr="002C6563">
        <w:trPr>
          <w:trHeight w:val="1469"/>
        </w:trPr>
        <w:tc>
          <w:tcPr>
            <w:tcW w:w="3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FAD219"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Toplam fosfor</w:t>
            </w:r>
          </w:p>
        </w:tc>
        <w:tc>
          <w:tcPr>
            <w:tcW w:w="5119" w:type="dxa"/>
            <w:tcBorders>
              <w:top w:val="nil"/>
              <w:left w:val="nil"/>
              <w:bottom w:val="single" w:sz="8" w:space="0" w:color="auto"/>
              <w:right w:val="single" w:sz="8" w:space="0" w:color="auto"/>
            </w:tcBorders>
            <w:tcMar>
              <w:top w:w="0" w:type="dxa"/>
              <w:left w:w="70" w:type="dxa"/>
              <w:bottom w:w="0" w:type="dxa"/>
              <w:right w:w="70" w:type="dxa"/>
            </w:tcMar>
            <w:hideMark/>
          </w:tcPr>
          <w:p w14:paraId="625AEAF0"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2 mg/l P</w:t>
            </w:r>
          </w:p>
          <w:p w14:paraId="54F3DB91"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(10000-100000 E.N.)</w:t>
            </w:r>
          </w:p>
          <w:p w14:paraId="2A3B3679"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1 mg/l P</w:t>
            </w:r>
          </w:p>
          <w:p w14:paraId="3CA58FE8"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xml:space="preserve">(100 000 </w:t>
            </w:r>
            <w:proofErr w:type="spellStart"/>
            <w:r w:rsidRPr="002C6563">
              <w:rPr>
                <w:rFonts w:ascii="inherit" w:eastAsia="Times New Roman" w:hAnsi="inherit" w:cs="Times New Roman"/>
                <w:color w:val="000000"/>
                <w:kern w:val="0"/>
                <w:sz w:val="24"/>
                <w:szCs w:val="24"/>
                <w:lang w:eastAsia="tr-TR"/>
                <w14:ligatures w14:val="none"/>
              </w:rPr>
              <w:t>E.N.’den</w:t>
            </w:r>
            <w:proofErr w:type="spellEnd"/>
            <w:r w:rsidRPr="002C6563">
              <w:rPr>
                <w:rFonts w:ascii="inherit" w:eastAsia="Times New Roman" w:hAnsi="inherit" w:cs="Times New Roman"/>
                <w:color w:val="000000"/>
                <w:kern w:val="0"/>
                <w:sz w:val="24"/>
                <w:szCs w:val="24"/>
                <w:lang w:eastAsia="tr-TR"/>
                <w14:ligatures w14:val="none"/>
              </w:rPr>
              <w:t xml:space="preserve"> fazla)</w:t>
            </w:r>
          </w:p>
        </w:tc>
      </w:tr>
      <w:tr w:rsidR="002C6563" w:rsidRPr="002C6563" w14:paraId="4BE6954A" w14:textId="77777777" w:rsidTr="002C6563">
        <w:trPr>
          <w:trHeight w:val="1455"/>
        </w:trPr>
        <w:tc>
          <w:tcPr>
            <w:tcW w:w="3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4B507B" w14:textId="77777777" w:rsidR="002C6563" w:rsidRPr="002C6563" w:rsidRDefault="002C6563" w:rsidP="002C6563">
            <w:pPr>
              <w:spacing w:after="0" w:line="240" w:lineRule="auto"/>
              <w:rPr>
                <w:rFonts w:ascii="Times New Roman" w:eastAsia="Times New Roman" w:hAnsi="Times New Roman" w:cs="Times New Roman"/>
                <w:kern w:val="0"/>
                <w:sz w:val="20"/>
                <w:szCs w:val="20"/>
                <w:lang w:eastAsia="tr-TR"/>
                <w14:ligatures w14:val="none"/>
              </w:rPr>
            </w:pPr>
            <w:proofErr w:type="gramStart"/>
            <w:r w:rsidRPr="002C6563">
              <w:rPr>
                <w:rFonts w:ascii="inherit" w:eastAsia="Times New Roman" w:hAnsi="inherit" w:cs="Times New Roman"/>
                <w:color w:val="000000"/>
                <w:kern w:val="0"/>
                <w:sz w:val="24"/>
                <w:szCs w:val="24"/>
                <w:lang w:eastAsia="tr-TR"/>
                <w14:ligatures w14:val="none"/>
              </w:rPr>
              <w:t>Toplam  azot</w:t>
            </w:r>
            <w:proofErr w:type="gramEnd"/>
            <w:r w:rsidRPr="002C6563">
              <w:rPr>
                <w:rFonts w:ascii="inherit" w:eastAsia="Times New Roman" w:hAnsi="inherit" w:cs="Times New Roman"/>
                <w:color w:val="000000"/>
                <w:kern w:val="0"/>
                <w:sz w:val="24"/>
                <w:szCs w:val="24"/>
                <w:lang w:eastAsia="tr-TR"/>
                <w14:ligatures w14:val="none"/>
              </w:rPr>
              <w:t> </w:t>
            </w:r>
            <w:hyperlink r:id="rId5" w:anchor="_edn2" w:history="1">
              <w:r w:rsidRPr="002C6563">
                <w:rPr>
                  <w:rFonts w:ascii="inherit" w:eastAsia="Times New Roman" w:hAnsi="inherit" w:cs="Times New Roman"/>
                  <w:color w:val="0000FF"/>
                  <w:kern w:val="0"/>
                  <w:sz w:val="24"/>
                  <w:szCs w:val="24"/>
                  <w:u w:val="single"/>
                  <w:vertAlign w:val="superscript"/>
                  <w:lang w:eastAsia="tr-TR"/>
                  <w14:ligatures w14:val="none"/>
                </w:rPr>
                <w:t>1</w:t>
              </w:r>
            </w:hyperlink>
          </w:p>
        </w:tc>
        <w:tc>
          <w:tcPr>
            <w:tcW w:w="5119" w:type="dxa"/>
            <w:tcBorders>
              <w:top w:val="nil"/>
              <w:left w:val="nil"/>
              <w:bottom w:val="single" w:sz="8" w:space="0" w:color="auto"/>
              <w:right w:val="single" w:sz="8" w:space="0" w:color="auto"/>
            </w:tcBorders>
            <w:tcMar>
              <w:top w:w="0" w:type="dxa"/>
              <w:left w:w="70" w:type="dxa"/>
              <w:bottom w:w="0" w:type="dxa"/>
              <w:right w:w="70" w:type="dxa"/>
            </w:tcMar>
            <w:hideMark/>
          </w:tcPr>
          <w:p w14:paraId="055B41D3"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15 mg/l N</w:t>
            </w:r>
          </w:p>
          <w:p w14:paraId="18F8E58A"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(10000-100000 E.N.)</w:t>
            </w:r>
          </w:p>
          <w:p w14:paraId="1F8AA737"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10 mg/l N</w:t>
            </w:r>
          </w:p>
          <w:p w14:paraId="253DB8C8" w14:textId="77777777" w:rsidR="002C6563" w:rsidRPr="002C6563" w:rsidRDefault="002C6563" w:rsidP="002C6563">
            <w:pPr>
              <w:spacing w:after="0" w:line="240" w:lineRule="auto"/>
              <w:ind w:firstLine="215"/>
              <w:rPr>
                <w:rFonts w:ascii="Times New Roman" w:eastAsia="Times New Roman" w:hAnsi="Times New Roman" w:cs="Times New Roman"/>
                <w:kern w:val="0"/>
                <w:sz w:val="20"/>
                <w:szCs w:val="20"/>
                <w:lang w:eastAsia="tr-TR"/>
                <w14:ligatures w14:val="none"/>
              </w:rPr>
            </w:pPr>
            <w:r w:rsidRPr="002C6563">
              <w:rPr>
                <w:rFonts w:ascii="inherit" w:eastAsia="Times New Roman" w:hAnsi="inherit" w:cs="Times New Roman"/>
                <w:color w:val="000000"/>
                <w:kern w:val="0"/>
                <w:sz w:val="24"/>
                <w:szCs w:val="24"/>
                <w:lang w:eastAsia="tr-TR"/>
                <w14:ligatures w14:val="none"/>
              </w:rPr>
              <w:t xml:space="preserve">(100 000 </w:t>
            </w:r>
            <w:proofErr w:type="spellStart"/>
            <w:r w:rsidRPr="002C6563">
              <w:rPr>
                <w:rFonts w:ascii="inherit" w:eastAsia="Times New Roman" w:hAnsi="inherit" w:cs="Times New Roman"/>
                <w:color w:val="000000"/>
                <w:kern w:val="0"/>
                <w:sz w:val="24"/>
                <w:szCs w:val="24"/>
                <w:lang w:eastAsia="tr-TR"/>
                <w14:ligatures w14:val="none"/>
              </w:rPr>
              <w:t>E.N.’den</w:t>
            </w:r>
            <w:proofErr w:type="spellEnd"/>
            <w:r w:rsidRPr="002C6563">
              <w:rPr>
                <w:rFonts w:ascii="inherit" w:eastAsia="Times New Roman" w:hAnsi="inherit" w:cs="Times New Roman"/>
                <w:color w:val="000000"/>
                <w:kern w:val="0"/>
                <w:sz w:val="24"/>
                <w:szCs w:val="24"/>
                <w:lang w:eastAsia="tr-TR"/>
                <w14:ligatures w14:val="none"/>
              </w:rPr>
              <w:t xml:space="preserve"> fazla)</w:t>
            </w:r>
            <w:hyperlink r:id="rId6" w:anchor="_edn3" w:history="1">
              <w:r w:rsidRPr="002C6563">
                <w:rPr>
                  <w:rFonts w:ascii="inherit" w:eastAsia="Times New Roman" w:hAnsi="inherit" w:cs="Times New Roman"/>
                  <w:color w:val="0000FF"/>
                  <w:kern w:val="0"/>
                  <w:sz w:val="24"/>
                  <w:szCs w:val="24"/>
                  <w:u w:val="single"/>
                  <w:vertAlign w:val="superscript"/>
                  <w:lang w:eastAsia="tr-TR"/>
                  <w14:ligatures w14:val="none"/>
                </w:rPr>
                <w:t>2</w:t>
              </w:r>
            </w:hyperlink>
          </w:p>
        </w:tc>
      </w:tr>
    </w:tbl>
    <w:p w14:paraId="67FA2068" w14:textId="77777777" w:rsidR="002C6563" w:rsidRPr="002C6563" w:rsidRDefault="002C6563" w:rsidP="002C6563">
      <w:pPr>
        <w:spacing w:after="0" w:line="240"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01BA1E89" w14:textId="77777777" w:rsidR="002C6563" w:rsidRPr="002C6563" w:rsidRDefault="002C6563" w:rsidP="002C6563">
      <w:pPr>
        <w:spacing w:after="0" w:line="305" w:lineRule="atLeast"/>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5C321EB2" w14:textId="77777777" w:rsidR="002C6563" w:rsidRPr="002C6563" w:rsidRDefault="002C6563" w:rsidP="002C6563">
      <w:pPr>
        <w:spacing w:after="0" w:line="305" w:lineRule="atLeast"/>
        <w:rPr>
          <w:rFonts w:ascii="Times New Roman" w:eastAsia="Times New Roman" w:hAnsi="Times New Roman" w:cs="Times New Roman"/>
          <w:color w:val="000000"/>
          <w:kern w:val="0"/>
          <w:sz w:val="24"/>
          <w:szCs w:val="24"/>
          <w:lang w:eastAsia="tr-TR"/>
          <w14:ligatures w14:val="none"/>
        </w:rPr>
      </w:pPr>
      <w:r w:rsidRPr="002C6563">
        <w:rPr>
          <w:rFonts w:ascii="Times New Roman" w:eastAsia="Times New Roman" w:hAnsi="Times New Roman" w:cs="Times New Roman"/>
          <w:color w:val="000000"/>
          <w:kern w:val="0"/>
          <w:sz w:val="24"/>
          <w:szCs w:val="24"/>
          <w:lang w:eastAsia="tr-TR"/>
          <w14:ligatures w14:val="none"/>
        </w:rPr>
        <w:t> </w:t>
      </w:r>
    </w:p>
    <w:p w14:paraId="09D083F6"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1F633110"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3B5DEB3C"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1D162E06"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76F04BC2"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7B97386D"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735C9D9D"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43177F27"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7775E364"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00A16692"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4AE8B09A"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5BCBDB50"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36A9696D"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1C3E3A84"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1A578B1C"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2B806AA5"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7887FBA1"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13CD3877"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42FBF324"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56AB719C"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 </w:t>
      </w:r>
    </w:p>
    <w:p w14:paraId="0A325D18"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b/>
          <w:bCs/>
          <w:color w:val="000000"/>
          <w:kern w:val="0"/>
          <w:lang w:eastAsia="tr-TR"/>
          <w14:ligatures w14:val="none"/>
        </w:rPr>
        <w:t>Tablo 3</w:t>
      </w:r>
    </w:p>
    <w:p w14:paraId="492A1904" w14:textId="77777777" w:rsidR="002C6563" w:rsidRPr="002C6563" w:rsidRDefault="002C6563" w:rsidP="002C6563">
      <w:pPr>
        <w:spacing w:after="0" w:line="240" w:lineRule="atLeast"/>
        <w:ind w:firstLine="567"/>
        <w:jc w:val="center"/>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lang w:eastAsia="tr-TR"/>
          <w14:ligatures w14:val="none"/>
        </w:rPr>
        <w:lastRenderedPageBreak/>
        <w:t>Atıksu numunesinden alınan örnek serisi ile İzin verilen maksimum uyumsuz örnek sayısı</w:t>
      </w:r>
    </w:p>
    <w:tbl>
      <w:tblPr>
        <w:tblW w:w="8789" w:type="dxa"/>
        <w:tblCellMar>
          <w:left w:w="0" w:type="dxa"/>
          <w:right w:w="0" w:type="dxa"/>
        </w:tblCellMar>
        <w:tblLook w:val="04A0" w:firstRow="1" w:lastRow="0" w:firstColumn="1" w:lastColumn="0" w:noHBand="0" w:noVBand="1"/>
      </w:tblPr>
      <w:tblGrid>
        <w:gridCol w:w="4394"/>
        <w:gridCol w:w="4395"/>
      </w:tblGrid>
      <w:tr w:rsidR="002C6563" w:rsidRPr="002C6563" w14:paraId="1CF8AFEC" w14:textId="77777777" w:rsidTr="002C6563">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F0E8A3D"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Bir yılda alınan örnek serisi</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DA338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İzin verilen maksimum uyumsuz örnek sayısı</w:t>
            </w:r>
          </w:p>
        </w:tc>
      </w:tr>
      <w:tr w:rsidR="002C6563" w:rsidRPr="002C6563" w14:paraId="69B6E443" w14:textId="77777777" w:rsidTr="002C6563">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81A25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4-7</w:t>
            </w:r>
          </w:p>
          <w:p w14:paraId="073DA08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8-16</w:t>
            </w:r>
          </w:p>
          <w:p w14:paraId="62440201"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17-28</w:t>
            </w:r>
          </w:p>
          <w:p w14:paraId="660DCB95"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29-40</w:t>
            </w:r>
          </w:p>
          <w:p w14:paraId="3A48108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41-53</w:t>
            </w:r>
          </w:p>
          <w:p w14:paraId="79B01A55"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54-67</w:t>
            </w:r>
          </w:p>
          <w:p w14:paraId="73EF2DA8"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68-81</w:t>
            </w:r>
          </w:p>
          <w:p w14:paraId="39B76CC2"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82-95</w:t>
            </w:r>
          </w:p>
          <w:p w14:paraId="4CD42984"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96-110</w:t>
            </w:r>
          </w:p>
          <w:p w14:paraId="02497B08"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111-125</w:t>
            </w:r>
          </w:p>
          <w:p w14:paraId="58019FB9"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126-140</w:t>
            </w:r>
          </w:p>
          <w:p w14:paraId="5159506E"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141-155</w:t>
            </w:r>
          </w:p>
          <w:p w14:paraId="6A6F5CBB"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156-171</w:t>
            </w:r>
          </w:p>
          <w:p w14:paraId="4D456ACB"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172-187</w:t>
            </w:r>
          </w:p>
          <w:p w14:paraId="7B1EC70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188-203</w:t>
            </w:r>
          </w:p>
          <w:p w14:paraId="66C77811"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204-219</w:t>
            </w:r>
          </w:p>
          <w:p w14:paraId="0D561A7E"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220-235</w:t>
            </w:r>
          </w:p>
          <w:p w14:paraId="3B42FFFB"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236-251</w:t>
            </w:r>
          </w:p>
          <w:p w14:paraId="14632078"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252-268</w:t>
            </w:r>
          </w:p>
          <w:p w14:paraId="39E15EBB"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269-284</w:t>
            </w:r>
          </w:p>
          <w:p w14:paraId="15FBFC2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285-300</w:t>
            </w:r>
          </w:p>
          <w:p w14:paraId="7F065F2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301-317</w:t>
            </w:r>
          </w:p>
          <w:p w14:paraId="327D5155"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318-334</w:t>
            </w:r>
          </w:p>
          <w:p w14:paraId="0CA5EE9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335-350</w:t>
            </w:r>
          </w:p>
          <w:p w14:paraId="54BEDFFC"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351-365</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14:paraId="39A3AB2D"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w:t>
            </w:r>
          </w:p>
          <w:p w14:paraId="56EAB503"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w:t>
            </w:r>
          </w:p>
          <w:p w14:paraId="052F21DD"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3</w:t>
            </w:r>
          </w:p>
          <w:p w14:paraId="7C32D2BB"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4</w:t>
            </w:r>
          </w:p>
          <w:p w14:paraId="44CB39A8"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5</w:t>
            </w:r>
          </w:p>
          <w:p w14:paraId="436FC742"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6</w:t>
            </w:r>
          </w:p>
          <w:p w14:paraId="323C180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7</w:t>
            </w:r>
          </w:p>
          <w:p w14:paraId="46729158"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8</w:t>
            </w:r>
          </w:p>
          <w:p w14:paraId="343EBDC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9</w:t>
            </w:r>
          </w:p>
          <w:p w14:paraId="660348D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10</w:t>
            </w:r>
          </w:p>
          <w:p w14:paraId="270E603C"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11</w:t>
            </w:r>
          </w:p>
          <w:p w14:paraId="6D8EA87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12</w:t>
            </w:r>
          </w:p>
          <w:p w14:paraId="14E31403"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13</w:t>
            </w:r>
          </w:p>
          <w:p w14:paraId="668384F0"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14</w:t>
            </w:r>
          </w:p>
          <w:p w14:paraId="5E8FE0D3"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15</w:t>
            </w:r>
          </w:p>
          <w:p w14:paraId="50B0DF3C"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16</w:t>
            </w:r>
          </w:p>
          <w:p w14:paraId="2C70DFC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17</w:t>
            </w:r>
          </w:p>
          <w:p w14:paraId="0146C7F8"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18</w:t>
            </w:r>
          </w:p>
          <w:p w14:paraId="13721850"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19</w:t>
            </w:r>
          </w:p>
          <w:p w14:paraId="1B1B76C7"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20</w:t>
            </w:r>
          </w:p>
          <w:p w14:paraId="07A87ABD"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21</w:t>
            </w:r>
          </w:p>
          <w:p w14:paraId="65795699"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22</w:t>
            </w:r>
          </w:p>
          <w:p w14:paraId="7AFC1B09"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23</w:t>
            </w:r>
          </w:p>
          <w:p w14:paraId="34A61C8F"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24</w:t>
            </w:r>
          </w:p>
          <w:p w14:paraId="63A27031" w14:textId="77777777" w:rsidR="002C6563" w:rsidRPr="002C6563" w:rsidRDefault="002C6563" w:rsidP="002C6563">
            <w:pPr>
              <w:spacing w:after="0" w:line="240" w:lineRule="atLeast"/>
              <w:ind w:firstLine="567"/>
              <w:jc w:val="center"/>
              <w:rPr>
                <w:rFonts w:ascii="Times New Roman" w:eastAsia="Times New Roman" w:hAnsi="Times New Roman" w:cs="Times New Roman"/>
                <w:kern w:val="0"/>
                <w:sz w:val="20"/>
                <w:szCs w:val="20"/>
                <w:lang w:eastAsia="tr-TR"/>
                <w14:ligatures w14:val="none"/>
              </w:rPr>
            </w:pPr>
            <w:r w:rsidRPr="002C6563">
              <w:rPr>
                <w:rFonts w:ascii="Calibri" w:eastAsia="Times New Roman" w:hAnsi="Calibri" w:cs="Calibri"/>
                <w:kern w:val="0"/>
                <w:lang w:eastAsia="tr-TR"/>
                <w14:ligatures w14:val="none"/>
              </w:rPr>
              <w:t>25</w:t>
            </w:r>
          </w:p>
        </w:tc>
      </w:tr>
    </w:tbl>
    <w:p w14:paraId="285FBDBA" w14:textId="77777777" w:rsidR="002C6563" w:rsidRPr="002C6563" w:rsidRDefault="002C6563" w:rsidP="002C6563">
      <w:pPr>
        <w:spacing w:after="0" w:line="240" w:lineRule="atLeast"/>
        <w:ind w:firstLine="567"/>
        <w:jc w:val="both"/>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vertAlign w:val="superscript"/>
          <w:lang w:eastAsia="tr-TR"/>
          <w14:ligatures w14:val="none"/>
        </w:rPr>
        <w:t>1</w:t>
      </w:r>
      <w:r w:rsidRPr="002C6563">
        <w:rPr>
          <w:rFonts w:ascii="Calibri" w:eastAsia="Times New Roman" w:hAnsi="Calibri" w:cs="Calibri"/>
          <w:color w:val="000000"/>
          <w:kern w:val="0"/>
          <w:lang w:eastAsia="tr-TR"/>
          <w14:ligatures w14:val="none"/>
        </w:rPr>
        <w:t xml:space="preserve"> Toplam azotun anlamı: toplam </w:t>
      </w:r>
      <w:proofErr w:type="spellStart"/>
      <w:r w:rsidRPr="002C6563">
        <w:rPr>
          <w:rFonts w:ascii="Calibri" w:eastAsia="Times New Roman" w:hAnsi="Calibri" w:cs="Calibri"/>
          <w:color w:val="000000"/>
          <w:kern w:val="0"/>
          <w:lang w:eastAsia="tr-TR"/>
          <w14:ligatures w14:val="none"/>
        </w:rPr>
        <w:t>Kjeldahl</w:t>
      </w:r>
      <w:proofErr w:type="spellEnd"/>
      <w:r w:rsidRPr="002C6563">
        <w:rPr>
          <w:rFonts w:ascii="Calibri" w:eastAsia="Times New Roman" w:hAnsi="Calibri" w:cs="Calibri"/>
          <w:color w:val="000000"/>
          <w:kern w:val="0"/>
          <w:lang w:eastAsia="tr-TR"/>
          <w14:ligatures w14:val="none"/>
        </w:rPr>
        <w:t>-azotu (organik azot + amonyak-azotu), nitrat</w:t>
      </w:r>
      <w:proofErr w:type="gramStart"/>
      <w:r w:rsidRPr="002C6563">
        <w:rPr>
          <w:rFonts w:ascii="Calibri" w:eastAsia="Times New Roman" w:hAnsi="Calibri" w:cs="Calibri"/>
          <w:color w:val="000000"/>
          <w:kern w:val="0"/>
          <w:lang w:eastAsia="tr-TR"/>
          <w14:ligatures w14:val="none"/>
        </w:rPr>
        <w:t>   (</w:t>
      </w:r>
      <w:proofErr w:type="gramEnd"/>
      <w:r w:rsidRPr="002C6563">
        <w:rPr>
          <w:rFonts w:ascii="Calibri" w:eastAsia="Times New Roman" w:hAnsi="Calibri" w:cs="Calibri"/>
          <w:color w:val="000000"/>
          <w:kern w:val="0"/>
          <w:lang w:eastAsia="tr-TR"/>
          <w14:ligatures w14:val="none"/>
        </w:rPr>
        <w:t>NO</w:t>
      </w:r>
      <w:r w:rsidRPr="002C6563">
        <w:rPr>
          <w:rFonts w:ascii="inherit" w:eastAsia="Times New Roman" w:hAnsi="inherit" w:cs="Calibri"/>
          <w:color w:val="000000"/>
          <w:kern w:val="0"/>
          <w:sz w:val="24"/>
          <w:szCs w:val="24"/>
          <w:vertAlign w:val="subscript"/>
          <w:lang w:eastAsia="tr-TR"/>
          <w14:ligatures w14:val="none"/>
        </w:rPr>
        <w:t>3</w:t>
      </w:r>
      <w:r w:rsidRPr="002C6563">
        <w:rPr>
          <w:rFonts w:ascii="Calibri" w:eastAsia="Times New Roman" w:hAnsi="Calibri" w:cs="Calibri"/>
          <w:color w:val="000000"/>
          <w:kern w:val="0"/>
          <w:lang w:eastAsia="tr-TR"/>
          <w14:ligatures w14:val="none"/>
        </w:rPr>
        <w:t>  ) - azotu ve nitrit (NO</w:t>
      </w:r>
      <w:r w:rsidRPr="002C6563">
        <w:rPr>
          <w:rFonts w:ascii="inherit" w:eastAsia="Times New Roman" w:hAnsi="inherit" w:cs="Calibri"/>
          <w:color w:val="000000"/>
          <w:kern w:val="0"/>
          <w:sz w:val="24"/>
          <w:szCs w:val="24"/>
          <w:vertAlign w:val="subscript"/>
          <w:lang w:eastAsia="tr-TR"/>
          <w14:ligatures w14:val="none"/>
        </w:rPr>
        <w:t>2</w:t>
      </w:r>
      <w:r w:rsidRPr="002C6563">
        <w:rPr>
          <w:rFonts w:ascii="Calibri" w:eastAsia="Times New Roman" w:hAnsi="Calibri" w:cs="Calibri"/>
          <w:color w:val="000000"/>
          <w:kern w:val="0"/>
          <w:lang w:eastAsia="tr-TR"/>
          <w14:ligatures w14:val="none"/>
        </w:rPr>
        <w:t> )-azotu</w:t>
      </w:r>
    </w:p>
    <w:p w14:paraId="7BFE44CF" w14:textId="77777777" w:rsidR="002C6563" w:rsidRPr="002C6563" w:rsidRDefault="002C6563" w:rsidP="002C6563">
      <w:pPr>
        <w:spacing w:after="0" w:line="305" w:lineRule="atLeast"/>
        <w:ind w:firstLine="567"/>
        <w:rPr>
          <w:rFonts w:ascii="Times New Roman" w:eastAsia="Times New Roman" w:hAnsi="Times New Roman" w:cs="Times New Roman"/>
          <w:color w:val="000000"/>
          <w:kern w:val="0"/>
          <w:sz w:val="24"/>
          <w:szCs w:val="24"/>
          <w:lang w:eastAsia="tr-TR"/>
          <w14:ligatures w14:val="none"/>
        </w:rPr>
      </w:pPr>
      <w:r w:rsidRPr="002C6563">
        <w:rPr>
          <w:rFonts w:ascii="Calibri" w:eastAsia="Times New Roman" w:hAnsi="Calibri" w:cs="Calibri"/>
          <w:color w:val="000000"/>
          <w:kern w:val="0"/>
          <w:vertAlign w:val="superscript"/>
          <w:lang w:eastAsia="tr-TR"/>
          <w14:ligatures w14:val="none"/>
        </w:rPr>
        <w:t>2</w:t>
      </w:r>
      <w:r w:rsidRPr="002C6563">
        <w:rPr>
          <w:rFonts w:ascii="Calibri" w:eastAsia="Times New Roman" w:hAnsi="Calibri" w:cs="Calibri"/>
          <w:color w:val="000000"/>
          <w:kern w:val="0"/>
          <w:lang w:eastAsia="tr-TR"/>
          <w14:ligatures w14:val="none"/>
        </w:rPr>
        <w:t xml:space="preserve"> Alternatif olarak günlük ortalama 20 mg/l N’yi aşmamalıdır. Bu şart atıksu arıtma tesisi biyolojik reaktörünün işleyişi esnasında 12 ºC </w:t>
      </w:r>
      <w:proofErr w:type="gramStart"/>
      <w:r w:rsidRPr="002C6563">
        <w:rPr>
          <w:rFonts w:ascii="Calibri" w:eastAsia="Times New Roman" w:hAnsi="Calibri" w:cs="Calibri"/>
          <w:color w:val="000000"/>
          <w:kern w:val="0"/>
          <w:lang w:eastAsia="tr-TR"/>
          <w14:ligatures w14:val="none"/>
        </w:rPr>
        <w:t>yada</w:t>
      </w:r>
      <w:proofErr w:type="gramEnd"/>
      <w:r w:rsidRPr="002C6563">
        <w:rPr>
          <w:rFonts w:ascii="Calibri" w:eastAsia="Times New Roman" w:hAnsi="Calibri" w:cs="Calibri"/>
          <w:color w:val="000000"/>
          <w:kern w:val="0"/>
          <w:lang w:eastAsia="tr-TR"/>
          <w14:ligatures w14:val="none"/>
        </w:rPr>
        <w:t xml:space="preserve"> daha yüksek ısıdaki suya uygulanacaktır. </w:t>
      </w:r>
      <w:r w:rsidRPr="002C6563">
        <w:rPr>
          <w:rFonts w:ascii="inherit" w:eastAsia="Times New Roman" w:hAnsi="inherit" w:cs="Calibri"/>
          <w:color w:val="000000"/>
          <w:kern w:val="0"/>
          <w:sz w:val="24"/>
          <w:szCs w:val="24"/>
          <w:lang w:eastAsia="tr-TR"/>
          <w14:ligatures w14:val="none"/>
        </w:rPr>
        <w:t xml:space="preserve">Sıcaklıkla ilgili koşullar yerine yerel iklim koşullarını </w:t>
      </w:r>
      <w:proofErr w:type="spellStart"/>
      <w:r w:rsidRPr="002C6563">
        <w:rPr>
          <w:rFonts w:ascii="inherit" w:eastAsia="Times New Roman" w:hAnsi="inherit" w:cs="Calibri"/>
          <w:color w:val="000000"/>
          <w:kern w:val="0"/>
          <w:sz w:val="24"/>
          <w:szCs w:val="24"/>
          <w:lang w:eastAsia="tr-TR"/>
          <w14:ligatures w14:val="none"/>
        </w:rPr>
        <w:t>gözönüne</w:t>
      </w:r>
      <w:proofErr w:type="spellEnd"/>
      <w:r w:rsidRPr="002C6563">
        <w:rPr>
          <w:rFonts w:ascii="inherit" w:eastAsia="Times New Roman" w:hAnsi="inherit" w:cs="Calibri"/>
          <w:color w:val="000000"/>
          <w:kern w:val="0"/>
          <w:sz w:val="24"/>
          <w:szCs w:val="24"/>
          <w:lang w:eastAsia="tr-TR"/>
          <w14:ligatures w14:val="none"/>
        </w:rPr>
        <w:t xml:space="preserve"> almak bağlamında işletme süresi ile ilgili kısıtlar uygulanabilir. </w:t>
      </w:r>
      <w:r w:rsidRPr="002C6563">
        <w:rPr>
          <w:rFonts w:ascii="Calibri" w:eastAsia="Times New Roman" w:hAnsi="Calibri" w:cs="Calibri"/>
          <w:color w:val="000000"/>
          <w:kern w:val="0"/>
          <w:lang w:eastAsia="tr-TR"/>
          <w14:ligatures w14:val="none"/>
        </w:rPr>
        <w:t>Bu alternatif ancak</w:t>
      </w:r>
      <w:r w:rsidRPr="002C6563">
        <w:rPr>
          <w:rFonts w:ascii="inherit" w:eastAsia="Times New Roman" w:hAnsi="inherit" w:cs="Calibri"/>
          <w:color w:val="0000FF"/>
          <w:kern w:val="0"/>
          <w:sz w:val="24"/>
          <w:szCs w:val="24"/>
          <w:lang w:eastAsia="tr-TR"/>
          <w14:ligatures w14:val="none"/>
        </w:rPr>
        <w:t> </w:t>
      </w:r>
      <w:r w:rsidRPr="002C6563">
        <w:rPr>
          <w:rFonts w:ascii="Calibri" w:eastAsia="Times New Roman" w:hAnsi="Calibri" w:cs="Calibri"/>
          <w:color w:val="000000"/>
          <w:kern w:val="0"/>
          <w:lang w:eastAsia="tr-TR"/>
          <w14:ligatures w14:val="none"/>
        </w:rPr>
        <w:t xml:space="preserve">EK </w:t>
      </w:r>
      <w:proofErr w:type="spellStart"/>
      <w:proofErr w:type="gramStart"/>
      <w:r w:rsidRPr="002C6563">
        <w:rPr>
          <w:rFonts w:ascii="Calibri" w:eastAsia="Times New Roman" w:hAnsi="Calibri" w:cs="Calibri"/>
          <w:color w:val="000000"/>
          <w:kern w:val="0"/>
          <w:lang w:eastAsia="tr-TR"/>
          <w14:ligatures w14:val="none"/>
        </w:rPr>
        <w:t>II’in</w:t>
      </w:r>
      <w:proofErr w:type="spellEnd"/>
      <w:r w:rsidRPr="002C6563">
        <w:rPr>
          <w:rFonts w:ascii="Calibri" w:eastAsia="Times New Roman" w:hAnsi="Calibri" w:cs="Calibri"/>
          <w:color w:val="000000"/>
          <w:kern w:val="0"/>
          <w:lang w:eastAsia="tr-TR"/>
          <w14:ligatures w14:val="none"/>
        </w:rPr>
        <w:t>  yerine</w:t>
      </w:r>
      <w:proofErr w:type="gramEnd"/>
      <w:r w:rsidRPr="002C6563">
        <w:rPr>
          <w:rFonts w:ascii="Calibri" w:eastAsia="Times New Roman" w:hAnsi="Calibri" w:cs="Calibri"/>
          <w:color w:val="000000"/>
          <w:kern w:val="0"/>
          <w:lang w:eastAsia="tr-TR"/>
          <w14:ligatures w14:val="none"/>
        </w:rPr>
        <w:t xml:space="preserve"> getirildiğinin gösterilmesi şartıyla uygulanır.</w:t>
      </w:r>
    </w:p>
    <w:p w14:paraId="4A364B47" w14:textId="77777777" w:rsidR="00951809" w:rsidRPr="002C6563" w:rsidRDefault="00951809" w:rsidP="002C6563"/>
    <w:sectPr w:rsidR="00951809" w:rsidRPr="002C6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63"/>
    <w:rsid w:val="002C6563"/>
    <w:rsid w:val="00951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1BB4"/>
  <w15:chartTrackingRefBased/>
  <w15:docId w15:val="{D0445027-FC88-49F5-ADC4-3677D0EA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2C65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ortabalkbold">
    <w:name w:val="ortabalkbold"/>
    <w:basedOn w:val="Normal"/>
    <w:rsid w:val="002C65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metin">
    <w:name w:val="metin"/>
    <w:basedOn w:val="Normal"/>
    <w:rsid w:val="002C65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rame">
    <w:name w:val="grame"/>
    <w:basedOn w:val="VarsaylanParagrafYazTipi"/>
    <w:rsid w:val="002C6563"/>
  </w:style>
  <w:style w:type="character" w:customStyle="1" w:styleId="spelle">
    <w:name w:val="spelle"/>
    <w:basedOn w:val="VarsaylanParagrafYazTipi"/>
    <w:rsid w:val="002C6563"/>
  </w:style>
  <w:style w:type="paragraph" w:styleId="GvdeMetni2">
    <w:name w:val="Body Text 2"/>
    <w:basedOn w:val="Normal"/>
    <w:link w:val="GvdeMetni2Char"/>
    <w:uiPriority w:val="99"/>
    <w:semiHidden/>
    <w:unhideWhenUsed/>
    <w:rsid w:val="002C65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vdeMetni2Char">
    <w:name w:val="Gövde Metni 2 Char"/>
    <w:basedOn w:val="VarsaylanParagrafYazTipi"/>
    <w:link w:val="GvdeMetni2"/>
    <w:uiPriority w:val="99"/>
    <w:semiHidden/>
    <w:rsid w:val="002C6563"/>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2C65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onNotBavurusu">
    <w:name w:val="endnote reference"/>
    <w:basedOn w:val="VarsaylanParagrafYazTipi"/>
    <w:uiPriority w:val="99"/>
    <w:semiHidden/>
    <w:unhideWhenUsed/>
    <w:rsid w:val="002C6563"/>
  </w:style>
  <w:style w:type="character" w:styleId="Kpr">
    <w:name w:val="Hyperlink"/>
    <w:basedOn w:val="VarsaylanParagrafYazTipi"/>
    <w:uiPriority w:val="99"/>
    <w:semiHidden/>
    <w:unhideWhenUsed/>
    <w:rsid w:val="002C6563"/>
    <w:rPr>
      <w:color w:val="0000FF"/>
      <w:u w:val="single"/>
    </w:rPr>
  </w:style>
  <w:style w:type="character" w:styleId="DipnotBavurusu">
    <w:name w:val="footnote reference"/>
    <w:basedOn w:val="VarsaylanParagrafYazTipi"/>
    <w:uiPriority w:val="99"/>
    <w:semiHidden/>
    <w:unhideWhenUsed/>
    <w:rsid w:val="002C6563"/>
  </w:style>
  <w:style w:type="paragraph" w:styleId="DipnotMetni">
    <w:name w:val="footnote text"/>
    <w:basedOn w:val="Normal"/>
    <w:link w:val="DipnotMetniChar"/>
    <w:uiPriority w:val="99"/>
    <w:semiHidden/>
    <w:unhideWhenUsed/>
    <w:rsid w:val="002C656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DipnotMetniChar">
    <w:name w:val="Dipnot Metni Char"/>
    <w:basedOn w:val="VarsaylanParagrafYazTipi"/>
    <w:link w:val="DipnotMetni"/>
    <w:uiPriority w:val="99"/>
    <w:semiHidden/>
    <w:rsid w:val="002C6563"/>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3382">
      <w:bodyDiv w:val="1"/>
      <w:marLeft w:val="0"/>
      <w:marRight w:val="0"/>
      <w:marTop w:val="0"/>
      <w:marBottom w:val="0"/>
      <w:divBdr>
        <w:top w:val="none" w:sz="0" w:space="0" w:color="auto"/>
        <w:left w:val="none" w:sz="0" w:space="0" w:color="auto"/>
        <w:bottom w:val="none" w:sz="0" w:space="0" w:color="auto"/>
        <w:right w:val="none" w:sz="0" w:space="0" w:color="auto"/>
      </w:divBdr>
      <w:divsChild>
        <w:div w:id="1466922449">
          <w:marLeft w:val="0"/>
          <w:marRight w:val="0"/>
          <w:marTop w:val="0"/>
          <w:marBottom w:val="0"/>
          <w:divBdr>
            <w:top w:val="none" w:sz="0" w:space="0" w:color="auto"/>
            <w:left w:val="none" w:sz="0" w:space="0" w:color="auto"/>
            <w:bottom w:val="none" w:sz="0" w:space="0" w:color="auto"/>
            <w:right w:val="none" w:sz="0" w:space="0" w:color="auto"/>
          </w:divBdr>
        </w:div>
      </w:divsChild>
    </w:div>
    <w:div w:id="291400432">
      <w:bodyDiv w:val="1"/>
      <w:marLeft w:val="0"/>
      <w:marRight w:val="0"/>
      <w:marTop w:val="0"/>
      <w:marBottom w:val="0"/>
      <w:divBdr>
        <w:top w:val="none" w:sz="0" w:space="0" w:color="auto"/>
        <w:left w:val="none" w:sz="0" w:space="0" w:color="auto"/>
        <w:bottom w:val="none" w:sz="0" w:space="0" w:color="auto"/>
        <w:right w:val="none" w:sz="0" w:space="0" w:color="auto"/>
      </w:divBdr>
    </w:div>
    <w:div w:id="614094411">
      <w:bodyDiv w:val="1"/>
      <w:marLeft w:val="0"/>
      <w:marRight w:val="0"/>
      <w:marTop w:val="0"/>
      <w:marBottom w:val="0"/>
      <w:divBdr>
        <w:top w:val="none" w:sz="0" w:space="0" w:color="auto"/>
        <w:left w:val="none" w:sz="0" w:space="0" w:color="auto"/>
        <w:bottom w:val="none" w:sz="0" w:space="0" w:color="auto"/>
        <w:right w:val="none" w:sz="0" w:space="0" w:color="auto"/>
      </w:divBdr>
      <w:divsChild>
        <w:div w:id="1751150163">
          <w:marLeft w:val="0"/>
          <w:marRight w:val="0"/>
          <w:marTop w:val="0"/>
          <w:marBottom w:val="0"/>
          <w:divBdr>
            <w:top w:val="none" w:sz="0" w:space="0" w:color="auto"/>
            <w:left w:val="none" w:sz="0" w:space="0" w:color="auto"/>
            <w:bottom w:val="none" w:sz="0" w:space="0" w:color="auto"/>
            <w:right w:val="none" w:sz="0" w:space="0" w:color="auto"/>
          </w:divBdr>
        </w:div>
        <w:div w:id="579952429">
          <w:marLeft w:val="0"/>
          <w:marRight w:val="0"/>
          <w:marTop w:val="0"/>
          <w:marBottom w:val="0"/>
          <w:divBdr>
            <w:top w:val="none" w:sz="0" w:space="0" w:color="auto"/>
            <w:left w:val="none" w:sz="0" w:space="0" w:color="auto"/>
            <w:bottom w:val="none" w:sz="0" w:space="0" w:color="auto"/>
            <w:right w:val="none" w:sz="0" w:space="0" w:color="auto"/>
          </w:divBdr>
        </w:div>
        <w:div w:id="1872836436">
          <w:marLeft w:val="0"/>
          <w:marRight w:val="0"/>
          <w:marTop w:val="0"/>
          <w:marBottom w:val="0"/>
          <w:divBdr>
            <w:top w:val="none" w:sz="0" w:space="0" w:color="auto"/>
            <w:left w:val="none" w:sz="0" w:space="0" w:color="auto"/>
            <w:bottom w:val="none" w:sz="0" w:space="0" w:color="auto"/>
            <w:right w:val="none" w:sz="0" w:space="0" w:color="auto"/>
          </w:divBdr>
        </w:div>
      </w:divsChild>
    </w:div>
    <w:div w:id="705523271">
      <w:bodyDiv w:val="1"/>
      <w:marLeft w:val="0"/>
      <w:marRight w:val="0"/>
      <w:marTop w:val="0"/>
      <w:marBottom w:val="0"/>
      <w:divBdr>
        <w:top w:val="none" w:sz="0" w:space="0" w:color="auto"/>
        <w:left w:val="none" w:sz="0" w:space="0" w:color="auto"/>
        <w:bottom w:val="none" w:sz="0" w:space="0" w:color="auto"/>
        <w:right w:val="none" w:sz="0" w:space="0" w:color="auto"/>
      </w:divBdr>
    </w:div>
    <w:div w:id="9663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gov.tr/mevzuatmetin/yonetmelik/MevzuatFihristDetayIframe?MevzuatTur=7&amp;MevzuatNo=9844&amp;MevzuatTertip=5" TargetMode="External"/><Relationship Id="rId5" Type="http://schemas.openxmlformats.org/officeDocument/2006/relationships/hyperlink" Target="https://www.mevzuat.gov.tr/mevzuatmetin/yonetmelik/MevzuatFihristDetayIframe?MevzuatTur=7&amp;MevzuatNo=9844&amp;MevzuatTertip=5" TargetMode="External"/><Relationship Id="rId4" Type="http://schemas.openxmlformats.org/officeDocument/2006/relationships/hyperlink" Target="https://www.mevzuat.gov.tr/mevzuatmetin/yonetmelik/MevzuatFihristDetayIframe?MevzuatTur=7&amp;MevzuatNo=9844&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2023-12-08T08:23:00Z</dcterms:created>
  <dcterms:modified xsi:type="dcterms:W3CDTF">2023-12-08T08:30:00Z</dcterms:modified>
</cp:coreProperties>
</file>